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00"/>
        <w:gridCol w:w="2255"/>
      </w:tblGrid>
      <w:tr w:rsidR="00A64485" w:rsidRPr="00AB7189" w14:paraId="4B334FFA" w14:textId="77777777" w:rsidTr="00A64485">
        <w:tc>
          <w:tcPr>
            <w:tcW w:w="3964" w:type="dxa"/>
          </w:tcPr>
          <w:p w14:paraId="476543A6" w14:textId="77777777" w:rsidR="00A64485" w:rsidRPr="00AB7189" w:rsidRDefault="00A64485" w:rsidP="00BB3B3D">
            <w:pPr>
              <w:jc w:val="center"/>
              <w:rPr>
                <w:rFonts w:eastAsia="Calibri"/>
                <w:color w:val="365F91" w:themeColor="accent1" w:themeShade="BF"/>
                <w:sz w:val="20"/>
                <w:szCs w:val="20"/>
              </w:rPr>
            </w:pPr>
            <w:r w:rsidRPr="00AB7189">
              <w:rPr>
                <w:noProof/>
                <w:sz w:val="20"/>
                <w:szCs w:val="20"/>
              </w:rPr>
              <w:drawing>
                <wp:inline distT="0" distB="0" distL="0" distR="0" wp14:anchorId="36D5E142" wp14:editId="462F6756">
                  <wp:extent cx="1138555" cy="561975"/>
                  <wp:effectExtent l="0" t="0" r="4445" b="9525"/>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561975"/>
                          </a:xfrm>
                          <a:prstGeom prst="rect">
                            <a:avLst/>
                          </a:prstGeom>
                          <a:noFill/>
                          <a:ln>
                            <a:noFill/>
                          </a:ln>
                        </pic:spPr>
                      </pic:pic>
                    </a:graphicData>
                  </a:graphic>
                </wp:inline>
              </w:drawing>
            </w:r>
          </w:p>
        </w:tc>
        <w:tc>
          <w:tcPr>
            <w:tcW w:w="2800" w:type="dxa"/>
            <w:vAlign w:val="center"/>
          </w:tcPr>
          <w:p w14:paraId="12E107C8" w14:textId="77777777" w:rsidR="00A64485" w:rsidRPr="00AB7189" w:rsidRDefault="00A64485" w:rsidP="00BB3B3D">
            <w:pPr>
              <w:jc w:val="right"/>
              <w:rPr>
                <w:rFonts w:eastAsia="Calibri"/>
                <w:color w:val="365F91" w:themeColor="accent1" w:themeShade="BF"/>
                <w:sz w:val="20"/>
                <w:szCs w:val="20"/>
              </w:rPr>
            </w:pPr>
            <w:r w:rsidRPr="00AB7189">
              <w:rPr>
                <w:noProof/>
                <w:sz w:val="20"/>
                <w:szCs w:val="20"/>
              </w:rPr>
              <w:drawing>
                <wp:inline distT="0" distB="0" distL="0" distR="0" wp14:anchorId="239C1739" wp14:editId="3633BC66">
                  <wp:extent cx="614680" cy="500380"/>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680" cy="500380"/>
                          </a:xfrm>
                          <a:prstGeom prst="rect">
                            <a:avLst/>
                          </a:prstGeom>
                          <a:noFill/>
                          <a:ln>
                            <a:noFill/>
                          </a:ln>
                        </pic:spPr>
                      </pic:pic>
                    </a:graphicData>
                  </a:graphic>
                </wp:inline>
              </w:drawing>
            </w:r>
          </w:p>
        </w:tc>
        <w:tc>
          <w:tcPr>
            <w:tcW w:w="2255" w:type="dxa"/>
            <w:vAlign w:val="center"/>
          </w:tcPr>
          <w:p w14:paraId="5DF43A47" w14:textId="77777777" w:rsidR="00A64485" w:rsidRPr="0085511C" w:rsidRDefault="00A64485" w:rsidP="00BB3B3D">
            <w:pPr>
              <w:rPr>
                <w:rFonts w:eastAsia="Calibri"/>
                <w:color w:val="365F91" w:themeColor="accent1" w:themeShade="BF"/>
                <w:sz w:val="20"/>
                <w:szCs w:val="20"/>
              </w:rPr>
            </w:pPr>
            <w:r w:rsidRPr="0085511C">
              <w:rPr>
                <w:rFonts w:eastAsia="Calibri"/>
                <w:color w:val="365F91" w:themeColor="accent1" w:themeShade="BF"/>
                <w:sz w:val="20"/>
                <w:szCs w:val="20"/>
              </w:rPr>
              <w:t xml:space="preserve">GMINA </w:t>
            </w:r>
          </w:p>
          <w:p w14:paraId="7D6C9F97" w14:textId="77777777" w:rsidR="00A64485" w:rsidRPr="00AB7189" w:rsidRDefault="00A64485" w:rsidP="00BB3B3D">
            <w:pPr>
              <w:rPr>
                <w:rFonts w:eastAsia="Calibri"/>
                <w:color w:val="365F91" w:themeColor="accent1" w:themeShade="BF"/>
                <w:sz w:val="20"/>
                <w:szCs w:val="20"/>
              </w:rPr>
            </w:pPr>
            <w:r w:rsidRPr="0085511C">
              <w:rPr>
                <w:rFonts w:eastAsia="Calibri"/>
                <w:color w:val="365F91" w:themeColor="accent1" w:themeShade="BF"/>
                <w:sz w:val="20"/>
                <w:szCs w:val="20"/>
              </w:rPr>
              <w:t>DREZDENKO</w:t>
            </w:r>
          </w:p>
        </w:tc>
      </w:tr>
      <w:tr w:rsidR="00A64485" w:rsidRPr="00AB7189" w14:paraId="1B195B72" w14:textId="77777777" w:rsidTr="00A64485">
        <w:tc>
          <w:tcPr>
            <w:tcW w:w="9019" w:type="dxa"/>
            <w:gridSpan w:val="3"/>
          </w:tcPr>
          <w:p w14:paraId="0A9007DC" w14:textId="77777777" w:rsidR="00A64485" w:rsidRDefault="00A64485" w:rsidP="00BB3B3D">
            <w:pPr>
              <w:jc w:val="center"/>
              <w:rPr>
                <w:rFonts w:eastAsia="Calibri"/>
                <w:color w:val="1F497D" w:themeColor="text2"/>
                <w:sz w:val="20"/>
                <w:szCs w:val="20"/>
              </w:rPr>
            </w:pPr>
          </w:p>
          <w:p w14:paraId="528A34D3" w14:textId="77777777" w:rsidR="00A64485" w:rsidRPr="00AB7189" w:rsidRDefault="00A64485" w:rsidP="00BB3B3D">
            <w:pPr>
              <w:jc w:val="center"/>
              <w:rPr>
                <w:rFonts w:eastAsia="Calibri"/>
                <w:color w:val="1F497D" w:themeColor="text2"/>
                <w:sz w:val="20"/>
                <w:szCs w:val="20"/>
              </w:rPr>
            </w:pPr>
            <w:r w:rsidRPr="00AB7189">
              <w:rPr>
                <w:rFonts w:eastAsia="Calibri"/>
                <w:color w:val="1F497D" w:themeColor="text2"/>
                <w:sz w:val="20"/>
                <w:szCs w:val="20"/>
              </w:rPr>
              <w:t>Zadanie dofinansowane z Programu inwestycyjnego pn. „Lubuska Baza Sportowa” na 2021 rok</w:t>
            </w:r>
          </w:p>
        </w:tc>
      </w:tr>
    </w:tbl>
    <w:p w14:paraId="68ADB952" w14:textId="77777777" w:rsidR="00A64485" w:rsidRDefault="00A64485" w:rsidP="00857428">
      <w:pPr>
        <w:spacing w:line="360" w:lineRule="auto"/>
        <w:jc w:val="center"/>
        <w:rPr>
          <w:b/>
          <w:sz w:val="24"/>
          <w:szCs w:val="24"/>
        </w:rPr>
      </w:pPr>
    </w:p>
    <w:p w14:paraId="2D44E72C" w14:textId="77777777" w:rsidR="00A64485" w:rsidRDefault="00A64485" w:rsidP="00857428">
      <w:pPr>
        <w:spacing w:line="360" w:lineRule="auto"/>
        <w:jc w:val="center"/>
        <w:rPr>
          <w:b/>
          <w:sz w:val="24"/>
          <w:szCs w:val="24"/>
        </w:rPr>
      </w:pPr>
    </w:p>
    <w:p w14:paraId="00000001" w14:textId="6BAB7F70"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744C0936" w14:textId="77777777" w:rsidR="0024289A" w:rsidRDefault="005C319C" w:rsidP="008F3C87">
      <w:pPr>
        <w:spacing w:line="360" w:lineRule="auto"/>
        <w:jc w:val="center"/>
        <w:rPr>
          <w:rFonts w:eastAsia="Calibri"/>
          <w:b/>
          <w:bCs/>
          <w:sz w:val="28"/>
          <w:szCs w:val="28"/>
          <w:lang w:eastAsia="en-US"/>
        </w:rPr>
      </w:pPr>
      <w:r>
        <w:rPr>
          <w:rFonts w:eastAsia="Calibri"/>
          <w:b/>
          <w:bCs/>
          <w:sz w:val="28"/>
          <w:szCs w:val="28"/>
          <w:lang w:eastAsia="en-US"/>
        </w:rPr>
        <w:t xml:space="preserve">Pomieszczenia socjalno – sanitarne wraz z infrastrukturą towarzyszącą w ramach zadania </w:t>
      </w:r>
    </w:p>
    <w:p w14:paraId="0000000F" w14:textId="68D5FCB1" w:rsidR="008A53FD" w:rsidRPr="00094713" w:rsidRDefault="005C319C" w:rsidP="008F3C87">
      <w:pPr>
        <w:spacing w:line="360" w:lineRule="auto"/>
        <w:jc w:val="center"/>
        <w:rPr>
          <w:b/>
          <w:sz w:val="28"/>
          <w:szCs w:val="28"/>
        </w:rPr>
      </w:pPr>
      <w:r>
        <w:rPr>
          <w:rFonts w:eastAsia="Calibri"/>
          <w:b/>
          <w:bCs/>
          <w:sz w:val="28"/>
          <w:szCs w:val="28"/>
          <w:lang w:eastAsia="en-US"/>
        </w:rPr>
        <w:t xml:space="preserve">Rozbudowa boiska wielofunkcyjnego z zadaszeniem przy Szkole Podstawowej w Niegosławiu  </w:t>
      </w:r>
    </w:p>
    <w:p w14:paraId="74324BDE" w14:textId="77777777" w:rsidR="00D3778B" w:rsidRPr="009816F3" w:rsidRDefault="00D3778B" w:rsidP="00857428">
      <w:pPr>
        <w:spacing w:line="360" w:lineRule="auto"/>
        <w:jc w:val="center"/>
        <w:rPr>
          <w:sz w:val="24"/>
          <w:szCs w:val="24"/>
        </w:rPr>
      </w:pPr>
    </w:p>
    <w:p w14:paraId="00000011" w14:textId="25F3D2C6"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9D34A8">
        <w:rPr>
          <w:sz w:val="24"/>
          <w:szCs w:val="24"/>
        </w:rPr>
        <w:t>1</w:t>
      </w:r>
      <w:r w:rsidR="00111880">
        <w:rPr>
          <w:sz w:val="24"/>
          <w:szCs w:val="24"/>
        </w:rPr>
        <w:t>9</w:t>
      </w:r>
      <w:r w:rsidR="00857428" w:rsidRPr="00600A01">
        <w:rPr>
          <w:sz w:val="24"/>
          <w:szCs w:val="24"/>
        </w:rPr>
        <w:t>.2021</w:t>
      </w:r>
    </w:p>
    <w:p w14:paraId="6973D26D" w14:textId="5DA65283"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r w:rsidR="00F2797B">
        <w:rPr>
          <w:sz w:val="24"/>
          <w:szCs w:val="24"/>
        </w:rPr>
        <w:t xml:space="preserve"> </w:t>
      </w:r>
      <w:r w:rsidRPr="009816F3">
        <w:rPr>
          <w:sz w:val="24"/>
          <w:szCs w:val="24"/>
        </w:rPr>
        <w:t xml:space="preserve">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3AF3AF86" w14:textId="33D01AC9"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371264">
        <w:rPr>
          <w:sz w:val="24"/>
          <w:szCs w:val="24"/>
        </w:rPr>
        <w:t>21</w:t>
      </w:r>
      <w:r w:rsidRPr="009816F3">
        <w:rPr>
          <w:sz w:val="24"/>
          <w:szCs w:val="24"/>
        </w:rPr>
        <w:t xml:space="preserve"> r. poz. </w:t>
      </w:r>
      <w:r w:rsidR="00371264">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6281C213" w:rsidR="002F0EF1" w:rsidRPr="009816F3" w:rsidRDefault="00127FA7" w:rsidP="00BA33A5">
      <w:pPr>
        <w:spacing w:line="360" w:lineRule="auto"/>
        <w:ind w:left="5760"/>
        <w:jc w:val="center"/>
        <w:rPr>
          <w:sz w:val="24"/>
          <w:szCs w:val="24"/>
        </w:rPr>
      </w:pPr>
      <w:r>
        <w:rPr>
          <w:sz w:val="24"/>
          <w:szCs w:val="24"/>
        </w:rPr>
        <w:t xml:space="preserve">Z up. Burmistrza </w:t>
      </w:r>
    </w:p>
    <w:p w14:paraId="31468234" w14:textId="41DF8836" w:rsidR="002F0EF1" w:rsidRDefault="00127FA7" w:rsidP="00BA33A5">
      <w:pPr>
        <w:spacing w:line="360" w:lineRule="auto"/>
        <w:ind w:left="5040" w:firstLine="720"/>
        <w:jc w:val="center"/>
        <w:rPr>
          <w:sz w:val="24"/>
          <w:szCs w:val="24"/>
        </w:rPr>
      </w:pPr>
      <w:r>
        <w:rPr>
          <w:sz w:val="24"/>
          <w:szCs w:val="24"/>
        </w:rPr>
        <w:t>Mateusz Grzymałowski</w:t>
      </w:r>
    </w:p>
    <w:p w14:paraId="00000027" w14:textId="0BFB37B5" w:rsidR="008A53FD" w:rsidRPr="009816F3" w:rsidRDefault="00127FA7" w:rsidP="00A64485">
      <w:pPr>
        <w:spacing w:line="360" w:lineRule="auto"/>
        <w:ind w:left="5040" w:firstLine="720"/>
        <w:jc w:val="center"/>
        <w:rPr>
          <w:sz w:val="24"/>
          <w:szCs w:val="24"/>
        </w:rPr>
      </w:pPr>
      <w:r>
        <w:rPr>
          <w:sz w:val="24"/>
          <w:szCs w:val="24"/>
        </w:rPr>
        <w:t>Zastępca Burmistrza</w:t>
      </w:r>
    </w:p>
    <w:p w14:paraId="00000045" w14:textId="559DE19A" w:rsidR="008A53FD" w:rsidRPr="00EE0D6D" w:rsidRDefault="00FB5CFC" w:rsidP="00A64485">
      <w:pPr>
        <w:spacing w:line="360" w:lineRule="auto"/>
        <w:jc w:val="center"/>
        <w:rPr>
          <w:b/>
          <w:sz w:val="20"/>
          <w:szCs w:val="20"/>
        </w:rPr>
      </w:pPr>
      <w:r>
        <w:rPr>
          <w:b/>
          <w:sz w:val="24"/>
          <w:szCs w:val="24"/>
        </w:rPr>
        <w:t>09.09</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10"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11"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2"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FF0071D"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3"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59603BAD"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w:t>
      </w:r>
      <w:r w:rsidR="003D72D7">
        <w:rPr>
          <w:sz w:val="20"/>
          <w:szCs w:val="20"/>
        </w:rPr>
        <w:t xml:space="preserve">(bez negocjacji) </w:t>
      </w:r>
      <w:r w:rsidRPr="00857428">
        <w:rPr>
          <w:sz w:val="20"/>
          <w:szCs w:val="20"/>
        </w:rPr>
        <w:t xml:space="preserve">o jakim stanowi art. 275 pkt 1 PZP oraz 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CC247D">
      <w:pPr>
        <w:numPr>
          <w:ilvl w:val="0"/>
          <w:numId w:val="10"/>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70" w14:textId="263DDC64" w:rsidR="008A53FD" w:rsidRPr="00E8599F" w:rsidRDefault="005C2461" w:rsidP="00E8599F">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1DB90EA8" w14:textId="7680CE9C" w:rsidR="00615AA1" w:rsidRPr="00E8599F" w:rsidRDefault="00615AA1" w:rsidP="00E8599F">
      <w:pPr>
        <w:numPr>
          <w:ilvl w:val="0"/>
          <w:numId w:val="1"/>
        </w:numPr>
        <w:spacing w:before="240" w:line="360" w:lineRule="auto"/>
        <w:ind w:left="434"/>
        <w:jc w:val="both"/>
        <w:rPr>
          <w:sz w:val="20"/>
          <w:szCs w:val="20"/>
        </w:rPr>
      </w:pPr>
      <w:r w:rsidRPr="00E8599F">
        <w:rPr>
          <w:sz w:val="20"/>
          <w:szCs w:val="20"/>
        </w:rPr>
        <w:t xml:space="preserve">Przedmiotem zamówienia </w:t>
      </w:r>
      <w:r w:rsidR="00656297">
        <w:rPr>
          <w:sz w:val="20"/>
          <w:szCs w:val="20"/>
        </w:rPr>
        <w:t xml:space="preserve">jest budowa budynku sanitarno – socjalnego w technologii kontenerowej przy zadaszonym boisku </w:t>
      </w:r>
      <w:r w:rsidR="0083190C" w:rsidRPr="0083190C">
        <w:rPr>
          <w:sz w:val="20"/>
          <w:szCs w:val="20"/>
        </w:rPr>
        <w:t>przy Szkole Podstawowej w Niegosławiu</w:t>
      </w:r>
      <w:r w:rsidRPr="00E8599F">
        <w:rPr>
          <w:sz w:val="20"/>
          <w:szCs w:val="20"/>
        </w:rPr>
        <w:t xml:space="preserve">. </w:t>
      </w:r>
    </w:p>
    <w:p w14:paraId="5F73F36F" w14:textId="74427847" w:rsidR="00615AA1" w:rsidRPr="00077930" w:rsidRDefault="00615AA1" w:rsidP="00E8599F">
      <w:pPr>
        <w:numPr>
          <w:ilvl w:val="0"/>
          <w:numId w:val="1"/>
        </w:numPr>
        <w:spacing w:before="240" w:line="360" w:lineRule="auto"/>
        <w:ind w:left="434"/>
        <w:jc w:val="both"/>
        <w:rPr>
          <w:sz w:val="20"/>
          <w:szCs w:val="20"/>
        </w:rPr>
      </w:pPr>
      <w:r w:rsidRPr="00E8599F">
        <w:rPr>
          <w:sz w:val="20"/>
          <w:szCs w:val="20"/>
        </w:rPr>
        <w:t xml:space="preserve">Zakres zamówienia </w:t>
      </w:r>
      <w:r w:rsidR="00656297">
        <w:rPr>
          <w:sz w:val="20"/>
          <w:szCs w:val="20"/>
        </w:rPr>
        <w:t>obejmuje pełen zakres prac określony w dokumentacji projektowej</w:t>
      </w:r>
      <w:r w:rsidRPr="00077930">
        <w:rPr>
          <w:sz w:val="20"/>
          <w:szCs w:val="20"/>
        </w:rPr>
        <w:t>, w tym:</w:t>
      </w:r>
    </w:p>
    <w:p w14:paraId="61F864D0" w14:textId="6387EB93" w:rsidR="009D5FC4" w:rsidRDefault="009D5FC4" w:rsidP="00CC5BA0">
      <w:pPr>
        <w:numPr>
          <w:ilvl w:val="0"/>
          <w:numId w:val="48"/>
        </w:numPr>
        <w:autoSpaceDE w:val="0"/>
        <w:autoSpaceDN w:val="0"/>
        <w:adjustRightInd w:val="0"/>
        <w:spacing w:line="360" w:lineRule="auto"/>
        <w:jc w:val="both"/>
        <w:rPr>
          <w:sz w:val="20"/>
          <w:szCs w:val="20"/>
        </w:rPr>
      </w:pPr>
      <w:r>
        <w:rPr>
          <w:sz w:val="20"/>
          <w:szCs w:val="20"/>
        </w:rPr>
        <w:t>roboty przygotowawcze, rozbiórkowe, ziemne,</w:t>
      </w:r>
    </w:p>
    <w:p w14:paraId="7994A2B7" w14:textId="6B13A63A" w:rsidR="009D5FC4" w:rsidRDefault="009D5FC4" w:rsidP="00CC5BA0">
      <w:pPr>
        <w:numPr>
          <w:ilvl w:val="0"/>
          <w:numId w:val="48"/>
        </w:numPr>
        <w:autoSpaceDE w:val="0"/>
        <w:autoSpaceDN w:val="0"/>
        <w:adjustRightInd w:val="0"/>
        <w:spacing w:line="360" w:lineRule="auto"/>
        <w:jc w:val="both"/>
        <w:rPr>
          <w:sz w:val="20"/>
          <w:szCs w:val="20"/>
        </w:rPr>
      </w:pPr>
      <w:r>
        <w:rPr>
          <w:sz w:val="20"/>
          <w:szCs w:val="20"/>
        </w:rPr>
        <w:t xml:space="preserve">wykonanie fundamentów, </w:t>
      </w:r>
    </w:p>
    <w:p w14:paraId="5511966C" w14:textId="4CE12BF9" w:rsidR="00656297"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roboty budowlano-montażowe</w:t>
      </w:r>
      <w:r w:rsidR="009D5FC4">
        <w:rPr>
          <w:sz w:val="20"/>
          <w:szCs w:val="20"/>
        </w:rPr>
        <w:t xml:space="preserve"> – montaż obiektów kontenerowych</w:t>
      </w:r>
      <w:r w:rsidRPr="00077930">
        <w:rPr>
          <w:sz w:val="20"/>
          <w:szCs w:val="20"/>
        </w:rPr>
        <w:t>,</w:t>
      </w:r>
    </w:p>
    <w:p w14:paraId="4CA4D7E2" w14:textId="77777777" w:rsidR="009D5FC4" w:rsidRDefault="009D5FC4" w:rsidP="00CC5BA0">
      <w:pPr>
        <w:numPr>
          <w:ilvl w:val="0"/>
          <w:numId w:val="48"/>
        </w:numPr>
        <w:autoSpaceDE w:val="0"/>
        <w:autoSpaceDN w:val="0"/>
        <w:adjustRightInd w:val="0"/>
        <w:spacing w:line="360" w:lineRule="auto"/>
        <w:jc w:val="both"/>
        <w:rPr>
          <w:sz w:val="20"/>
          <w:szCs w:val="20"/>
        </w:rPr>
      </w:pPr>
      <w:r>
        <w:rPr>
          <w:sz w:val="20"/>
          <w:szCs w:val="20"/>
        </w:rPr>
        <w:t>roboty wodno – kanalizacyjne, wodociągowe,</w:t>
      </w:r>
    </w:p>
    <w:p w14:paraId="7E4ED033" w14:textId="66B9463D" w:rsidR="00615AA1" w:rsidRPr="00077930" w:rsidRDefault="009D5FC4" w:rsidP="00CC5BA0">
      <w:pPr>
        <w:numPr>
          <w:ilvl w:val="0"/>
          <w:numId w:val="48"/>
        </w:numPr>
        <w:autoSpaceDE w:val="0"/>
        <w:autoSpaceDN w:val="0"/>
        <w:adjustRightInd w:val="0"/>
        <w:spacing w:line="360" w:lineRule="auto"/>
        <w:jc w:val="both"/>
        <w:rPr>
          <w:sz w:val="20"/>
          <w:szCs w:val="20"/>
        </w:rPr>
      </w:pPr>
      <w:r>
        <w:rPr>
          <w:sz w:val="20"/>
          <w:szCs w:val="20"/>
        </w:rPr>
        <w:t xml:space="preserve">montaż zbiornika bezodpływowego, </w:t>
      </w:r>
      <w:r w:rsidR="00615AA1" w:rsidRPr="00077930">
        <w:rPr>
          <w:sz w:val="20"/>
          <w:szCs w:val="20"/>
        </w:rPr>
        <w:t xml:space="preserve"> </w:t>
      </w:r>
    </w:p>
    <w:p w14:paraId="09D5F468" w14:textId="77777777" w:rsidR="00E855BF" w:rsidRDefault="00615AA1" w:rsidP="00915F48">
      <w:pPr>
        <w:numPr>
          <w:ilvl w:val="0"/>
          <w:numId w:val="48"/>
        </w:numPr>
        <w:autoSpaceDE w:val="0"/>
        <w:autoSpaceDN w:val="0"/>
        <w:adjustRightInd w:val="0"/>
        <w:spacing w:line="360" w:lineRule="auto"/>
        <w:jc w:val="both"/>
        <w:rPr>
          <w:sz w:val="20"/>
          <w:szCs w:val="20"/>
        </w:rPr>
      </w:pPr>
      <w:r w:rsidRPr="00077930">
        <w:rPr>
          <w:sz w:val="20"/>
          <w:szCs w:val="20"/>
        </w:rPr>
        <w:t>roboty elektryczne</w:t>
      </w:r>
      <w:r w:rsidR="00E855BF">
        <w:rPr>
          <w:sz w:val="20"/>
          <w:szCs w:val="20"/>
        </w:rPr>
        <w:t>,</w:t>
      </w:r>
    </w:p>
    <w:p w14:paraId="5AB9EC31" w14:textId="583DBEA7" w:rsidR="00615AA1" w:rsidRPr="00BF4844" w:rsidRDefault="00E855BF" w:rsidP="00915F48">
      <w:pPr>
        <w:numPr>
          <w:ilvl w:val="0"/>
          <w:numId w:val="48"/>
        </w:numPr>
        <w:autoSpaceDE w:val="0"/>
        <w:autoSpaceDN w:val="0"/>
        <w:adjustRightInd w:val="0"/>
        <w:spacing w:line="360" w:lineRule="auto"/>
        <w:jc w:val="both"/>
        <w:rPr>
          <w:sz w:val="20"/>
          <w:szCs w:val="20"/>
        </w:rPr>
      </w:pPr>
      <w:r w:rsidRPr="00BF4844">
        <w:rPr>
          <w:sz w:val="20"/>
          <w:szCs w:val="20"/>
        </w:rPr>
        <w:t>wykonanie oraz montaż (w budynku przy wejściu) tablic</w:t>
      </w:r>
      <w:r w:rsidR="00F27CFA" w:rsidRPr="00BF4844">
        <w:rPr>
          <w:sz w:val="20"/>
          <w:szCs w:val="20"/>
        </w:rPr>
        <w:t xml:space="preserve">y z </w:t>
      </w:r>
      <w:r w:rsidR="00615AA1" w:rsidRPr="00BF4844">
        <w:rPr>
          <w:sz w:val="20"/>
          <w:szCs w:val="20"/>
        </w:rPr>
        <w:t xml:space="preserve"> </w:t>
      </w:r>
      <w:r w:rsidR="00F27CFA" w:rsidRPr="00BF4844">
        <w:rPr>
          <w:sz w:val="20"/>
          <w:szCs w:val="20"/>
        </w:rPr>
        <w:t>informacjami na temat rozkładu pomieszczeń w budynku w sposób wizualny i dotykowy.</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4C13F6FB" w14:textId="77777777"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 xml:space="preserve">wywóz oraz utylizację wszelkich materiałów porozbiórkowych, </w:t>
      </w:r>
    </w:p>
    <w:p w14:paraId="4CE6F11B" w14:textId="77777777"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dostarczenie niezbędnych certyfikatów i atestów na materiały oraz protokołów badań i sprawdzeń robót budowlanych,</w:t>
      </w:r>
    </w:p>
    <w:p w14:paraId="52BC7186" w14:textId="77777777"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przygotowanie i dostarczenie  protokołu przekazania – przejęcia środka trwałego (PT) w formie „papierowej” i elektronicznej,</w:t>
      </w:r>
    </w:p>
    <w:p w14:paraId="225BFDEB" w14:textId="4D5E0D2A" w:rsidR="00915F48" w:rsidRPr="003D4353"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t>wykonanie map powykonawczych</w:t>
      </w:r>
      <w:r>
        <w:rPr>
          <w:sz w:val="20"/>
          <w:szCs w:val="20"/>
        </w:rPr>
        <w:t>,</w:t>
      </w:r>
    </w:p>
    <w:p w14:paraId="24A0E8E9" w14:textId="45B48D5D" w:rsidR="00915F48" w:rsidRPr="00915F48" w:rsidRDefault="00915F48" w:rsidP="00915F48">
      <w:pPr>
        <w:numPr>
          <w:ilvl w:val="0"/>
          <w:numId w:val="51"/>
        </w:numPr>
        <w:autoSpaceDE w:val="0"/>
        <w:autoSpaceDN w:val="0"/>
        <w:adjustRightInd w:val="0"/>
        <w:spacing w:line="360" w:lineRule="auto"/>
        <w:jc w:val="both"/>
        <w:rPr>
          <w:sz w:val="20"/>
          <w:szCs w:val="20"/>
        </w:rPr>
      </w:pPr>
      <w:r w:rsidRPr="003D4353">
        <w:rPr>
          <w:sz w:val="20"/>
          <w:szCs w:val="20"/>
        </w:rPr>
        <w:lastRenderedPageBreak/>
        <w:t>wykonanie pełnej dokumentacji do odbioru inwestycji (dokumentacja powykonawcza w 3 egzemplarzach).</w:t>
      </w:r>
    </w:p>
    <w:p w14:paraId="2DC41487" w14:textId="65122704" w:rsidR="004B39C5" w:rsidRPr="00077930" w:rsidRDefault="00F07924" w:rsidP="00F07924">
      <w:pPr>
        <w:numPr>
          <w:ilvl w:val="0"/>
          <w:numId w:val="1"/>
        </w:numPr>
        <w:spacing w:before="240" w:line="360" w:lineRule="auto"/>
        <w:ind w:left="434"/>
        <w:jc w:val="both"/>
        <w:rPr>
          <w:sz w:val="20"/>
          <w:szCs w:val="20"/>
        </w:rPr>
      </w:pPr>
      <w:r w:rsidRPr="00077930">
        <w:rPr>
          <w:sz w:val="20"/>
          <w:szCs w:val="20"/>
        </w:rPr>
        <w:t>Szczegółowy</w:t>
      </w:r>
      <w:r w:rsidRPr="00E8599F">
        <w:rPr>
          <w:sz w:val="20"/>
          <w:szCs w:val="20"/>
        </w:rPr>
        <w:t xml:space="preserve"> zakres robót budowlanych przewidzianych do wykonania w ramach niniejszego zamówienia określa SWZ wraz z załącznikami tj. dokumentacją techniczną: projekt wraz z rysunkami, specyfikacja techniczna wykonania i odbioru robót</w:t>
      </w:r>
      <w:r w:rsidRPr="00077930">
        <w:rPr>
          <w:sz w:val="20"/>
          <w:szCs w:val="20"/>
        </w:rPr>
        <w:t xml:space="preserve">. </w:t>
      </w:r>
      <w:r w:rsidR="00D806F1" w:rsidRPr="00F07924">
        <w:rPr>
          <w:sz w:val="20"/>
          <w:szCs w:val="20"/>
        </w:rPr>
        <w:t xml:space="preserve"> </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40C8EA11" w14:textId="7D71FBB7" w:rsidR="004B39C5" w:rsidRDefault="004B39C5" w:rsidP="004B39C5">
      <w:pPr>
        <w:numPr>
          <w:ilvl w:val="0"/>
          <w:numId w:val="1"/>
        </w:numPr>
        <w:spacing w:line="360" w:lineRule="auto"/>
        <w:ind w:left="462"/>
        <w:jc w:val="both"/>
        <w:rPr>
          <w:sz w:val="20"/>
          <w:szCs w:val="20"/>
        </w:rPr>
      </w:pPr>
      <w:r w:rsidRPr="004B39C5">
        <w:rPr>
          <w:sz w:val="20"/>
          <w:szCs w:val="20"/>
        </w:rPr>
        <w:t xml:space="preserve">Zadanie będzie rozliczone w formie ryczałtu.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5AAC592F"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5B6924">
      <w:pPr>
        <w:pStyle w:val="NormalnyWeb11"/>
        <w:numPr>
          <w:ilvl w:val="0"/>
          <w:numId w:val="43"/>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5B6924">
      <w:pPr>
        <w:pStyle w:val="NormalnyWeb11"/>
        <w:numPr>
          <w:ilvl w:val="0"/>
          <w:numId w:val="43"/>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 xml:space="preserve">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w:t>
      </w:r>
      <w:r w:rsidRPr="00CA206B">
        <w:rPr>
          <w:sz w:val="20"/>
          <w:szCs w:val="20"/>
        </w:rPr>
        <w:lastRenderedPageBreak/>
        <w:t>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1346E59"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45210000 – 2 Roboty budowlane w zakresie budynków  </w:t>
      </w:r>
    </w:p>
    <w:p w14:paraId="2FA71CB4"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45310000 – 3 Roboty instalacyjne elektryczne  </w:t>
      </w:r>
    </w:p>
    <w:p w14:paraId="3904DFC3"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45330000 – 9 Roboty instalacyjne wodno kanalizacyjne i sanitarne  </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007A8309" w:rsidR="008A53FD" w:rsidRPr="00857428" w:rsidRDefault="00781226" w:rsidP="00857428">
      <w:pPr>
        <w:numPr>
          <w:ilvl w:val="0"/>
          <w:numId w:val="1"/>
        </w:numPr>
        <w:spacing w:line="360" w:lineRule="auto"/>
        <w:ind w:left="434"/>
        <w:jc w:val="both"/>
        <w:rPr>
          <w:sz w:val="20"/>
          <w:szCs w:val="20"/>
        </w:rPr>
      </w:pPr>
      <w:r>
        <w:rPr>
          <w:sz w:val="20"/>
          <w:szCs w:val="20"/>
        </w:rPr>
        <w:t xml:space="preserve">Roboty budowlane </w:t>
      </w:r>
      <w:r w:rsidR="003B42E9">
        <w:rPr>
          <w:sz w:val="20"/>
          <w:szCs w:val="20"/>
        </w:rPr>
        <w:t>dotyczą jednego</w:t>
      </w:r>
      <w:r>
        <w:rPr>
          <w:sz w:val="20"/>
          <w:szCs w:val="20"/>
        </w:rPr>
        <w:t xml:space="preserve"> obiek</w:t>
      </w:r>
      <w:r w:rsidR="003B42E9">
        <w:rPr>
          <w:sz w:val="20"/>
          <w:szCs w:val="20"/>
        </w:rPr>
        <w:t>tu</w:t>
      </w:r>
      <w:r w:rsidR="0032706C">
        <w:rPr>
          <w:sz w:val="20"/>
          <w:szCs w:val="20"/>
        </w:rPr>
        <w:t xml:space="preserve"> z tego względu </w:t>
      </w:r>
      <w:r w:rsidR="005C2461" w:rsidRPr="00F7615E">
        <w:rPr>
          <w:sz w:val="20"/>
          <w:szCs w:val="20"/>
        </w:rPr>
        <w:t>Zamawiający nie dopuszcza składania ofert częściowych</w:t>
      </w:r>
      <w:r w:rsidR="005C2461"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19340BEF"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7000A1">
        <w:rPr>
          <w:sz w:val="20"/>
          <w:szCs w:val="20"/>
        </w:rPr>
        <w:t>5</w:t>
      </w:r>
      <w:r w:rsidR="00B67B83">
        <w:rPr>
          <w:sz w:val="20"/>
          <w:szCs w:val="20"/>
        </w:rPr>
        <w:t>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lastRenderedPageBreak/>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4">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5"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7">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9">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lastRenderedPageBreak/>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akceptuje warunki korzystania z </w:t>
      </w:r>
      <w:hyperlink r:id="rId22">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3">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4">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5">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6">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7">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8">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9">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t xml:space="preserve">podpisana </w:t>
      </w:r>
      <w:hyperlink r:id="rId30">
        <w:r w:rsidRPr="00857428">
          <w:rPr>
            <w:b/>
            <w:color w:val="1155CC"/>
            <w:sz w:val="20"/>
            <w:szCs w:val="20"/>
            <w:u w:val="single"/>
          </w:rPr>
          <w:t>kwalifikowanym podpisem elektronicznym</w:t>
        </w:r>
      </w:hyperlink>
      <w:r w:rsidRPr="00857428">
        <w:rPr>
          <w:sz w:val="20"/>
          <w:szCs w:val="20"/>
        </w:rPr>
        <w:t xml:space="preserve"> lub </w:t>
      </w:r>
      <w:hyperlink r:id="rId31">
        <w:r w:rsidRPr="00857428">
          <w:rPr>
            <w:b/>
            <w:color w:val="1155CC"/>
            <w:sz w:val="20"/>
            <w:szCs w:val="20"/>
            <w:u w:val="single"/>
          </w:rPr>
          <w:t>podpisem zaufanym</w:t>
        </w:r>
      </w:hyperlink>
      <w:r w:rsidRPr="00857428">
        <w:rPr>
          <w:sz w:val="20"/>
          <w:szCs w:val="20"/>
        </w:rPr>
        <w:t xml:space="preserve"> lub </w:t>
      </w:r>
      <w:hyperlink r:id="rId32">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3">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2A7D69" w:rsidP="00857428">
      <w:pPr>
        <w:spacing w:line="360" w:lineRule="auto"/>
        <w:ind w:left="720"/>
        <w:jc w:val="both"/>
        <w:rPr>
          <w:sz w:val="20"/>
          <w:szCs w:val="20"/>
        </w:rPr>
      </w:pPr>
      <w:hyperlink r:id="rId34">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PAdES.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lastRenderedPageBreak/>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w:t>
      </w:r>
      <w:r w:rsidRPr="00AB5492">
        <w:rPr>
          <w:sz w:val="20"/>
          <w:szCs w:val="20"/>
        </w:rPr>
        <w:lastRenderedPageBreak/>
        <w:t>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70008344"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7036A9">
        <w:rPr>
          <w:sz w:val="20"/>
          <w:szCs w:val="20"/>
        </w:rPr>
        <w:t>3.0</w:t>
      </w:r>
      <w:r w:rsidR="00E45608" w:rsidRPr="00E45608">
        <w:rPr>
          <w:sz w:val="20"/>
          <w:szCs w:val="20"/>
        </w:rPr>
        <w:t>00,00 zł</w:t>
      </w:r>
      <w:r w:rsidRPr="00857428">
        <w:rPr>
          <w:sz w:val="20"/>
          <w:szCs w:val="20"/>
        </w:rPr>
        <w:t xml:space="preserve"> (słownie: </w:t>
      </w:r>
      <w:r w:rsidR="007036A9">
        <w:rPr>
          <w:sz w:val="20"/>
          <w:szCs w:val="20"/>
        </w:rPr>
        <w:t>trzy tysiące</w:t>
      </w:r>
      <w:r w:rsidR="00E45608" w:rsidRPr="00E45608">
        <w:rPr>
          <w:sz w:val="20"/>
          <w:szCs w:val="20"/>
        </w:rPr>
        <w:t xml:space="preserv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lastRenderedPageBreak/>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75D3D1ED"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510138">
        <w:rPr>
          <w:i/>
          <w:sz w:val="20"/>
          <w:szCs w:val="20"/>
        </w:rPr>
        <w:t>1</w:t>
      </w:r>
      <w:r w:rsidR="00E7336F">
        <w:rPr>
          <w:i/>
          <w:sz w:val="20"/>
          <w:szCs w:val="20"/>
        </w:rPr>
        <w:t>9</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4E8AE9C3"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1B1700">
        <w:rPr>
          <w:b/>
          <w:bCs/>
          <w:sz w:val="20"/>
          <w:szCs w:val="20"/>
        </w:rPr>
        <w:t>22.10</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 xml:space="preserve">Przedłużenie terminu związania ofertą wymaga </w:t>
      </w:r>
      <w:r w:rsidRPr="00857428">
        <w:rPr>
          <w:sz w:val="20"/>
          <w:szCs w:val="20"/>
        </w:rPr>
        <w:lastRenderedPageBreak/>
        <w:t>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44194E8E"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5">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6"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F4330D">
        <w:rPr>
          <w:b/>
          <w:bCs/>
          <w:sz w:val="20"/>
          <w:szCs w:val="20"/>
        </w:rPr>
        <w:t>24.09</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9133C0">
        <w:rPr>
          <w:b/>
          <w:bCs/>
          <w:sz w:val="20"/>
          <w:szCs w:val="20"/>
        </w:rPr>
        <w:t>1</w:t>
      </w:r>
      <w:r w:rsidR="00F4330D">
        <w:rPr>
          <w:b/>
          <w:bCs/>
          <w:sz w:val="20"/>
          <w:szCs w:val="20"/>
        </w:rPr>
        <w:t>1</w:t>
      </w:r>
      <w:r w:rsidR="00DA3AF7" w:rsidRPr="00DA3AF7">
        <w:rPr>
          <w:b/>
          <w:bCs/>
          <w:sz w:val="20"/>
          <w:szCs w:val="20"/>
        </w:rPr>
        <w:t>:00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8">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9">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4983CC51"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847448">
        <w:rPr>
          <w:b/>
          <w:bCs/>
          <w:sz w:val="20"/>
          <w:szCs w:val="20"/>
        </w:rPr>
        <w:t>24.09</w:t>
      </w:r>
      <w:r w:rsidR="00B6338E" w:rsidRPr="00DA3AF7">
        <w:rPr>
          <w:b/>
          <w:bCs/>
          <w:sz w:val="20"/>
          <w:szCs w:val="20"/>
        </w:rPr>
        <w:t>.2021r</w:t>
      </w:r>
      <w:r w:rsidRPr="00BA7703">
        <w:rPr>
          <w:sz w:val="20"/>
          <w:szCs w:val="20"/>
        </w:rPr>
        <w:t xml:space="preserve">, o godzinie </w:t>
      </w:r>
      <w:r w:rsidR="009133C0">
        <w:rPr>
          <w:b/>
          <w:bCs/>
          <w:sz w:val="20"/>
          <w:szCs w:val="20"/>
        </w:rPr>
        <w:t>1</w:t>
      </w:r>
      <w:r w:rsidR="00847448">
        <w:rPr>
          <w:b/>
          <w:bCs/>
          <w:sz w:val="20"/>
          <w:szCs w:val="20"/>
        </w:rPr>
        <w:t>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40">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lastRenderedPageBreak/>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B692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CC247D">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5D71F6">
      <w:pPr>
        <w:numPr>
          <w:ilvl w:val="0"/>
          <w:numId w:val="26"/>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0016A46C" w:rsidR="005D71F6" w:rsidRPr="003E7FAD" w:rsidRDefault="005D71F6" w:rsidP="003E7FAD">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3E7FAD">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lastRenderedPageBreak/>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5B6924">
      <w:pPr>
        <w:numPr>
          <w:ilvl w:val="0"/>
          <w:numId w:val="46"/>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5B6924">
      <w:pPr>
        <w:pStyle w:val="Akapitzlist"/>
        <w:numPr>
          <w:ilvl w:val="0"/>
          <w:numId w:val="47"/>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5B6924">
      <w:pPr>
        <w:pStyle w:val="Akapitzlist"/>
        <w:numPr>
          <w:ilvl w:val="0"/>
          <w:numId w:val="47"/>
        </w:numPr>
        <w:spacing w:line="360" w:lineRule="auto"/>
        <w:rPr>
          <w:sz w:val="20"/>
          <w:szCs w:val="20"/>
        </w:rPr>
      </w:pPr>
      <w:r w:rsidRPr="00AE0405">
        <w:rPr>
          <w:sz w:val="20"/>
          <w:szCs w:val="20"/>
        </w:rPr>
        <w:t xml:space="preserve">poręczeniach udzielanych przez podmioty, o których mowa w </w:t>
      </w:r>
      <w:hyperlink r:id="rId41"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5B6924">
      <w:pPr>
        <w:numPr>
          <w:ilvl w:val="0"/>
          <w:numId w:val="46"/>
        </w:numPr>
        <w:spacing w:line="360" w:lineRule="auto"/>
        <w:ind w:left="426"/>
        <w:jc w:val="both"/>
        <w:rPr>
          <w:sz w:val="20"/>
          <w:szCs w:val="20"/>
        </w:rPr>
      </w:pPr>
      <w:r w:rsidRPr="00AE0405">
        <w:rPr>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AE0405">
        <w:rPr>
          <w:sz w:val="20"/>
          <w:szCs w:val="20"/>
        </w:rPr>
        <w:lastRenderedPageBreak/>
        <w:t>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5B6924">
      <w:pPr>
        <w:numPr>
          <w:ilvl w:val="0"/>
          <w:numId w:val="46"/>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5B6924">
      <w:pPr>
        <w:numPr>
          <w:ilvl w:val="0"/>
          <w:numId w:val="46"/>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5B6924">
      <w:pPr>
        <w:numPr>
          <w:ilvl w:val="0"/>
          <w:numId w:val="46"/>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lastRenderedPageBreak/>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CC247D">
      <w:pPr>
        <w:numPr>
          <w:ilvl w:val="0"/>
          <w:numId w:val="23"/>
        </w:numPr>
        <w:spacing w:line="360" w:lineRule="auto"/>
        <w:ind w:left="426"/>
        <w:jc w:val="both"/>
        <w:rPr>
          <w:sz w:val="20"/>
          <w:szCs w:val="20"/>
        </w:rPr>
      </w:pPr>
      <w:r>
        <w:rPr>
          <w:sz w:val="20"/>
          <w:szCs w:val="20"/>
        </w:rPr>
        <w:t>Załącznik nr 2 do SWZ – wzór umowy,</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2"/>
      <w:footerReference w:type="defaul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F7D3" w14:textId="77777777" w:rsidR="002A7D69" w:rsidRDefault="002A7D69">
      <w:pPr>
        <w:spacing w:line="240" w:lineRule="auto"/>
      </w:pPr>
      <w:r>
        <w:separator/>
      </w:r>
    </w:p>
  </w:endnote>
  <w:endnote w:type="continuationSeparator" w:id="0">
    <w:p w14:paraId="5D59AC5E" w14:textId="77777777" w:rsidR="002A7D69" w:rsidRDefault="002A7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B1C1" w14:textId="77777777" w:rsidR="002A7D69" w:rsidRDefault="002A7D69">
      <w:pPr>
        <w:spacing w:line="240" w:lineRule="auto"/>
      </w:pPr>
      <w:r>
        <w:separator/>
      </w:r>
    </w:p>
  </w:footnote>
  <w:footnote w:type="continuationSeparator" w:id="0">
    <w:p w14:paraId="60FAEB2A" w14:textId="77777777" w:rsidR="002A7D69" w:rsidRDefault="002A7D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366D9BA" w:rsidR="00BC03DA"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336489">
      <w:rPr>
        <w:color w:val="365F91" w:themeColor="accent1" w:themeShade="BF"/>
        <w:sz w:val="20"/>
        <w:szCs w:val="20"/>
      </w:rPr>
      <w:t>1</w:t>
    </w:r>
    <w:r w:rsidR="008B49B8">
      <w:rPr>
        <w:color w:val="365F91" w:themeColor="accent1" w:themeShade="BF"/>
        <w:sz w:val="20"/>
        <w:szCs w:val="20"/>
      </w:rPr>
      <w:t>9</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737485"/>
    <w:multiLevelType w:val="multilevel"/>
    <w:tmpl w:val="A566D6A6"/>
    <w:numStyleLink w:val="WW8Num22"/>
  </w:abstractNum>
  <w:abstractNum w:abstractNumId="5"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5181D"/>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42"/>
  </w:num>
  <w:num w:numId="3">
    <w:abstractNumId w:val="2"/>
  </w:num>
  <w:num w:numId="4">
    <w:abstractNumId w:val="21"/>
  </w:num>
  <w:num w:numId="5">
    <w:abstractNumId w:val="46"/>
  </w:num>
  <w:num w:numId="6">
    <w:abstractNumId w:val="15"/>
  </w:num>
  <w:num w:numId="7">
    <w:abstractNumId w:val="1"/>
  </w:num>
  <w:num w:numId="8">
    <w:abstractNumId w:val="48"/>
  </w:num>
  <w:num w:numId="9">
    <w:abstractNumId w:val="47"/>
  </w:num>
  <w:num w:numId="10">
    <w:abstractNumId w:val="19"/>
  </w:num>
  <w:num w:numId="11">
    <w:abstractNumId w:val="23"/>
  </w:num>
  <w:num w:numId="12">
    <w:abstractNumId w:val="0"/>
  </w:num>
  <w:num w:numId="13">
    <w:abstractNumId w:val="28"/>
  </w:num>
  <w:num w:numId="14">
    <w:abstractNumId w:val="3"/>
  </w:num>
  <w:num w:numId="15">
    <w:abstractNumId w:val="7"/>
  </w:num>
  <w:num w:numId="16">
    <w:abstractNumId w:val="32"/>
  </w:num>
  <w:num w:numId="17">
    <w:abstractNumId w:val="11"/>
  </w:num>
  <w:num w:numId="18">
    <w:abstractNumId w:val="20"/>
  </w:num>
  <w:num w:numId="19">
    <w:abstractNumId w:val="12"/>
  </w:num>
  <w:num w:numId="20">
    <w:abstractNumId w:val="9"/>
  </w:num>
  <w:num w:numId="21">
    <w:abstractNumId w:val="25"/>
  </w:num>
  <w:num w:numId="22">
    <w:abstractNumId w:val="37"/>
  </w:num>
  <w:num w:numId="23">
    <w:abstractNumId w:val="18"/>
  </w:num>
  <w:num w:numId="24">
    <w:abstractNumId w:val="38"/>
  </w:num>
  <w:num w:numId="25">
    <w:abstractNumId w:val="3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 w:numId="30">
    <w:abstractNumId w:val="45"/>
  </w:num>
  <w:num w:numId="31">
    <w:abstractNumId w:val="6"/>
  </w:num>
  <w:num w:numId="32">
    <w:abstractNumId w:val="35"/>
  </w:num>
  <w:num w:numId="33">
    <w:abstractNumId w:val="24"/>
  </w:num>
  <w:num w:numId="34">
    <w:abstractNumId w:val="39"/>
  </w:num>
  <w:num w:numId="35">
    <w:abstractNumId w:val="31"/>
  </w:num>
  <w:num w:numId="36">
    <w:abstractNumId w:val="41"/>
  </w:num>
  <w:num w:numId="37">
    <w:abstractNumId w:val="30"/>
  </w:num>
  <w:num w:numId="38">
    <w:abstractNumId w:val="8"/>
  </w:num>
  <w:num w:numId="39">
    <w:abstractNumId w:val="43"/>
  </w:num>
  <w:num w:numId="40">
    <w:abstractNumId w:val="16"/>
  </w:num>
  <w:num w:numId="41">
    <w:abstractNumId w:val="13"/>
  </w:num>
  <w:num w:numId="42">
    <w:abstractNumId w:val="5"/>
  </w:num>
  <w:num w:numId="43">
    <w:abstractNumId w:val="40"/>
  </w:num>
  <w:num w:numId="44">
    <w:abstractNumId w:val="26"/>
  </w:num>
  <w:num w:numId="45">
    <w:abstractNumId w:val="33"/>
  </w:num>
  <w:num w:numId="46">
    <w:abstractNumId w:val="22"/>
  </w:num>
  <w:num w:numId="47">
    <w:abstractNumId w:val="36"/>
  </w:num>
  <w:num w:numId="48">
    <w:abstractNumId w:val="27"/>
  </w:num>
  <w:num w:numId="49">
    <w:abstractNumId w:val="4"/>
  </w:num>
  <w:num w:numId="50">
    <w:abstractNumId w:val="49"/>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07217"/>
    <w:rsid w:val="000279AB"/>
    <w:rsid w:val="00077930"/>
    <w:rsid w:val="000808BE"/>
    <w:rsid w:val="00084196"/>
    <w:rsid w:val="00091F20"/>
    <w:rsid w:val="00094713"/>
    <w:rsid w:val="000A7819"/>
    <w:rsid w:val="000E3121"/>
    <w:rsid w:val="000F3231"/>
    <w:rsid w:val="00103710"/>
    <w:rsid w:val="00110706"/>
    <w:rsid w:val="00111880"/>
    <w:rsid w:val="00116F00"/>
    <w:rsid w:val="0011790C"/>
    <w:rsid w:val="00126150"/>
    <w:rsid w:val="00127FA7"/>
    <w:rsid w:val="00135F8E"/>
    <w:rsid w:val="001431DA"/>
    <w:rsid w:val="00146D90"/>
    <w:rsid w:val="001527E3"/>
    <w:rsid w:val="00164C13"/>
    <w:rsid w:val="00196BD9"/>
    <w:rsid w:val="001A7971"/>
    <w:rsid w:val="001B1700"/>
    <w:rsid w:val="001C476A"/>
    <w:rsid w:val="001D220A"/>
    <w:rsid w:val="00205AC3"/>
    <w:rsid w:val="00205D6B"/>
    <w:rsid w:val="00210610"/>
    <w:rsid w:val="00223B1E"/>
    <w:rsid w:val="002337C1"/>
    <w:rsid w:val="0024289A"/>
    <w:rsid w:val="00243E0C"/>
    <w:rsid w:val="00284609"/>
    <w:rsid w:val="002961FA"/>
    <w:rsid w:val="00297AEC"/>
    <w:rsid w:val="002A0DE7"/>
    <w:rsid w:val="002A7D69"/>
    <w:rsid w:val="002B0761"/>
    <w:rsid w:val="002B669E"/>
    <w:rsid w:val="002C230D"/>
    <w:rsid w:val="002F0EF1"/>
    <w:rsid w:val="002F112B"/>
    <w:rsid w:val="003066CC"/>
    <w:rsid w:val="00307122"/>
    <w:rsid w:val="00316AB2"/>
    <w:rsid w:val="0032706C"/>
    <w:rsid w:val="00330CE0"/>
    <w:rsid w:val="00334E6D"/>
    <w:rsid w:val="00336489"/>
    <w:rsid w:val="00346A99"/>
    <w:rsid w:val="003544B5"/>
    <w:rsid w:val="0035542D"/>
    <w:rsid w:val="00371264"/>
    <w:rsid w:val="003779BF"/>
    <w:rsid w:val="003B42E9"/>
    <w:rsid w:val="003C5CE6"/>
    <w:rsid w:val="003D72D7"/>
    <w:rsid w:val="003E7FAD"/>
    <w:rsid w:val="00411E5E"/>
    <w:rsid w:val="004155CB"/>
    <w:rsid w:val="004228E5"/>
    <w:rsid w:val="00430396"/>
    <w:rsid w:val="004456FF"/>
    <w:rsid w:val="004721F7"/>
    <w:rsid w:val="00473B94"/>
    <w:rsid w:val="0048348B"/>
    <w:rsid w:val="00493C8B"/>
    <w:rsid w:val="004B39C5"/>
    <w:rsid w:val="004B6646"/>
    <w:rsid w:val="004B70A1"/>
    <w:rsid w:val="004C1F92"/>
    <w:rsid w:val="004C5696"/>
    <w:rsid w:val="004E1071"/>
    <w:rsid w:val="004E4CC6"/>
    <w:rsid w:val="004E613E"/>
    <w:rsid w:val="004E649C"/>
    <w:rsid w:val="00510138"/>
    <w:rsid w:val="005149FD"/>
    <w:rsid w:val="00516FF1"/>
    <w:rsid w:val="00521B7C"/>
    <w:rsid w:val="00527843"/>
    <w:rsid w:val="00555319"/>
    <w:rsid w:val="005A29A9"/>
    <w:rsid w:val="005B41D3"/>
    <w:rsid w:val="005B6924"/>
    <w:rsid w:val="005C2461"/>
    <w:rsid w:val="005C319C"/>
    <w:rsid w:val="005D5358"/>
    <w:rsid w:val="005D6E4C"/>
    <w:rsid w:val="005D71F6"/>
    <w:rsid w:val="005F75FF"/>
    <w:rsid w:val="00600A01"/>
    <w:rsid w:val="00613702"/>
    <w:rsid w:val="00615AA1"/>
    <w:rsid w:val="006164DC"/>
    <w:rsid w:val="00621552"/>
    <w:rsid w:val="00625851"/>
    <w:rsid w:val="00627646"/>
    <w:rsid w:val="00631931"/>
    <w:rsid w:val="00636F87"/>
    <w:rsid w:val="00656297"/>
    <w:rsid w:val="00663C73"/>
    <w:rsid w:val="0067098D"/>
    <w:rsid w:val="006B6F8D"/>
    <w:rsid w:val="006C680F"/>
    <w:rsid w:val="006C6E07"/>
    <w:rsid w:val="007000A1"/>
    <w:rsid w:val="007036A9"/>
    <w:rsid w:val="00703CCA"/>
    <w:rsid w:val="007449F0"/>
    <w:rsid w:val="0075593F"/>
    <w:rsid w:val="007702FD"/>
    <w:rsid w:val="00781226"/>
    <w:rsid w:val="007C5C0D"/>
    <w:rsid w:val="007F2EEB"/>
    <w:rsid w:val="007F519D"/>
    <w:rsid w:val="0083190C"/>
    <w:rsid w:val="00847448"/>
    <w:rsid w:val="0085511C"/>
    <w:rsid w:val="00857428"/>
    <w:rsid w:val="00872FE1"/>
    <w:rsid w:val="00892D5E"/>
    <w:rsid w:val="008A53FD"/>
    <w:rsid w:val="008B0137"/>
    <w:rsid w:val="008B49B8"/>
    <w:rsid w:val="008D1B14"/>
    <w:rsid w:val="008D300C"/>
    <w:rsid w:val="008E0C98"/>
    <w:rsid w:val="008F3C87"/>
    <w:rsid w:val="009133C0"/>
    <w:rsid w:val="00915F48"/>
    <w:rsid w:val="00934F1C"/>
    <w:rsid w:val="00937719"/>
    <w:rsid w:val="00965DBA"/>
    <w:rsid w:val="00967419"/>
    <w:rsid w:val="00980C15"/>
    <w:rsid w:val="009816F3"/>
    <w:rsid w:val="009834D5"/>
    <w:rsid w:val="009855A0"/>
    <w:rsid w:val="0098589B"/>
    <w:rsid w:val="00986BB1"/>
    <w:rsid w:val="009D34A8"/>
    <w:rsid w:val="009D5FC4"/>
    <w:rsid w:val="00A0725B"/>
    <w:rsid w:val="00A26BB1"/>
    <w:rsid w:val="00A32A9F"/>
    <w:rsid w:val="00A35828"/>
    <w:rsid w:val="00A43367"/>
    <w:rsid w:val="00A53FFB"/>
    <w:rsid w:val="00A64485"/>
    <w:rsid w:val="00A677E0"/>
    <w:rsid w:val="00AA0B92"/>
    <w:rsid w:val="00AA5F7B"/>
    <w:rsid w:val="00AB5492"/>
    <w:rsid w:val="00AB7189"/>
    <w:rsid w:val="00AE0405"/>
    <w:rsid w:val="00B078C7"/>
    <w:rsid w:val="00B3369C"/>
    <w:rsid w:val="00B6338E"/>
    <w:rsid w:val="00B63907"/>
    <w:rsid w:val="00B67B83"/>
    <w:rsid w:val="00BA33A5"/>
    <w:rsid w:val="00BA7703"/>
    <w:rsid w:val="00BB0225"/>
    <w:rsid w:val="00BC03DA"/>
    <w:rsid w:val="00BD0E42"/>
    <w:rsid w:val="00BD4506"/>
    <w:rsid w:val="00BD4D6A"/>
    <w:rsid w:val="00BE428F"/>
    <w:rsid w:val="00BE488F"/>
    <w:rsid w:val="00BF4844"/>
    <w:rsid w:val="00C05BA0"/>
    <w:rsid w:val="00C249B2"/>
    <w:rsid w:val="00C71A52"/>
    <w:rsid w:val="00CB721F"/>
    <w:rsid w:val="00CC247D"/>
    <w:rsid w:val="00CC5BA0"/>
    <w:rsid w:val="00D106DE"/>
    <w:rsid w:val="00D152FD"/>
    <w:rsid w:val="00D17065"/>
    <w:rsid w:val="00D33F95"/>
    <w:rsid w:val="00D3778B"/>
    <w:rsid w:val="00D4432B"/>
    <w:rsid w:val="00D53380"/>
    <w:rsid w:val="00D805EE"/>
    <w:rsid w:val="00D806F1"/>
    <w:rsid w:val="00D81AA2"/>
    <w:rsid w:val="00D81B40"/>
    <w:rsid w:val="00DA3AF7"/>
    <w:rsid w:val="00DC2689"/>
    <w:rsid w:val="00DE5CF3"/>
    <w:rsid w:val="00E024C0"/>
    <w:rsid w:val="00E34DE9"/>
    <w:rsid w:val="00E44D29"/>
    <w:rsid w:val="00E45608"/>
    <w:rsid w:val="00E53142"/>
    <w:rsid w:val="00E7336F"/>
    <w:rsid w:val="00E74971"/>
    <w:rsid w:val="00E8518F"/>
    <w:rsid w:val="00E855BF"/>
    <w:rsid w:val="00E8599F"/>
    <w:rsid w:val="00E90140"/>
    <w:rsid w:val="00E9282F"/>
    <w:rsid w:val="00EB7C80"/>
    <w:rsid w:val="00EE0D6D"/>
    <w:rsid w:val="00EE5E58"/>
    <w:rsid w:val="00EE6E44"/>
    <w:rsid w:val="00F07924"/>
    <w:rsid w:val="00F20F36"/>
    <w:rsid w:val="00F2797B"/>
    <w:rsid w:val="00F27CFA"/>
    <w:rsid w:val="00F36189"/>
    <w:rsid w:val="00F4330D"/>
    <w:rsid w:val="00F51F31"/>
    <w:rsid w:val="00F63B88"/>
    <w:rsid w:val="00F65798"/>
    <w:rsid w:val="00F666B1"/>
    <w:rsid w:val="00F7615E"/>
    <w:rsid w:val="00F8178B"/>
    <w:rsid w:val="00FB4ABC"/>
    <w:rsid w:val="00FB5CFC"/>
    <w:rsid w:val="00FC50B4"/>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table" w:styleId="Tabela-Siatka">
    <w:name w:val="Table Grid"/>
    <w:basedOn w:val="Standardowy"/>
    <w:uiPriority w:val="39"/>
    <w:rsid w:val="00A072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drezdenko.pl" TargetMode="External"/><Relationship Id="rId18" Type="http://schemas.openxmlformats.org/officeDocument/2006/relationships/hyperlink" Target="mailto:przetargi@drezdenko.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drezdenk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sip.legalis.pl/document-view.seam?documentId=mfrxilrtg4ytgmzsge2dmltqmfyc4nbxgqytcobt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rezdenko"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drezdenko"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drezdenko" TargetMode="External"/><Relationship Id="rId10" Type="http://schemas.openxmlformats.org/officeDocument/2006/relationships/hyperlink" Target="mailto:przetargi@drezdenko.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21</Pages>
  <Words>6900</Words>
  <Characters>41404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151</cp:revision>
  <dcterms:created xsi:type="dcterms:W3CDTF">2021-03-01T14:14:00Z</dcterms:created>
  <dcterms:modified xsi:type="dcterms:W3CDTF">2021-09-09T11:29:00Z</dcterms:modified>
</cp:coreProperties>
</file>