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Pr="002F70AA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3FDECC7F" w14:textId="70DD3AF4" w:rsidR="000D1366" w:rsidRPr="002F70AA" w:rsidRDefault="00EC44A4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SPZP.271.</w:t>
      </w:r>
      <w:r w:rsidR="00E663EB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46</w:t>
      </w: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.2024</w:t>
      </w:r>
    </w:p>
    <w:p w14:paraId="73A55D37" w14:textId="77777777" w:rsidR="00221F43" w:rsidRPr="002F70AA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7890BF99" w14:textId="3ECCCAF7" w:rsidR="00E663EB" w:rsidRPr="00E663EB" w:rsidRDefault="00E663EB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E663EB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Dostawa sprzętu do automatycznego barwienia preparatów histologicznyc</w:t>
      </w:r>
      <w:r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h</w:t>
      </w:r>
      <w:r w:rsidRPr="00E663EB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dla Biobank</w:t>
      </w:r>
      <w:r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u.</w:t>
      </w:r>
    </w:p>
    <w:p w14:paraId="73936FE4" w14:textId="4B0777EE" w:rsidR="00221F43" w:rsidRPr="002F70AA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Kluczowe parametry </w:t>
      </w:r>
      <w:r w:rsidR="00BB6123"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urządzeń </w:t>
      </w: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są opisane poniżej.</w:t>
      </w:r>
    </w:p>
    <w:p w14:paraId="3844FD11" w14:textId="29E4852D" w:rsidR="00BB6123" w:rsidRPr="002F70AA" w:rsidRDefault="00333C60" w:rsidP="00E663EB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II. Minimalne 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5079"/>
        <w:gridCol w:w="2629"/>
      </w:tblGrid>
      <w:tr w:rsidR="00BB6123" w:rsidRPr="002F70AA" w14:paraId="7D26E016" w14:textId="77777777" w:rsidTr="008E0FB5">
        <w:tc>
          <w:tcPr>
            <w:tcW w:w="445" w:type="dxa"/>
          </w:tcPr>
          <w:p w14:paraId="35C973B6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EEC1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09C093A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6D1AC8DD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798BB79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95CEE17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BB6123" w:rsidRPr="002F70AA" w14:paraId="63C95E7A" w14:textId="77777777" w:rsidTr="008E0FB5">
        <w:tc>
          <w:tcPr>
            <w:tcW w:w="445" w:type="dxa"/>
          </w:tcPr>
          <w:p w14:paraId="576FB662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CCB21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3DE9AE32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48CC7BB8" w14:textId="001541E7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</w:t>
            </w:r>
          </w:p>
          <w:p w14:paraId="67B32D97" w14:textId="22AB136F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</w:t>
            </w:r>
          </w:p>
          <w:p w14:paraId="5FE8DB56" w14:textId="1B26BAA1" w:rsidR="00E2329E" w:rsidRPr="004E0806" w:rsidRDefault="00BB6123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Model: ………………………………………………………………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3335826" w14:textId="77777777" w:rsidR="00BB6123" w:rsidRPr="002F70AA" w:rsidRDefault="00BB6123" w:rsidP="00BB612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1BFE0D1" w14:textId="77777777" w:rsidTr="008E0FB5">
        <w:tc>
          <w:tcPr>
            <w:tcW w:w="445" w:type="dxa"/>
          </w:tcPr>
          <w:p w14:paraId="3F3A62C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BA7A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fabrycznie nowe, nieużywane, nierekondycjonowane. Urządzenie seryjne bez dodatkowych modyfikacji.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48BC98D" w14:textId="6DC6B7C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1BFAE4" w14:textId="77777777" w:rsidTr="008E0FB5">
        <w:tc>
          <w:tcPr>
            <w:tcW w:w="445" w:type="dxa"/>
          </w:tcPr>
          <w:p w14:paraId="49208D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ED09" w14:textId="282FE5C7" w:rsidR="000B2073" w:rsidRPr="002F70AA" w:rsidRDefault="00E663EB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System nablatowy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CDB175C" w14:textId="7B85E2D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6B1EBD1" w14:textId="77777777" w:rsidTr="008E0FB5">
        <w:tc>
          <w:tcPr>
            <w:tcW w:w="445" w:type="dxa"/>
          </w:tcPr>
          <w:p w14:paraId="3874D34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D59C" w14:textId="4453B349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663EB">
              <w:rPr>
                <w:rFonts w:eastAsia="Calibri" w:cstheme="minorHAnsi"/>
                <w:color w:val="000000"/>
                <w:kern w:val="1"/>
                <w:lang w:eastAsia="hi-IN" w:bidi="hi-IN"/>
              </w:rPr>
              <w:t>System umożliwiający użycie przeciwciał i odczynników innych producentów.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A41BB0F" w14:textId="5A5BB1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08328E6" w14:textId="77777777" w:rsidTr="008E0FB5">
        <w:tc>
          <w:tcPr>
            <w:tcW w:w="445" w:type="dxa"/>
          </w:tcPr>
          <w:p w14:paraId="42B081B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8287" w14:textId="4199CCD4" w:rsidR="000B2073" w:rsidRPr="00E663EB" w:rsidRDefault="00E663EB" w:rsidP="00E663EB">
            <w:pPr>
              <w:widowControl w:val="0"/>
              <w:tabs>
                <w:tab w:val="num" w:pos="720"/>
              </w:tabs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663EB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jednoczesnego barwienia do 48 szkiełek (12 szkiełek na statyw x 4 statywy)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5D827FF" w14:textId="0AA488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D54FCB" w14:textId="77777777" w:rsidTr="008E0FB5">
        <w:tc>
          <w:tcPr>
            <w:tcW w:w="445" w:type="dxa"/>
          </w:tcPr>
          <w:p w14:paraId="12C4A91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BCC8" w14:textId="0F305567" w:rsidR="000B2073" w:rsidRPr="002F70AA" w:rsidRDefault="00E663EB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stosowania 42 odczynników w jednym cyklu pracy urządzenia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AD502B3" w14:textId="651F3B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2D7E4A" w14:textId="77777777" w:rsidTr="008E0FB5">
        <w:tc>
          <w:tcPr>
            <w:tcW w:w="445" w:type="dxa"/>
          </w:tcPr>
          <w:p w14:paraId="4A62CC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DB" w14:textId="4625A192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>Możliwość równoczesnego barwienia 36 różnych antygenów.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3DF2F7C" w14:textId="373FC05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E5A0612" w14:textId="77777777" w:rsidTr="008E0FB5">
        <w:tc>
          <w:tcPr>
            <w:tcW w:w="445" w:type="dxa"/>
          </w:tcPr>
          <w:p w14:paraId="5EFD5CB9" w14:textId="4432A09E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D5944" w14:textId="09EBBB4B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>Możliwość wykonywania barwień pojedynczych, podwójnych, potrójnych, fluorescencyjnych na tkankach parafinowych, trepanobioptatach, cytospinach, rozmazach cytologicznych.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7EC673EB" w14:textId="6BFF622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B407AA1" w14:textId="77777777" w:rsidTr="008E0FB5">
        <w:tc>
          <w:tcPr>
            <w:tcW w:w="445" w:type="dxa"/>
          </w:tcPr>
          <w:p w14:paraId="7EA79237" w14:textId="314CE96D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1323A" w14:textId="6AE8B7BB" w:rsidR="000B2073" w:rsidRPr="00E663EB" w:rsidRDefault="00E663EB" w:rsidP="00E663EB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B1020B">
              <w:rPr>
                <w:rFonts w:eastAsia="Calibri" w:cstheme="minorHAnsi"/>
                <w:color w:val="000000"/>
              </w:rPr>
              <w:t xml:space="preserve">Identyfikacja szkiełek i odczynników za pomocą </w:t>
            </w:r>
            <w:proofErr w:type="spellStart"/>
            <w:r w:rsidRPr="00B1020B">
              <w:rPr>
                <w:rFonts w:eastAsia="Calibri" w:cstheme="minorHAnsi"/>
                <w:color w:val="000000"/>
              </w:rPr>
              <w:t>barkodów</w:t>
            </w:r>
            <w:proofErr w:type="spellEnd"/>
            <w:r w:rsidRPr="00B1020B"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C10CACA" w14:textId="3F64F9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851B4C3" w14:textId="77777777" w:rsidTr="008E0FB5">
        <w:tc>
          <w:tcPr>
            <w:tcW w:w="445" w:type="dxa"/>
          </w:tcPr>
          <w:p w14:paraId="13AD44C3" w14:textId="1B7BDC7F" w:rsidR="000B2073" w:rsidRPr="00E2329E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3B13F" w14:textId="039188BD" w:rsidR="000B2073" w:rsidRPr="00E25F18" w:rsidRDefault="00E25F18" w:rsidP="00E25F18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</w:rPr>
            </w:pPr>
            <w:r w:rsidRPr="00E25F18"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Skanowanie szkiełek i odczynników zarówno na </w:t>
            </w:r>
            <w:r w:rsidRPr="00E25F18">
              <w:rPr>
                <w:rFonts w:eastAsia="Calibri" w:cstheme="minorHAnsi"/>
                <w:color w:val="000000"/>
              </w:rPr>
              <w:lastRenderedPageBreak/>
              <w:t>pokładzie urządzenia przed jego uruchomieniem jak i w trakcie pracy aparatu poza jego pokładem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F23B7DF" w14:textId="1FB6898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7286230F" w14:textId="77777777" w:rsidTr="008E0FB5">
        <w:tc>
          <w:tcPr>
            <w:tcW w:w="445" w:type="dxa"/>
          </w:tcPr>
          <w:p w14:paraId="61907301" w14:textId="5535C26A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8E937" w14:textId="4167BDF4" w:rsidR="000B2073" w:rsidRPr="00E25F18" w:rsidRDefault="00E25F18" w:rsidP="00E25F18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E25F18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wykorzystania odczynników również w metodzie manualnej, bez potrzeby dalszej optymalizacji protokołów.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6E37ECD9" w14:textId="38C6193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7FC3C8B" w14:textId="77777777" w:rsidTr="008E0FB5">
        <w:trPr>
          <w:trHeight w:val="473"/>
        </w:trPr>
        <w:tc>
          <w:tcPr>
            <w:tcW w:w="445" w:type="dxa"/>
          </w:tcPr>
          <w:p w14:paraId="1EFBFBC0" w14:textId="0D634BB3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AD9F" w14:textId="7EA2770D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tworzenia własnych protokołów barwienia przez użytkownika dla np. odczynników innych producentów.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4312816E" w14:textId="22C3314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0B2073" w14:paraId="2377A108" w14:textId="77777777" w:rsidTr="008E0FB5">
        <w:tc>
          <w:tcPr>
            <w:tcW w:w="445" w:type="dxa"/>
          </w:tcPr>
          <w:p w14:paraId="62AB6355" w14:textId="1B110A6B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E8E9D" w14:textId="09147E32" w:rsidR="000B2073" w:rsidRPr="0035126C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rejestracji danych pacjenta, jednostki zlecającej, numeru bloczka, numeru szkiełka, rodzaju tkanki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D821BF7" w14:textId="3546046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9F56111" w14:textId="77777777" w:rsidTr="008E0FB5">
        <w:tc>
          <w:tcPr>
            <w:tcW w:w="445" w:type="dxa"/>
          </w:tcPr>
          <w:p w14:paraId="3F6982A1" w14:textId="07122185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2258" w14:textId="292E3B6C" w:rsidR="000B2073" w:rsidRPr="00E2329E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Możliwość rejestracji danych pacjenta, jednostki zlecającej, numeru bloczka, numeru szkiełka, rodzaju tkanki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1EC36B3A" w14:textId="5A2493B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AC93F61" w14:textId="77777777" w:rsidTr="008E0FB5">
        <w:tc>
          <w:tcPr>
            <w:tcW w:w="445" w:type="dxa"/>
          </w:tcPr>
          <w:p w14:paraId="6599B093" w14:textId="5CBE20D4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EAB7" w14:textId="3350CC58" w:rsidR="000B2073" w:rsidRPr="0035126C" w:rsidRDefault="0035126C" w:rsidP="0035126C">
            <w:pPr>
              <w:tabs>
                <w:tab w:val="num" w:pos="720"/>
              </w:tabs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Możliwość stosowania butelek na odczynniki o pojemnościach: 5ml, 12ml, 25ml i 50 ml.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4945D3A" w14:textId="48432C8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0EE0BD1" w14:textId="77777777" w:rsidTr="008E0FB5">
        <w:tc>
          <w:tcPr>
            <w:tcW w:w="445" w:type="dxa"/>
          </w:tcPr>
          <w:p w14:paraId="559146C0" w14:textId="2D92319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41DC6" w14:textId="7E1D03D9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programowania pracy urządzenia z 5 różnych stanowisk komputerowych w jednostce naukowej.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3070F98" w14:textId="540FB2C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5082D5B" w14:textId="77777777" w:rsidTr="008E0FB5">
        <w:tc>
          <w:tcPr>
            <w:tcW w:w="445" w:type="dxa"/>
          </w:tcPr>
          <w:p w14:paraId="57482359" w14:textId="2CEF4512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0DFAF" w14:textId="21059258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>
              <w:rPr>
                <w:rFonts w:eastAsia="Calibri" w:cstheme="minorHAnsi"/>
                <w:color w:val="000000"/>
                <w:kern w:val="1"/>
                <w:lang w:eastAsia="hi-IN" w:bidi="hi-IN"/>
              </w:rPr>
              <w:t>T</w:t>
            </w: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emperatura pracy: temperatura otoczenia, co pozwala na stosowanie do barwień przeciwciał wrażliwych na wyższe temperatury.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C11E197" w14:textId="30050DC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7012BF9" w14:textId="77777777" w:rsidTr="008E0FB5">
        <w:tc>
          <w:tcPr>
            <w:tcW w:w="445" w:type="dxa"/>
          </w:tcPr>
          <w:p w14:paraId="75C0CB2E" w14:textId="22835B86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F9CB9" w14:textId="06758A87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Bezpłatne oprogramowanie w języku polskim.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36C262C" w14:textId="4CEF790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A4851C" w14:textId="77777777" w:rsidTr="008E0FB5">
        <w:tc>
          <w:tcPr>
            <w:tcW w:w="445" w:type="dxa"/>
          </w:tcPr>
          <w:p w14:paraId="5300A3FB" w14:textId="4D055F4E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BAAF" w14:textId="77770E1A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 w:rsidRPr="0035126C">
              <w:rPr>
                <w:rFonts w:eastAsia="Calibri" w:cstheme="minorHAnsi"/>
                <w:color w:val="000000"/>
                <w:kern w:val="1"/>
                <w:lang w:eastAsia="hi-IN" w:bidi="hi-IN"/>
              </w:rPr>
              <w:t>Możliwość zaprogramowania aparatu na opóźniony start.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CC9B7FF" w14:textId="1A027E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4A0C0F0" w14:textId="77777777" w:rsidTr="008E0FB5">
        <w:tc>
          <w:tcPr>
            <w:tcW w:w="445" w:type="dxa"/>
          </w:tcPr>
          <w:p w14:paraId="3F9343FC" w14:textId="75DC744C" w:rsidR="000B2073" w:rsidRPr="002F70AA" w:rsidRDefault="00AB427D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F8F6" w14:textId="52A54FE1" w:rsidR="000B2073" w:rsidRPr="0035126C" w:rsidRDefault="004E0806" w:rsidP="0035126C">
            <w:pPr>
              <w:widowControl w:val="0"/>
              <w:suppressAutoHyphens/>
              <w:spacing w:line="100" w:lineRule="atLeast"/>
              <w:rPr>
                <w:rFonts w:eastAsia="Calibri" w:cstheme="minorHAnsi"/>
                <w:color w:val="000000"/>
                <w:kern w:val="1"/>
                <w:lang w:eastAsia="hi-IN" w:bidi="hi-IN"/>
              </w:rPr>
            </w:pPr>
            <w:r>
              <w:rPr>
                <w:rFonts w:eastAsia="Calibri" w:cstheme="minorHAnsi"/>
                <w:color w:val="000000"/>
                <w:kern w:val="1"/>
                <w:lang w:eastAsia="hi-IN" w:bidi="hi-IN"/>
              </w:rPr>
              <w:t xml:space="preserve">Sprzęt umożliwia segregację odpadów pochodzących z procesu technologicznego na odpady szkodliwe i nieszkodliwe.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2092A3C0" w14:textId="6CC90F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C71F6A" w14:textId="77777777" w:rsidTr="008E0FB5">
        <w:tc>
          <w:tcPr>
            <w:tcW w:w="445" w:type="dxa"/>
          </w:tcPr>
          <w:p w14:paraId="161675E8" w14:textId="7B962D8B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5FA07" w14:textId="1BD99593" w:rsidR="000B2073" w:rsidRPr="002F70AA" w:rsidRDefault="0035126C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B1020B">
              <w:rPr>
                <w:rFonts w:eastAsia="Calibri" w:cstheme="minorHAnsi"/>
                <w:color w:val="000000"/>
              </w:rPr>
              <w:t>Konserwacja aparatu nie dłuższa niż 40 min. bez użycia środków zawierających chlor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3E45D9F3" w14:textId="78774F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818D30" w14:textId="77777777" w:rsidTr="008E0FB5">
        <w:tc>
          <w:tcPr>
            <w:tcW w:w="445" w:type="dxa"/>
          </w:tcPr>
          <w:p w14:paraId="2A0CDAB5" w14:textId="7576B01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F2A3E" w14:textId="47555DB4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eastAsia="SimSun" w:cstheme="minorHAnsi"/>
                <w:kern w:val="1"/>
                <w:lang w:eastAsia="hi-IN" w:bidi="hi-IN"/>
              </w:rPr>
            </w:pPr>
            <w:r w:rsidRPr="0035126C">
              <w:rPr>
                <w:rFonts w:eastAsia="SimSun" w:cstheme="minorHAnsi"/>
                <w:kern w:val="1"/>
                <w:lang w:eastAsia="hi-IN" w:bidi="hi-IN"/>
              </w:rPr>
              <w:t>Wymiary nie większe niż (Wys. x Szer x Gł):  70 cm x 90 cm x 70 cm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0E747A39" w14:textId="143F2A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5F272E" w14:textId="77777777" w:rsidTr="008E0FB5">
        <w:tc>
          <w:tcPr>
            <w:tcW w:w="445" w:type="dxa"/>
          </w:tcPr>
          <w:p w14:paraId="761231EB" w14:textId="7CC59F6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AB427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927" w14:textId="7BFA4C58" w:rsidR="000B2073" w:rsidRPr="0035126C" w:rsidRDefault="0035126C" w:rsidP="0035126C">
            <w:pPr>
              <w:widowControl w:val="0"/>
              <w:suppressAutoHyphens/>
              <w:spacing w:line="100" w:lineRule="atLeast"/>
              <w:rPr>
                <w:rFonts w:cstheme="minorHAnsi"/>
              </w:rPr>
            </w:pPr>
            <w:r w:rsidRPr="00B1020B">
              <w:rPr>
                <w:rFonts w:cstheme="minorHAnsi"/>
              </w:rPr>
              <w:t>Waga</w:t>
            </w:r>
            <w:r>
              <w:rPr>
                <w:rFonts w:cstheme="minorHAnsi"/>
              </w:rPr>
              <w:t xml:space="preserve"> nie więcej niż </w:t>
            </w:r>
            <w:r w:rsidRPr="00B1020B">
              <w:rPr>
                <w:rFonts w:cstheme="minorHAnsi"/>
              </w:rPr>
              <w:t xml:space="preserve"> 67 kg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14:paraId="512A3C7B" w14:textId="56449AD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07947CBC" w14:textId="77777777" w:rsidR="000755A2" w:rsidRDefault="000755A2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53FAE51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6DF120F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3D0A49F9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BCD7989" w14:textId="77777777" w:rsidR="008E0FB5" w:rsidRDefault="008E0FB5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76095189" w14:textId="77777777" w:rsidR="00A522EB" w:rsidRPr="002F70AA" w:rsidRDefault="00A522EB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Pr="002F70AA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lastRenderedPageBreak/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521E41" w:rsidRPr="002F70AA" w14:paraId="0A14C829" w14:textId="77777777" w:rsidTr="000B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4A8E54" w14:textId="3786C681" w:rsidR="00521E41" w:rsidRPr="002F70AA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Parametry</w:t>
            </w:r>
          </w:p>
        </w:tc>
        <w:tc>
          <w:tcPr>
            <w:tcW w:w="2410" w:type="dxa"/>
          </w:tcPr>
          <w:p w14:paraId="6F4312A4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7B2F0D85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57268F8A" w14:textId="77777777" w:rsidR="00521E41" w:rsidRPr="002F70AA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D5D9472" w14:textId="77777777" w:rsidR="00521E41" w:rsidRPr="002F70AA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521E41" w:rsidRPr="002F70AA" w14:paraId="5A2C09C1" w14:textId="77777777" w:rsidTr="000B207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35CBDC" w14:textId="26263D91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Pełna instrukcja obsługi w języku polskim lub angielskim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formie </w:t>
            </w:r>
            <w:r w:rsidR="00C93E8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elektronicznej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/papierowej</w:t>
            </w:r>
          </w:p>
        </w:tc>
        <w:tc>
          <w:tcPr>
            <w:tcW w:w="2410" w:type="dxa"/>
            <w:vAlign w:val="center"/>
          </w:tcPr>
          <w:p w14:paraId="42DAAD02" w14:textId="7BE9972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0A32C849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877AB4" w14:textId="04EBB1AD" w:rsidR="00EA63C5" w:rsidRPr="002F70AA" w:rsidRDefault="00521E41" w:rsidP="00EA63C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Gwarancja min. </w:t>
            </w:r>
            <w:r w:rsidR="00E8104C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48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miesięcy na cały oferowany</w:t>
            </w:r>
            <w:r w:rsidR="00ED0D3E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sprzęt wraz z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system</w:t>
            </w:r>
            <w:r w:rsidR="00EA63C5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.</w:t>
            </w:r>
          </w:p>
          <w:p w14:paraId="27135368" w14:textId="0B280B19" w:rsidR="00521E41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0" w:name="_Hlk163126944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W okresie gwarancyjnym Wykonawca przeprowadzi </w:t>
            </w:r>
            <w:r w:rsidR="00E8104C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cztery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pełne przeglądy techniczne dostarczonego sprzętu ( w odstępnie maks. 12 m-cy, przy czym ostatni z nich w ostatnim miesiącu trwania gwarancji) obejmujące dostawę i wymianę materiałów eksploatacyjnych </w:t>
            </w:r>
            <w:bookmarkEnd w:id="0"/>
          </w:p>
        </w:tc>
        <w:tc>
          <w:tcPr>
            <w:tcW w:w="2410" w:type="dxa"/>
            <w:vAlign w:val="center"/>
          </w:tcPr>
          <w:p w14:paraId="2B7387F0" w14:textId="4B59007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4ED3968D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4337AC" w14:textId="77777777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Serwis pierwszego kontaktu w języku polskim</w:t>
            </w:r>
          </w:p>
          <w:p w14:paraId="68BBB1A6" w14:textId="6184E682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Czas reakcji autoryzowanego serwisu od momentu zgłoszenia w dowolnej formie (e-mail lub zgłoszenie serwisowe) w przypadku awarii do 48 h</w:t>
            </w:r>
            <w:r w:rsidR="00F077E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, z zastrzeżeniem że serwis gwarancyjny będzie świadczony zgodnie z załącznikiem nr 4 do Umowy.</w:t>
            </w:r>
          </w:p>
          <w:p w14:paraId="2816551B" w14:textId="489FD15B" w:rsidR="00FD0C44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Maksymalny czas usunięcia awarii: 14 dni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roboczych 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od momentu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diagnozy problemu/usterki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dowolnej formie (e-mail lub zgłoszenie serwisowe) </w:t>
            </w:r>
            <w:r w:rsidR="00FD0C4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Maksymalna liczba napraw powodująca wymianę podzespołu na nowy: 2</w:t>
            </w:r>
            <w:r w:rsidR="00902CB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(zgodnie z zapisami zał. nr 4 do umowy)</w:t>
            </w:r>
          </w:p>
        </w:tc>
        <w:tc>
          <w:tcPr>
            <w:tcW w:w="2410" w:type="dxa"/>
            <w:vAlign w:val="center"/>
          </w:tcPr>
          <w:p w14:paraId="7BCBA706" w14:textId="5038E54F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2CEDBA03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B56EBF1" w14:textId="763C95F0" w:rsidR="00521E41" w:rsidRDefault="00521E41" w:rsidP="00521E41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Szkolenie obsługowe wykonywane przez inżyniera serwisowego oraz aplikacyjne</w:t>
            </w:r>
            <w:r w:rsidR="00AD20AA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dla </w:t>
            </w:r>
            <w:r w:rsidR="00A755FE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minimum 5 osób, 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wykon</w:t>
            </w:r>
            <w:r w:rsidR="007938D2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ane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przez specjalistę aplikacyjnego </w:t>
            </w:r>
            <w:r w:rsidR="00E8104C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dystrybutora sprzetu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(</w:t>
            </w:r>
            <w:r w:rsidR="00D41F41"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Wykonawca uzgodni planowany termin realizacji przeprowadzenia szkolenia z obsługi ww. Sprzętu z Zamawiającym</w:t>
            </w:r>
            <w:r w:rsidRP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)</w:t>
            </w:r>
            <w:r w:rsidR="008E0FB5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.</w:t>
            </w:r>
          </w:p>
          <w:p w14:paraId="7D4ADFD5" w14:textId="5BFFB0C4" w:rsidR="008E0FB5" w:rsidRPr="002F70AA" w:rsidRDefault="008E0FB5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Przeprowadzenie kwalifikacji procesowej na dostarczonym przez Wykonawcę </w:t>
            </w:r>
            <w:r w:rsidR="00DC0E8D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startowym </w:t>
            </w:r>
            <w:r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zestawie odczynników umożliwiającym przeprowadzenie pełnego procesu technologicznego wraz z dostarczeniem protokołów dokumentujących przeprowadzoną kwalifikację.</w:t>
            </w:r>
          </w:p>
        </w:tc>
        <w:tc>
          <w:tcPr>
            <w:tcW w:w="2410" w:type="dxa"/>
            <w:vAlign w:val="center"/>
          </w:tcPr>
          <w:p w14:paraId="3C79EFB5" w14:textId="112CBAF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AD755FE" w14:textId="77777777" w:rsidR="00521E41" w:rsidRPr="002F70AA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79EC5FCD" w:rsidR="00D41F41" w:rsidRPr="002F70AA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lastRenderedPageBreak/>
        <w:t>Przedmiot zamówienia obejmuje Transport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Stabłowicka 147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budynek C pokój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1.</w:t>
      </w:r>
      <w:r w:rsidR="004B07E9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F0746D1" w14:textId="77777777" w:rsidR="00D41F41" w:rsidRPr="002F70AA" w:rsidRDefault="00D41F41" w:rsidP="008E0FB5">
      <w:pPr>
        <w:spacing w:after="120" w:line="280" w:lineRule="exact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Pr="002F70AA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Pr="002F70AA" w:rsidRDefault="007A18EF" w:rsidP="00FD1A32">
      <w:pPr>
        <w:suppressAutoHyphens/>
        <w:spacing w:after="0" w:line="276" w:lineRule="auto"/>
        <w:ind w:right="-369"/>
        <w:jc w:val="both"/>
        <w:rPr>
          <w:rFonts w:ascii="Verdana" w:hAnsi="Verdana"/>
        </w:rPr>
      </w:pPr>
    </w:p>
    <w:sectPr w:rsidR="007A18EF" w:rsidRPr="002F70A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0E15" w14:textId="77777777" w:rsidR="00A02B4A" w:rsidRDefault="00A02B4A" w:rsidP="00116F1F">
      <w:pPr>
        <w:spacing w:after="0" w:line="240" w:lineRule="auto"/>
      </w:pPr>
      <w:r>
        <w:separator/>
      </w:r>
    </w:p>
  </w:endnote>
  <w:endnote w:type="continuationSeparator" w:id="0">
    <w:p w14:paraId="4C4BFA2A" w14:textId="77777777" w:rsidR="00A02B4A" w:rsidRDefault="00A02B4A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FDC9E7" w14:textId="77777777" w:rsidR="007E1CFA" w:rsidRDefault="007E1CFA" w:rsidP="007E1CFA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5460"/>
            </w:tblGrid>
            <w:tr w:rsidR="007E1CFA" w:rsidRPr="00692205" w14:paraId="5323084E" w14:textId="77777777" w:rsidTr="00ED671A">
              <w:trPr>
                <w:trHeight w:val="426"/>
              </w:trPr>
              <w:tc>
                <w:tcPr>
                  <w:tcW w:w="2268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6A37A7C3" w14:textId="77777777" w:rsidR="007E1CFA" w:rsidRPr="004C35DC" w:rsidRDefault="007E1CFA" w:rsidP="007E1CFA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71D3BF" wp14:editId="10D4FC6A">
                        <wp:extent cx="1990658" cy="619125"/>
                        <wp:effectExtent l="0" t="0" r="0" b="0"/>
                        <wp:docPr id="1402456145" name="Obraz 1" descr="Obraz zawierający symbol, Grafika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456145" name="Obraz 1" descr="Obraz zawierający symbol, Grafika, design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445" cy="641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2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742BE5FD" w14:textId="77777777" w:rsidR="007E1CFA" w:rsidRPr="004C35DC" w:rsidRDefault="007E1CFA" w:rsidP="007E1CFA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„Zintegrowana platforma do analiz histopatologicznych dla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Biobanku</w:t>
                  </w:r>
                  <w:proofErr w:type="spellEnd"/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Łukasiewicz - PORT</w:t>
                  </w: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” finansowany ze środków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MNiSW</w:t>
                  </w:r>
                  <w:proofErr w:type="spellEnd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na podstawie umowy nr </w:t>
                  </w:r>
                  <w:r w:rsidRPr="00D16FF2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7392/IA/SN/2023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020279AC" w14:textId="77777777" w:rsidR="007E1CFA" w:rsidRDefault="007E1CFA" w:rsidP="007E1CFA">
            <w:pPr>
              <w:pStyle w:val="Stopka"/>
            </w:pPr>
          </w:p>
          <w:p w14:paraId="34026D17" w14:textId="77777777" w:rsidR="007E1CFA" w:rsidRPr="00D40690" w:rsidRDefault="007E1CFA" w:rsidP="007E1CFA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19</w:t>
            </w:r>
            <w:r w:rsidRPr="00D40690">
              <w:fldChar w:fldCharType="end"/>
            </w:r>
          </w:p>
        </w:sdtContent>
      </w:sdt>
    </w:sdtContent>
  </w:sdt>
  <w:p w14:paraId="2E5CF7A4" w14:textId="43832F10" w:rsidR="00175E21" w:rsidRPr="007E1CFA" w:rsidRDefault="007E1CFA" w:rsidP="007E1CFA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3360" behindDoc="1" locked="1" layoutInCell="1" allowOverlap="1" wp14:anchorId="55E4208F" wp14:editId="2BC1F4A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AD46BCF" wp14:editId="5238D1A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4E0CF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494158E3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AFBE7AF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5CF42201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CC95CE7" w14:textId="77777777" w:rsidR="007E1CFA" w:rsidRPr="00880786" w:rsidRDefault="007E1CFA" w:rsidP="007E1CF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46B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6E54E0CF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494158E3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AFBE7AF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5CF42201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CC95CE7" w14:textId="77777777" w:rsidR="007E1CFA" w:rsidRPr="00880786" w:rsidRDefault="007E1CFA" w:rsidP="007E1CF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E01" w14:textId="77777777" w:rsidR="00A02B4A" w:rsidRDefault="00A02B4A" w:rsidP="00116F1F">
      <w:pPr>
        <w:spacing w:after="0" w:line="240" w:lineRule="auto"/>
      </w:pPr>
      <w:r>
        <w:separator/>
      </w:r>
    </w:p>
  </w:footnote>
  <w:footnote w:type="continuationSeparator" w:id="0">
    <w:p w14:paraId="30C9BE26" w14:textId="77777777" w:rsidR="00A02B4A" w:rsidRDefault="00A02B4A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4988">
    <w:abstractNumId w:val="5"/>
  </w:num>
  <w:num w:numId="2" w16cid:durableId="1671637639">
    <w:abstractNumId w:val="20"/>
  </w:num>
  <w:num w:numId="3" w16cid:durableId="10758563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60941870">
    <w:abstractNumId w:val="17"/>
  </w:num>
  <w:num w:numId="5" w16cid:durableId="1081371303">
    <w:abstractNumId w:val="2"/>
  </w:num>
  <w:num w:numId="6" w16cid:durableId="264265557">
    <w:abstractNumId w:val="3"/>
  </w:num>
  <w:num w:numId="7" w16cid:durableId="1933782089">
    <w:abstractNumId w:val="7"/>
  </w:num>
  <w:num w:numId="8" w16cid:durableId="878591885">
    <w:abstractNumId w:val="19"/>
  </w:num>
  <w:num w:numId="9" w16cid:durableId="1244215902">
    <w:abstractNumId w:val="9"/>
  </w:num>
  <w:num w:numId="10" w16cid:durableId="302733986">
    <w:abstractNumId w:val="15"/>
  </w:num>
  <w:num w:numId="11" w16cid:durableId="1912882303">
    <w:abstractNumId w:val="4"/>
  </w:num>
  <w:num w:numId="12" w16cid:durableId="382801644">
    <w:abstractNumId w:val="16"/>
  </w:num>
  <w:num w:numId="13" w16cid:durableId="1530799474">
    <w:abstractNumId w:val="23"/>
  </w:num>
  <w:num w:numId="14" w16cid:durableId="1400324597">
    <w:abstractNumId w:val="22"/>
  </w:num>
  <w:num w:numId="15" w16cid:durableId="167142998">
    <w:abstractNumId w:val="27"/>
  </w:num>
  <w:num w:numId="16" w16cid:durableId="615717465">
    <w:abstractNumId w:val="21"/>
  </w:num>
  <w:num w:numId="17" w16cid:durableId="51580237">
    <w:abstractNumId w:val="24"/>
  </w:num>
  <w:num w:numId="18" w16cid:durableId="1417435155">
    <w:abstractNumId w:val="12"/>
  </w:num>
  <w:num w:numId="19" w16cid:durableId="1889993001">
    <w:abstractNumId w:val="13"/>
  </w:num>
  <w:num w:numId="20" w16cid:durableId="776490324">
    <w:abstractNumId w:val="11"/>
  </w:num>
  <w:num w:numId="21" w16cid:durableId="441220719">
    <w:abstractNumId w:val="14"/>
  </w:num>
  <w:num w:numId="22" w16cid:durableId="16280384">
    <w:abstractNumId w:val="25"/>
  </w:num>
  <w:num w:numId="23" w16cid:durableId="1395086051">
    <w:abstractNumId w:val="10"/>
  </w:num>
  <w:num w:numId="24" w16cid:durableId="450901230">
    <w:abstractNumId w:val="26"/>
  </w:num>
  <w:num w:numId="25" w16cid:durableId="383410707">
    <w:abstractNumId w:val="18"/>
  </w:num>
  <w:num w:numId="26" w16cid:durableId="1378747712">
    <w:abstractNumId w:val="8"/>
  </w:num>
  <w:num w:numId="27" w16cid:durableId="112408132">
    <w:abstractNumId w:val="6"/>
  </w:num>
  <w:num w:numId="28" w16cid:durableId="49638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755A2"/>
    <w:rsid w:val="00096B82"/>
    <w:rsid w:val="000B2073"/>
    <w:rsid w:val="000C36F5"/>
    <w:rsid w:val="000D1366"/>
    <w:rsid w:val="000F68D3"/>
    <w:rsid w:val="00116F1F"/>
    <w:rsid w:val="00134401"/>
    <w:rsid w:val="0014716F"/>
    <w:rsid w:val="00173F62"/>
    <w:rsid w:val="00175E21"/>
    <w:rsid w:val="001B6997"/>
    <w:rsid w:val="00221F43"/>
    <w:rsid w:val="00230D30"/>
    <w:rsid w:val="002A388E"/>
    <w:rsid w:val="002F70AA"/>
    <w:rsid w:val="003029E8"/>
    <w:rsid w:val="00320A32"/>
    <w:rsid w:val="00331965"/>
    <w:rsid w:val="00333C60"/>
    <w:rsid w:val="0035126C"/>
    <w:rsid w:val="00405DED"/>
    <w:rsid w:val="00427554"/>
    <w:rsid w:val="00453E80"/>
    <w:rsid w:val="00463296"/>
    <w:rsid w:val="0048096F"/>
    <w:rsid w:val="004B07E9"/>
    <w:rsid w:val="004C70CA"/>
    <w:rsid w:val="004E0806"/>
    <w:rsid w:val="005132A7"/>
    <w:rsid w:val="00521E41"/>
    <w:rsid w:val="00535046"/>
    <w:rsid w:val="00554847"/>
    <w:rsid w:val="005E7A55"/>
    <w:rsid w:val="005F0B3E"/>
    <w:rsid w:val="00643FCF"/>
    <w:rsid w:val="006807E9"/>
    <w:rsid w:val="006C2ED4"/>
    <w:rsid w:val="00716314"/>
    <w:rsid w:val="00733087"/>
    <w:rsid w:val="007378F0"/>
    <w:rsid w:val="00761257"/>
    <w:rsid w:val="00764C0B"/>
    <w:rsid w:val="007938D2"/>
    <w:rsid w:val="007A18EF"/>
    <w:rsid w:val="007E1CFA"/>
    <w:rsid w:val="00804B2D"/>
    <w:rsid w:val="0085229C"/>
    <w:rsid w:val="00885E82"/>
    <w:rsid w:val="00891209"/>
    <w:rsid w:val="008E0FB5"/>
    <w:rsid w:val="008E1C0E"/>
    <w:rsid w:val="008E4DB3"/>
    <w:rsid w:val="00902CB9"/>
    <w:rsid w:val="00923C41"/>
    <w:rsid w:val="009307D7"/>
    <w:rsid w:val="009665BE"/>
    <w:rsid w:val="00972A17"/>
    <w:rsid w:val="009A600E"/>
    <w:rsid w:val="009A748F"/>
    <w:rsid w:val="009E54C1"/>
    <w:rsid w:val="00A02B4A"/>
    <w:rsid w:val="00A13385"/>
    <w:rsid w:val="00A47ADF"/>
    <w:rsid w:val="00A522EB"/>
    <w:rsid w:val="00A671FC"/>
    <w:rsid w:val="00A730F2"/>
    <w:rsid w:val="00A755FE"/>
    <w:rsid w:val="00AB427D"/>
    <w:rsid w:val="00AD20AA"/>
    <w:rsid w:val="00AF5F2B"/>
    <w:rsid w:val="00B77DE1"/>
    <w:rsid w:val="00BB6123"/>
    <w:rsid w:val="00BD34C2"/>
    <w:rsid w:val="00BD71EE"/>
    <w:rsid w:val="00BF588C"/>
    <w:rsid w:val="00C34CE9"/>
    <w:rsid w:val="00C63457"/>
    <w:rsid w:val="00C93E8E"/>
    <w:rsid w:val="00CB6560"/>
    <w:rsid w:val="00CC1694"/>
    <w:rsid w:val="00CC2449"/>
    <w:rsid w:val="00D41F41"/>
    <w:rsid w:val="00DA226F"/>
    <w:rsid w:val="00DC0E8D"/>
    <w:rsid w:val="00DC7C55"/>
    <w:rsid w:val="00E0446B"/>
    <w:rsid w:val="00E1317E"/>
    <w:rsid w:val="00E2329E"/>
    <w:rsid w:val="00E25F18"/>
    <w:rsid w:val="00E663EB"/>
    <w:rsid w:val="00E75C8C"/>
    <w:rsid w:val="00E8104C"/>
    <w:rsid w:val="00E926EB"/>
    <w:rsid w:val="00EA63C5"/>
    <w:rsid w:val="00EC44A4"/>
    <w:rsid w:val="00ED0D3E"/>
    <w:rsid w:val="00F077EE"/>
    <w:rsid w:val="00F108AA"/>
    <w:rsid w:val="00F45CB7"/>
    <w:rsid w:val="00F673BE"/>
    <w:rsid w:val="00FD0C44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5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9665B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E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4</cp:revision>
  <dcterms:created xsi:type="dcterms:W3CDTF">2024-04-26T12:50:00Z</dcterms:created>
  <dcterms:modified xsi:type="dcterms:W3CDTF">2024-04-30T09:09:00Z</dcterms:modified>
</cp:coreProperties>
</file>