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09662C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4525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C8EB865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44525" w:rsidRPr="00C44525">
        <w:rPr>
          <w:rFonts w:cs="Arial"/>
          <w:b/>
          <w:bCs/>
          <w:szCs w:val="24"/>
        </w:rPr>
        <w:t>Opracowani</w:t>
      </w:r>
      <w:r w:rsidR="00432F9D">
        <w:rPr>
          <w:rFonts w:cs="Arial"/>
          <w:b/>
          <w:bCs/>
          <w:szCs w:val="24"/>
        </w:rPr>
        <w:t>e</w:t>
      </w:r>
      <w:r w:rsidR="00C44525" w:rsidRPr="00C44525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="001B431E">
        <w:rPr>
          <w:rFonts w:cs="Arial"/>
          <w:szCs w:val="24"/>
        </w:rPr>
        <w:t>:</w:t>
      </w:r>
    </w:p>
    <w:p w14:paraId="3B06E599" w14:textId="63660509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A36789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do </w:t>
      </w:r>
      <w:r w:rsidR="001B431E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Pr="0023328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>Oświadczam</w:t>
      </w:r>
      <w:r w:rsidR="007E3EE0" w:rsidRPr="0023328E">
        <w:rPr>
          <w:rFonts w:cs="Arial"/>
          <w:szCs w:val="24"/>
        </w:rPr>
        <w:t>y</w:t>
      </w:r>
      <w:r w:rsidRPr="0023328E">
        <w:rPr>
          <w:rFonts w:cs="Arial"/>
          <w:szCs w:val="24"/>
        </w:rPr>
        <w:t xml:space="preserve">, że znane </w:t>
      </w:r>
      <w:r w:rsidR="007E3EE0" w:rsidRPr="0023328E">
        <w:rPr>
          <w:rFonts w:cs="Arial"/>
          <w:szCs w:val="24"/>
        </w:rPr>
        <w:t>nam</w:t>
      </w:r>
      <w:r w:rsidRPr="0023328E"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 w:rsidRPr="0023328E">
        <w:rPr>
          <w:rFonts w:cs="Arial"/>
          <w:szCs w:val="24"/>
        </w:rPr>
        <w:t>2</w:t>
      </w:r>
      <w:r w:rsidRPr="0023328E">
        <w:rPr>
          <w:rFonts w:cs="Arial"/>
          <w:szCs w:val="24"/>
        </w:rPr>
        <w:t xml:space="preserve"> r. </w:t>
      </w:r>
      <w:r w:rsidR="007F1309" w:rsidRPr="0023328E">
        <w:rPr>
          <w:rFonts w:cs="Arial"/>
          <w:szCs w:val="24"/>
        </w:rPr>
        <w:t>poz. 1083) i wynikające z niej oraz z zapisów P</w:t>
      </w:r>
      <w:r w:rsidR="00912E36" w:rsidRPr="0023328E">
        <w:rPr>
          <w:rFonts w:cs="Arial"/>
          <w:szCs w:val="24"/>
        </w:rPr>
        <w:t>PU</w:t>
      </w:r>
      <w:r w:rsidR="007F1309" w:rsidRPr="0023328E">
        <w:rPr>
          <w:rFonts w:cs="Arial"/>
          <w:szCs w:val="24"/>
        </w:rPr>
        <w:t xml:space="preserve"> stanowiących załącznik nr 2 do S</w:t>
      </w:r>
      <w:r w:rsidR="00912E36" w:rsidRPr="0023328E">
        <w:rPr>
          <w:rFonts w:cs="Arial"/>
          <w:szCs w:val="24"/>
        </w:rPr>
        <w:t>WZ</w:t>
      </w:r>
      <w:r w:rsidR="007F1309" w:rsidRPr="0023328E">
        <w:rPr>
          <w:rFonts w:cs="Arial"/>
          <w:szCs w:val="24"/>
        </w:rPr>
        <w:t>, obowiązki nałożone na Wykonawcę w związku z realizacją niniejszego zamówienia. Jednocześnie oświadczam</w:t>
      </w:r>
      <w:r w:rsidR="007E3EE0" w:rsidRPr="0023328E">
        <w:rPr>
          <w:rFonts w:cs="Arial"/>
          <w:szCs w:val="24"/>
        </w:rPr>
        <w:t>y</w:t>
      </w:r>
      <w:r w:rsidR="007F1309" w:rsidRPr="0023328E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23328E">
        <w:rPr>
          <w:rFonts w:cs="Arial"/>
          <w:b/>
          <w:bCs/>
          <w:szCs w:val="24"/>
        </w:rPr>
        <w:t>co najmniej</w:t>
      </w:r>
      <w:r w:rsidR="006219CD" w:rsidRPr="0023328E">
        <w:rPr>
          <w:rFonts w:cs="Arial"/>
          <w:b/>
          <w:bCs/>
          <w:szCs w:val="24"/>
        </w:rPr>
        <w:t xml:space="preserve"> </w:t>
      </w:r>
      <w:r w:rsidR="006219CD" w:rsidRPr="0023328E">
        <w:rPr>
          <w:rFonts w:cs="Arial"/>
          <w:szCs w:val="24"/>
        </w:rPr>
        <w:t>(wpisać ilość</w:t>
      </w:r>
      <w:r w:rsidR="003B266A" w:rsidRPr="0023328E">
        <w:rPr>
          <w:rFonts w:cs="Arial"/>
          <w:szCs w:val="24"/>
        </w:rPr>
        <w:t xml:space="preserve"> pojazdów</w:t>
      </w:r>
      <w:r w:rsidR="006219CD" w:rsidRPr="0023328E">
        <w:rPr>
          <w:rFonts w:cs="Arial"/>
          <w:szCs w:val="24"/>
        </w:rPr>
        <w:t>)</w:t>
      </w:r>
      <w:r w:rsidR="007F1309" w:rsidRPr="0023328E">
        <w:rPr>
          <w:rFonts w:cs="Arial"/>
          <w:szCs w:val="24"/>
        </w:rPr>
        <w:t>:</w:t>
      </w:r>
      <w:r w:rsidR="003B266A" w:rsidRPr="0023328E">
        <w:rPr>
          <w:rFonts w:cs="Arial"/>
          <w:szCs w:val="24"/>
        </w:rPr>
        <w:t xml:space="preserve"> </w:t>
      </w:r>
      <w:r w:rsidR="007F1309" w:rsidRPr="0023328E">
        <w:rPr>
          <w:rFonts w:cs="Arial"/>
          <w:b/>
          <w:bCs/>
          <w:szCs w:val="24"/>
        </w:rPr>
        <w:t>sztuk</w:t>
      </w:r>
      <w:r w:rsidR="007F1309" w:rsidRPr="0023328E">
        <w:rPr>
          <w:rFonts w:cs="Arial"/>
          <w:szCs w:val="24"/>
        </w:rPr>
        <w:t xml:space="preserve">, </w:t>
      </w:r>
      <w:r w:rsidR="007F1309" w:rsidRPr="0023328E">
        <w:rPr>
          <w:rFonts w:cs="Arial"/>
          <w:b/>
          <w:bCs/>
          <w:szCs w:val="24"/>
        </w:rPr>
        <w:t>to jest nie mniej niż 10%</w:t>
      </w:r>
      <w:r w:rsidR="007F1309" w:rsidRPr="0023328E">
        <w:rPr>
          <w:rFonts w:cs="Arial"/>
          <w:szCs w:val="24"/>
        </w:rPr>
        <w:t>.</w:t>
      </w:r>
    </w:p>
    <w:p w14:paraId="0F01FD2A" w14:textId="09F25EF4" w:rsidR="007F130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20036DAF" w14:textId="3407773B" w:rsidR="001C7A79" w:rsidRPr="0023328E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23328E"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 w:rsidRPr="0023328E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A04A77"/>
    <w:rsid w:val="00A1790C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34</cp:revision>
  <cp:lastPrinted>2023-02-14T08:34:00Z</cp:lastPrinted>
  <dcterms:created xsi:type="dcterms:W3CDTF">2023-02-17T11:04:00Z</dcterms:created>
  <dcterms:modified xsi:type="dcterms:W3CDTF">2023-02-27T11:26:00Z</dcterms:modified>
</cp:coreProperties>
</file>