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6815" w14:textId="4579AC32" w:rsidR="004F025C" w:rsidRDefault="004F025C" w:rsidP="004F025C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7CFC757" wp14:editId="291F31E5">
            <wp:extent cx="5677535" cy="540385"/>
            <wp:effectExtent l="0" t="0" r="0" b="0"/>
            <wp:docPr id="1" name="Obraz 1" descr="cid:image001.jpg@01D3AC9A.B04AC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AC9A.B04ACEB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BBEFE" w14:textId="359BFC7F" w:rsidR="00790E55" w:rsidRPr="004A2200" w:rsidRDefault="00790E55" w:rsidP="004F025C">
      <w:pPr>
        <w:jc w:val="right"/>
        <w:rPr>
          <w:rFonts w:ascii="Arial" w:hAnsi="Arial" w:cs="Arial"/>
          <w:sz w:val="20"/>
          <w:szCs w:val="20"/>
        </w:rPr>
      </w:pPr>
      <w:r w:rsidRPr="004A2200">
        <w:rPr>
          <w:rFonts w:ascii="Arial" w:hAnsi="Arial" w:cs="Arial"/>
          <w:sz w:val="20"/>
          <w:szCs w:val="20"/>
        </w:rPr>
        <w:t>Załącznik nr 1</w:t>
      </w:r>
      <w:r w:rsidR="004F025C">
        <w:rPr>
          <w:rFonts w:ascii="Arial" w:hAnsi="Arial" w:cs="Arial"/>
          <w:sz w:val="20"/>
          <w:szCs w:val="20"/>
        </w:rPr>
        <w:t xml:space="preserve"> do umowy</w:t>
      </w:r>
    </w:p>
    <w:p w14:paraId="407AE46D" w14:textId="77777777" w:rsidR="00790E55" w:rsidRPr="004A2200" w:rsidRDefault="00790E55" w:rsidP="004F025C">
      <w:pPr>
        <w:jc w:val="right"/>
        <w:rPr>
          <w:rFonts w:ascii="Arial" w:hAnsi="Arial" w:cs="Arial"/>
          <w:b/>
          <w:sz w:val="20"/>
          <w:szCs w:val="20"/>
        </w:rPr>
      </w:pPr>
    </w:p>
    <w:p w14:paraId="4599EE62" w14:textId="77777777" w:rsidR="00790E55" w:rsidRPr="004A2200" w:rsidRDefault="00790E55" w:rsidP="004F025C">
      <w:pPr>
        <w:jc w:val="center"/>
        <w:rPr>
          <w:rFonts w:ascii="Arial" w:hAnsi="Arial" w:cs="Arial"/>
          <w:b/>
          <w:szCs w:val="20"/>
        </w:rPr>
      </w:pPr>
      <w:r w:rsidRPr="004A2200">
        <w:rPr>
          <w:rFonts w:ascii="Arial" w:hAnsi="Arial" w:cs="Arial"/>
          <w:b/>
          <w:sz w:val="28"/>
          <w:szCs w:val="28"/>
        </w:rPr>
        <w:t>Szczegółowy opis przedmiotu zamówienia</w:t>
      </w:r>
      <w:r w:rsidRPr="004A2200">
        <w:rPr>
          <w:rFonts w:ascii="Arial" w:hAnsi="Arial" w:cs="Arial"/>
          <w:b/>
          <w:szCs w:val="20"/>
        </w:rPr>
        <w:t xml:space="preserve"> </w:t>
      </w:r>
    </w:p>
    <w:p w14:paraId="3D5AF5B3" w14:textId="39AAD940" w:rsidR="00790E55" w:rsidRPr="004A2200" w:rsidRDefault="00790E55" w:rsidP="004F025C">
      <w:pPr>
        <w:jc w:val="center"/>
        <w:rPr>
          <w:rFonts w:ascii="Arial" w:hAnsi="Arial" w:cs="Arial"/>
          <w:b/>
          <w:szCs w:val="20"/>
        </w:rPr>
      </w:pPr>
    </w:p>
    <w:p w14:paraId="3347EF51" w14:textId="752F663C" w:rsidR="004A2200" w:rsidRPr="004A2200" w:rsidRDefault="004A2200" w:rsidP="004F025C">
      <w:pPr>
        <w:jc w:val="center"/>
        <w:rPr>
          <w:rFonts w:ascii="Arial" w:hAnsi="Arial" w:cs="Arial"/>
          <w:sz w:val="22"/>
          <w:szCs w:val="22"/>
        </w:rPr>
      </w:pPr>
      <w:r w:rsidRPr="004A2200">
        <w:rPr>
          <w:rFonts w:ascii="Arial" w:hAnsi="Arial" w:cs="Arial"/>
          <w:sz w:val="22"/>
          <w:szCs w:val="22"/>
        </w:rPr>
        <w:t xml:space="preserve">Przedmiotem zamówienia jest </w:t>
      </w:r>
      <w:r w:rsidR="004F025C">
        <w:rPr>
          <w:rFonts w:ascii="Arial" w:hAnsi="Arial" w:cs="Arial"/>
          <w:sz w:val="22"/>
          <w:szCs w:val="22"/>
        </w:rPr>
        <w:t xml:space="preserve">dostawa </w:t>
      </w:r>
      <w:r w:rsidR="008C7236">
        <w:rPr>
          <w:rFonts w:ascii="Arial" w:hAnsi="Arial" w:cs="Arial"/>
          <w:sz w:val="22"/>
          <w:szCs w:val="22"/>
        </w:rPr>
        <w:t>systemu pamięci masowej</w:t>
      </w:r>
      <w:r w:rsidRPr="004A2200">
        <w:rPr>
          <w:rFonts w:ascii="Arial" w:hAnsi="Arial" w:cs="Arial"/>
          <w:sz w:val="22"/>
          <w:szCs w:val="22"/>
        </w:rPr>
        <w:t>.</w:t>
      </w:r>
    </w:p>
    <w:p w14:paraId="69B4C34D" w14:textId="77777777" w:rsidR="004A2200" w:rsidRPr="004A2200" w:rsidRDefault="004A2200" w:rsidP="004F025C">
      <w:pPr>
        <w:jc w:val="both"/>
        <w:rPr>
          <w:rFonts w:ascii="Arial" w:hAnsi="Arial" w:cs="Arial"/>
          <w:sz w:val="20"/>
          <w:szCs w:val="20"/>
        </w:rPr>
      </w:pPr>
    </w:p>
    <w:p w14:paraId="0930E3ED" w14:textId="77777777" w:rsidR="008C7236" w:rsidRPr="008C7236" w:rsidRDefault="008C7236" w:rsidP="004F025C">
      <w:pPr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8C7236">
        <w:rPr>
          <w:rFonts w:ascii="Calibri" w:eastAsia="Calibri" w:hAnsi="Calibri"/>
          <w:color w:val="000000"/>
          <w:sz w:val="22"/>
          <w:szCs w:val="22"/>
          <w:lang w:eastAsia="en-US"/>
        </w:rPr>
        <w:t>Wymagania szczegółowe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8072"/>
      </w:tblGrid>
      <w:tr w:rsidR="008C7236" w:rsidRPr="008C7236" w14:paraId="1572EB15" w14:textId="77777777" w:rsidTr="00ED1BB6">
        <w:tc>
          <w:tcPr>
            <w:tcW w:w="546" w:type="pct"/>
            <w:shd w:val="pct10" w:color="auto" w:fill="auto"/>
          </w:tcPr>
          <w:p w14:paraId="33A4B851" w14:textId="77777777" w:rsidR="008C7236" w:rsidRPr="008C7236" w:rsidRDefault="008C7236" w:rsidP="004F025C">
            <w:pPr>
              <w:tabs>
                <w:tab w:val="center" w:pos="551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454" w:type="pct"/>
            <w:shd w:val="pct10" w:color="auto" w:fill="auto"/>
          </w:tcPr>
          <w:p w14:paraId="513FBE43" w14:textId="77777777" w:rsidR="008C7236" w:rsidRPr="008C7236" w:rsidRDefault="008C7236" w:rsidP="004F02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Parametr wymagany</w:t>
            </w:r>
          </w:p>
        </w:tc>
      </w:tr>
      <w:tr w:rsidR="008C7236" w:rsidRPr="008C7236" w14:paraId="5BDD8101" w14:textId="77777777" w:rsidTr="00ED1BB6">
        <w:trPr>
          <w:trHeight w:val="391"/>
        </w:trPr>
        <w:tc>
          <w:tcPr>
            <w:tcW w:w="546" w:type="pct"/>
          </w:tcPr>
          <w:p w14:paraId="74B136D4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4D9157AE" w14:textId="77777777" w:rsidR="008C7236" w:rsidRPr="008C7236" w:rsidRDefault="008C7236" w:rsidP="004F025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Urządzenie musi być przeznaczone do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 przechowywania kopii zapasowych. </w:t>
            </w:r>
          </w:p>
        </w:tc>
      </w:tr>
      <w:tr w:rsidR="008C7236" w:rsidRPr="008C7236" w14:paraId="3C7C98CB" w14:textId="77777777" w:rsidTr="00ED1BB6">
        <w:tc>
          <w:tcPr>
            <w:tcW w:w="546" w:type="pct"/>
          </w:tcPr>
          <w:p w14:paraId="5BAAF88D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490E165C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Dostarczone urządzenie musi oferować przestrzeń min. 48TB netto (powierzchni użytkowej) bez uwzględniania mechanizmów protekcji.</w:t>
            </w:r>
          </w:p>
        </w:tc>
      </w:tr>
      <w:tr w:rsidR="008C7236" w:rsidRPr="008C7236" w14:paraId="7C2252FE" w14:textId="77777777" w:rsidTr="00ED1BB6">
        <w:tc>
          <w:tcPr>
            <w:tcW w:w="546" w:type="pct"/>
          </w:tcPr>
          <w:p w14:paraId="12FE87A1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49A5E3D6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Dostarczone urządzenie musi umożliwiać rozbudowę o warstwę typu CLOUD dedykowaną do długotrwałego przechowywania danych (tzw.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Long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Term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Retention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) – dane o określonej retencji (zgodnie z założoną polityka retencyjną), bez pośrednictwa dodatkowych urządzeń (typu GATEWAY) powinny zostać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przemigrowane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(w postaci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zdeduplikowanej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) na dodatkową warstwę. Wymagane wsparcie dla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dla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AWS oraz Microsoft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Azure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. Wymagana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enkrypcja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danych przechowywanych na warstwie typu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Cloud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. Wymagane dostarczenie licencji na przestrzeń min. 200TB netto dla warstwy CLOUD. </w:t>
            </w:r>
            <w:r w:rsidRPr="008C72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Wymagana funkcjonalność powinna wspierać eksploatowaną przez Zamawiającego aplikację </w:t>
            </w:r>
            <w:proofErr w:type="spellStart"/>
            <w:r w:rsidRPr="008C72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Networker</w:t>
            </w:r>
            <w:proofErr w:type="spellEnd"/>
            <w:r w:rsidRPr="008C72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C7236" w:rsidRPr="008C7236" w14:paraId="135EE8D1" w14:textId="77777777" w:rsidTr="00ED1BB6">
        <w:tc>
          <w:tcPr>
            <w:tcW w:w="546" w:type="pct"/>
          </w:tcPr>
          <w:p w14:paraId="4BD6DAB3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0C90EBC2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Oferowane urządzenie musi posiadać minimum </w:t>
            </w:r>
            <w:r w:rsidRPr="008C7236">
              <w:rPr>
                <w:rFonts w:eastAsia="Calibri"/>
                <w:color w:val="000000"/>
              </w:rPr>
              <w:t xml:space="preserve">8 portów </w:t>
            </w:r>
            <w:proofErr w:type="spellStart"/>
            <w:r w:rsidRPr="008C7236">
              <w:rPr>
                <w:rFonts w:eastAsia="Calibri"/>
                <w:color w:val="000000"/>
              </w:rPr>
              <w:t>Eth</w:t>
            </w:r>
            <w:proofErr w:type="spellEnd"/>
            <w:r w:rsidRPr="008C7236">
              <w:rPr>
                <w:rFonts w:eastAsia="Calibri"/>
                <w:color w:val="000000"/>
              </w:rPr>
              <w:t xml:space="preserve"> 10 </w:t>
            </w:r>
            <w:proofErr w:type="spellStart"/>
            <w:r w:rsidRPr="008C7236">
              <w:rPr>
                <w:rFonts w:eastAsia="Calibri"/>
                <w:color w:val="000000"/>
              </w:rPr>
              <w:t>Gb</w:t>
            </w:r>
            <w:proofErr w:type="spellEnd"/>
            <w:r w:rsidRPr="008C7236">
              <w:rPr>
                <w:rFonts w:eastAsia="Calibri"/>
                <w:color w:val="000000"/>
              </w:rPr>
              <w:t>/s SFP+.</w:t>
            </w:r>
          </w:p>
          <w:p w14:paraId="2EB12614" w14:textId="77777777" w:rsidR="008C7236" w:rsidRPr="008C7236" w:rsidRDefault="008C7236" w:rsidP="004F025C">
            <w:pPr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Wymagana możliwość obsługi w każdym z w/w portów protokołów  CIFS, NFS,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deduplikacja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na źródle.  Wymagana jest  możliwość rozbudowy o 2 porty FC 16Gb/s.</w:t>
            </w:r>
          </w:p>
          <w:p w14:paraId="5D0E945F" w14:textId="77777777" w:rsidR="008C7236" w:rsidRPr="008C7236" w:rsidRDefault="008C7236" w:rsidP="004F025C">
            <w:pPr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Wymagana obsada wszystkich portów wkładkami, wymagana możliwość obsługi poprzez porty FC  protokołów  VTL oraz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deduplikacja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na źródle.</w:t>
            </w:r>
          </w:p>
        </w:tc>
      </w:tr>
      <w:tr w:rsidR="008C7236" w:rsidRPr="008C7236" w14:paraId="14E658DA" w14:textId="77777777" w:rsidTr="00ED1BB6">
        <w:tc>
          <w:tcPr>
            <w:tcW w:w="546" w:type="pct"/>
          </w:tcPr>
          <w:p w14:paraId="3B164768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60BE446F" w14:textId="77777777" w:rsidR="008C7236" w:rsidRPr="008C7236" w:rsidRDefault="008C7236" w:rsidP="004F025C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Oferowane urządzenie musi umożliwiać jednoczesny dostęp wszystkimi poniższymi protokołami:</w:t>
            </w:r>
          </w:p>
          <w:p w14:paraId="7E54467D" w14:textId="77777777" w:rsidR="008C7236" w:rsidRPr="008C7236" w:rsidRDefault="008C7236" w:rsidP="004F025C">
            <w:pPr>
              <w:numPr>
                <w:ilvl w:val="0"/>
                <w:numId w:val="15"/>
              </w:numPr>
              <w:spacing w:after="1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CIFS, NFS</w:t>
            </w:r>
          </w:p>
          <w:p w14:paraId="02212665" w14:textId="77777777" w:rsidR="008C7236" w:rsidRPr="008C7236" w:rsidRDefault="008C7236" w:rsidP="004F025C">
            <w:pPr>
              <w:numPr>
                <w:ilvl w:val="0"/>
                <w:numId w:val="15"/>
              </w:numPr>
              <w:spacing w:after="1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zapewniającym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deduplikację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na źródle, wymagane wsparcie dla eksploatowanych przez Zamawiającego aplikacji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Networker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Avamar</w:t>
            </w:r>
            <w:proofErr w:type="spellEnd"/>
          </w:p>
          <w:p w14:paraId="4CCAA344" w14:textId="77777777" w:rsidR="008C7236" w:rsidRPr="008C7236" w:rsidRDefault="008C7236" w:rsidP="004F025C">
            <w:pPr>
              <w:numPr>
                <w:ilvl w:val="0"/>
                <w:numId w:val="15"/>
              </w:numPr>
              <w:spacing w:after="1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VTL (min. 10 jednocześnie).</w:t>
            </w:r>
          </w:p>
        </w:tc>
      </w:tr>
      <w:tr w:rsidR="008C7236" w:rsidRPr="008C7236" w14:paraId="6B9886CE" w14:textId="77777777" w:rsidTr="00ED1BB6">
        <w:tc>
          <w:tcPr>
            <w:tcW w:w="546" w:type="pct"/>
          </w:tcPr>
          <w:p w14:paraId="63EB51F3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55B3BE4E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Wymagane jest dostarczenie licencji, pozwalającej na jednoczesną obsługę protokołów CIFS, NFS,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>deduplikacja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na źródle, VTL  </w:t>
            </w:r>
            <w:r w:rsidRPr="008C7236">
              <w:rPr>
                <w:rFonts w:ascii="Calibri" w:eastAsia="Calibri" w:hAnsi="Calibri"/>
                <w:sz w:val="22"/>
                <w:szCs w:val="22"/>
              </w:rPr>
              <w:t>do oferowanej pojemności urządzenia.</w:t>
            </w:r>
          </w:p>
        </w:tc>
      </w:tr>
      <w:tr w:rsidR="008C7236" w:rsidRPr="008C7236" w14:paraId="75A1EB00" w14:textId="77777777" w:rsidTr="00ED1BB6">
        <w:tc>
          <w:tcPr>
            <w:tcW w:w="546" w:type="pct"/>
          </w:tcPr>
          <w:p w14:paraId="5578902F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0D4044F4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Oferowane pojedyncze urządzenie musi osiągać zagregowaną wydajność (dla maksymalnej konfiguracji) protokołami:  </w:t>
            </w:r>
            <w:r w:rsidRPr="008C7236">
              <w:rPr>
                <w:rFonts w:ascii="Calibri" w:eastAsia="Calibri" w:hAnsi="Calibri"/>
                <w:b/>
                <w:sz w:val="22"/>
                <w:szCs w:val="22"/>
              </w:rPr>
              <w:t>NFS</w:t>
            </w: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co najmniej 10 TB/h (dane podawane przez producenta) oraz co najmniej 20 TB/h z wykorzystaniem </w:t>
            </w:r>
            <w:proofErr w:type="spellStart"/>
            <w:r w:rsidRPr="008C7236">
              <w:rPr>
                <w:rFonts w:ascii="Calibri" w:eastAsia="Calibri" w:hAnsi="Calibri"/>
                <w:b/>
                <w:sz w:val="22"/>
                <w:szCs w:val="22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b/>
                <w:sz w:val="22"/>
                <w:szCs w:val="22"/>
              </w:rPr>
              <w:t xml:space="preserve"> na źródle</w:t>
            </w: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(dane podawane przez producenta).</w:t>
            </w:r>
          </w:p>
        </w:tc>
      </w:tr>
      <w:tr w:rsidR="008C7236" w:rsidRPr="008C7236" w14:paraId="6D687ACF" w14:textId="77777777" w:rsidTr="00ED1BB6">
        <w:tc>
          <w:tcPr>
            <w:tcW w:w="546" w:type="pct"/>
          </w:tcPr>
          <w:p w14:paraId="5FC15F33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186E1FA4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Urządzenie musi pozwalać na jednoczesną obsługę minimum 250 strumieni w tym jednocześnie:</w:t>
            </w:r>
          </w:p>
          <w:p w14:paraId="53C09092" w14:textId="77777777" w:rsidR="008C7236" w:rsidRPr="008C7236" w:rsidRDefault="008C7236" w:rsidP="004F02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zapis danych minimum 150 strumieniami,</w:t>
            </w:r>
          </w:p>
          <w:p w14:paraId="1D772182" w14:textId="77777777" w:rsidR="008C7236" w:rsidRPr="008C7236" w:rsidRDefault="008C7236" w:rsidP="004F02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odczyt danych minimum 50 strumieniami,</w:t>
            </w:r>
          </w:p>
          <w:p w14:paraId="7E4D445A" w14:textId="77777777" w:rsidR="008C7236" w:rsidRPr="008C7236" w:rsidRDefault="008C7236" w:rsidP="004F02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replikacja minimum 50 strumieniami,</w:t>
            </w:r>
          </w:p>
          <w:p w14:paraId="75441F83" w14:textId="77777777" w:rsidR="008C7236" w:rsidRPr="008C7236" w:rsidRDefault="008C7236" w:rsidP="004F025C">
            <w:pPr>
              <w:autoSpaceDE w:val="0"/>
              <w:autoSpaceDN w:val="0"/>
              <w:adjustRightInd w:val="0"/>
              <w:ind w:left="45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pochodzących z różnych aplikacji oraz dowolnych protokołów (CIFS, NFS, VTL,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deduplikacja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na źródle) oraz dowolnych interfejsów (FC, LAN) w tym samym czasie. </w:t>
            </w:r>
          </w:p>
          <w:p w14:paraId="5179D74E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Wymienione wartości 250 jednoczesnych strumieni dla wszystkich protokołów (czyli jednocześnie 150 dla zapisu i jednocześnie 50 strumieni dla odczytu i jednocześnie 50 </w:t>
            </w:r>
            <w:r w:rsidRPr="008C7236">
              <w:rPr>
                <w:rFonts w:ascii="Calibri" w:eastAsia="Calibri" w:hAnsi="Calibri"/>
                <w:sz w:val="22"/>
                <w:szCs w:val="22"/>
              </w:rPr>
              <w:lastRenderedPageBreak/>
              <w:t>strumieni dla replikacji) muszą mieścić się w przedziale oficjalnie rekomendowanym i wspieranym przez producenta urządzenia.</w:t>
            </w:r>
          </w:p>
          <w:p w14:paraId="4A45A8C5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Wszystkie zapisywane strumienie muszą podlegać globalnej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przed zapisem na dysk (in-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line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>).</w:t>
            </w:r>
          </w:p>
        </w:tc>
      </w:tr>
      <w:tr w:rsidR="008C7236" w:rsidRPr="008C7236" w14:paraId="54B3C0B8" w14:textId="77777777" w:rsidTr="00ED1BB6">
        <w:tc>
          <w:tcPr>
            <w:tcW w:w="546" w:type="pct"/>
          </w:tcPr>
          <w:p w14:paraId="5C3C50F5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10FAA74A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Oferowane urządzenie musi mieć możliwość emulacji następujących bibliotek taśmowych:</w:t>
            </w:r>
          </w:p>
          <w:p w14:paraId="7AF08504" w14:textId="77777777" w:rsidR="008C7236" w:rsidRPr="008C7236" w:rsidRDefault="008C7236" w:rsidP="004F02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StorageTek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L180</w:t>
            </w:r>
          </w:p>
          <w:p w14:paraId="782BE110" w14:textId="77777777" w:rsidR="008C7236" w:rsidRPr="008C7236" w:rsidRDefault="008C7236" w:rsidP="004F025C">
            <w:pPr>
              <w:autoSpaceDE w:val="0"/>
              <w:autoSpaceDN w:val="0"/>
              <w:adjustRightInd w:val="0"/>
              <w:ind w:left="45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lub</w:t>
            </w:r>
          </w:p>
          <w:p w14:paraId="46661155" w14:textId="77777777" w:rsidR="008C7236" w:rsidRPr="008C7236" w:rsidRDefault="008C7236" w:rsidP="004F02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IBM TS 3500</w:t>
            </w:r>
          </w:p>
        </w:tc>
      </w:tr>
      <w:tr w:rsidR="008C7236" w:rsidRPr="008C7236" w14:paraId="5B534615" w14:textId="77777777" w:rsidTr="00ED1BB6">
        <w:tc>
          <w:tcPr>
            <w:tcW w:w="546" w:type="pct"/>
          </w:tcPr>
          <w:p w14:paraId="0EF540B1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71BF84B7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Oferowane urządzenie musi mieć możliwość emulacji napędów taśmowych  min. LTO5 oraz LTO7</w:t>
            </w:r>
          </w:p>
        </w:tc>
      </w:tr>
      <w:tr w:rsidR="008C7236" w:rsidRPr="008C7236" w14:paraId="13C09F0A" w14:textId="77777777" w:rsidTr="00ED1BB6">
        <w:tc>
          <w:tcPr>
            <w:tcW w:w="546" w:type="pct"/>
          </w:tcPr>
          <w:p w14:paraId="24B47929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3A98D217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Urządzenie musi umożliwiać (w przypadku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VTL’a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>)  emulację minimum  250 napędów, emulację min. 30 000 slotów w przypadku poj. biblioteki  taśmowej oraz emulację sumarycznie min.  60 000 slotów.</w:t>
            </w:r>
          </w:p>
        </w:tc>
      </w:tr>
      <w:tr w:rsidR="008C7236" w:rsidRPr="008C7236" w14:paraId="56AA3281" w14:textId="77777777" w:rsidTr="00ED1BB6">
        <w:tc>
          <w:tcPr>
            <w:tcW w:w="546" w:type="pct"/>
          </w:tcPr>
          <w:p w14:paraId="5FA1FE93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64B0333A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Oferowane urządzenie musi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deduplikować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dane in-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line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przed zapisem na nośnik dyskowy. Na wewnętrznych dyskach urządzenia nie mogą być zapisywane dane w oryginalnej postaci (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niezdeduplikowanej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>) z jakiegokolwiek fragmentu strumienia danych przychodzącego do urządzenia.</w:t>
            </w:r>
          </w:p>
        </w:tc>
      </w:tr>
      <w:tr w:rsidR="008C7236" w:rsidRPr="008C7236" w14:paraId="1B4FA270" w14:textId="77777777" w:rsidTr="00ED1BB6">
        <w:tc>
          <w:tcPr>
            <w:tcW w:w="546" w:type="pct"/>
          </w:tcPr>
          <w:p w14:paraId="5A60510F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3C129041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Technologia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musi wykorzystywać algorytm bazujący na zmiennym, dynamicznym bloku jednak o wielkości nie większej niż 12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kB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2F34E55B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Algorytm ten musi samoczynnie i automatycznie dopasowywać się do otrzymywanego strumienia danych co oznacza, że urządzenie musi dzielić otrzymany pojedynczy strumień danych na bloki o różnej długości, bez konieczności podejmowania czynności mających na celu ustalenie predefiniowanej długości bloków używanych do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danych określonego typu.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Deduplikacja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zmiennym, dynamicznym blokiem oznacza, że wielkość każdego bloku (na jaki są dzielone dane pojedynczego strumienia backupowego) może być inna niż poprzedniego oraz jest indywidualnie ustalana przez algorytm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zastosowany w urządzeniu, oferowane urządzenie nie może dzielić jakiegokolwiek pojedynczego strumienia danych backupowych na bloki o ustalonej, tej samej długości.</w:t>
            </w:r>
          </w:p>
        </w:tc>
      </w:tr>
      <w:tr w:rsidR="008C7236" w:rsidRPr="008C7236" w14:paraId="44F81A17" w14:textId="77777777" w:rsidTr="00ED1BB6">
        <w:tc>
          <w:tcPr>
            <w:tcW w:w="546" w:type="pct"/>
          </w:tcPr>
          <w:p w14:paraId="59175603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6F4B9B30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Oferowany produkt musi posiadać obsługę mechanizmów globalnej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dla danych otrzymywanych jednocześnie wszystkimi protokołami (CIFS, NFS, VTL,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deduplikacja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na źródle) przechowywanych w obrębie całego urządzenia co oznacza, że przechowywany na urządzeniu fragment danych nie może być ponownie zapisany bez względu na to, jakim protokołem zostanie ponownie otrzymany. Wszystkie emulowane jednocześnie w obrębie urządzenia biblioteki wirtualne (VTL) oraz udziały NFS/CIFS również powinny podlegać globalnej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– blok danych otrzymany i zapisany w wirtualnej bibliotece „A”, nie może zostać ponownie zapisany jeśli trafi do innej wirtualnej biblioteki „B” w obrębie tego samego urządzenia (to samo dotyczy udziałów NFS/CIFS). Przestrzeń składowania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zdeduplikowanych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danych musi być jedna dla wszystkich protokołów dostępowych, co oznacza zastosowanie pojedynczej bazy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deduplikatów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bez względu na ilość/rodzaj używanych jednocześnie protokołów dostępowych.</w:t>
            </w:r>
          </w:p>
          <w:p w14:paraId="428D6212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W przypadku niespełnienia opisanego powyżej wymogu globalnej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>, przy spełnieniu pozostałych wymaganych funkcjonalności, oferowane urządzenie powinno oferować przestrzeń min. 300TB netto (powierzchni użytkowej) bez uwzględniania mechanizmów protekcji</w:t>
            </w:r>
          </w:p>
        </w:tc>
      </w:tr>
      <w:tr w:rsidR="008C7236" w:rsidRPr="008C7236" w14:paraId="1E116251" w14:textId="77777777" w:rsidTr="00ED1BB6">
        <w:tc>
          <w:tcPr>
            <w:tcW w:w="546" w:type="pct"/>
          </w:tcPr>
          <w:p w14:paraId="7D0DBE1E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134375F8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Proces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musi odbywać się in-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line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– w pamięci urządzenia, przed zapisem danych na nośnik dyskowy. Zapisowi na system dyskowy muszą podlegać tylko unikalne </w:t>
            </w:r>
            <w:r w:rsidRPr="008C7236">
              <w:rPr>
                <w:rFonts w:ascii="Calibri" w:eastAsia="Calibri" w:hAnsi="Calibri"/>
                <w:sz w:val="22"/>
                <w:szCs w:val="22"/>
              </w:rPr>
              <w:lastRenderedPageBreak/>
              <w:t>bloki danych nie zapisane jeszcze na system dyskowy urządzenia. Dotyczy to każdego fragmentu przychodzących do urządzenia danych.</w:t>
            </w:r>
          </w:p>
        </w:tc>
      </w:tr>
      <w:tr w:rsidR="008C7236" w:rsidRPr="008C7236" w14:paraId="6DA3CE96" w14:textId="77777777" w:rsidTr="00ED1BB6">
        <w:tc>
          <w:tcPr>
            <w:tcW w:w="546" w:type="pct"/>
          </w:tcPr>
          <w:p w14:paraId="1BF5923F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36F8460A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Proponowane rozwiązanie nie może w żadnej fazie korzystać (w całości lub częściowo) z bufora na składowanie danych w postaci oryginalnej (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niezdeduplikowanej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) w celu ich późniejszej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(wymagana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deduplikacja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in-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line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  <w:tr w:rsidR="008C7236" w:rsidRPr="008C7236" w14:paraId="3C464C19" w14:textId="77777777" w:rsidTr="00ED1BB6">
        <w:tc>
          <w:tcPr>
            <w:tcW w:w="546" w:type="pct"/>
          </w:tcPr>
          <w:p w14:paraId="40395258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7218CB90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Wszystkie unikalne bloki przed zapisaniem na dysk muszą być dodatkowo kompresowane.</w:t>
            </w:r>
          </w:p>
        </w:tc>
      </w:tr>
      <w:tr w:rsidR="008C7236" w:rsidRPr="008C7236" w14:paraId="55FEDE65" w14:textId="77777777" w:rsidTr="00ED1BB6">
        <w:tc>
          <w:tcPr>
            <w:tcW w:w="546" w:type="pct"/>
          </w:tcPr>
          <w:p w14:paraId="6FE22D6D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52F5A057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Oferowane urządzenie musi wspierać (wymagane formalne wsparcie producenta urządzenia), co najmniej następujące aplikacje: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Networker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Avamar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Veeam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Backup and Replication, RMAN, </w:t>
            </w: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Microsoft</w:t>
            </w:r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SQL Server</w:t>
            </w:r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>Management Studio</w:t>
            </w:r>
            <w:r w:rsidRPr="008C7236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3414F941" w14:textId="77777777" w:rsidR="008C7236" w:rsidRPr="008C7236" w:rsidRDefault="008C7236" w:rsidP="004F025C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 przypadku współpracy z każdą z poniższych aplikacji:</w:t>
            </w:r>
          </w:p>
          <w:p w14:paraId="23AB0FAD" w14:textId="77777777" w:rsidR="008C7236" w:rsidRPr="008C7236" w:rsidRDefault="008C7236" w:rsidP="004F025C">
            <w:pPr>
              <w:numPr>
                <w:ilvl w:val="0"/>
                <w:numId w:val="19"/>
              </w:numPr>
              <w:spacing w:after="160"/>
              <w:ind w:left="420" w:hanging="420"/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Networker</w:t>
            </w:r>
            <w:proofErr w:type="spellEnd"/>
          </w:p>
          <w:p w14:paraId="74852A40" w14:textId="77777777" w:rsidR="008C7236" w:rsidRPr="008C7236" w:rsidRDefault="008C7236" w:rsidP="004F025C">
            <w:pPr>
              <w:numPr>
                <w:ilvl w:val="0"/>
                <w:numId w:val="19"/>
              </w:numPr>
              <w:spacing w:after="160"/>
              <w:ind w:left="420" w:hanging="420"/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Avamar</w:t>
            </w:r>
            <w:proofErr w:type="spellEnd"/>
          </w:p>
          <w:p w14:paraId="33B2C140" w14:textId="77777777" w:rsidR="008C7236" w:rsidRPr="008C7236" w:rsidRDefault="008C7236" w:rsidP="004F025C">
            <w:pPr>
              <w:numPr>
                <w:ilvl w:val="0"/>
                <w:numId w:val="16"/>
              </w:numPr>
              <w:suppressAutoHyphens/>
              <w:spacing w:after="160"/>
              <w:ind w:left="420" w:hanging="42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Veeam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Backup and Replication</w:t>
            </w:r>
          </w:p>
          <w:p w14:paraId="6BAC9295" w14:textId="77777777" w:rsidR="008C7236" w:rsidRPr="008C7236" w:rsidRDefault="008C7236" w:rsidP="004F025C">
            <w:pPr>
              <w:numPr>
                <w:ilvl w:val="0"/>
                <w:numId w:val="16"/>
              </w:numPr>
              <w:suppressAutoHyphens/>
              <w:spacing w:after="160"/>
              <w:ind w:left="420" w:hanging="42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RMAN (dla ORACLE)</w:t>
            </w:r>
          </w:p>
          <w:p w14:paraId="56805244" w14:textId="77777777" w:rsidR="008C7236" w:rsidRPr="008C7236" w:rsidRDefault="008C7236" w:rsidP="004F025C">
            <w:pPr>
              <w:numPr>
                <w:ilvl w:val="0"/>
                <w:numId w:val="16"/>
              </w:numPr>
              <w:suppressAutoHyphens/>
              <w:spacing w:after="160"/>
              <w:ind w:left="420" w:hanging="42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en-US" w:eastAsia="en-US"/>
              </w:rPr>
              <w:t>Microsoft</w:t>
            </w: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en-US" w:eastAsia="en-US"/>
              </w:rPr>
              <w:t>SQL Server</w:t>
            </w: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en-US" w:eastAsia="en-US"/>
              </w:rPr>
              <w:t>Management Studio</w:t>
            </w: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dla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en-US" w:eastAsia="en-US"/>
              </w:rPr>
              <w:t>Microsoft</w:t>
            </w: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en-US" w:eastAsia="en-US"/>
              </w:rPr>
              <w:t>SQL)</w:t>
            </w:r>
          </w:p>
          <w:p w14:paraId="13E0E986" w14:textId="77777777" w:rsidR="008C7236" w:rsidRPr="008C7236" w:rsidRDefault="008C7236" w:rsidP="004F025C">
            <w:pPr>
              <w:ind w:left="45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urządzenie musi umożliwiać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deduplikację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na źródle  i przesłanie nowych, nie znajdujących się jeszcze na urządzeniu bloków poprzez sieć LAN.  </w:t>
            </w:r>
          </w:p>
          <w:p w14:paraId="366B85F5" w14:textId="77777777" w:rsidR="008C7236" w:rsidRPr="008C7236" w:rsidRDefault="008C7236" w:rsidP="004F025C">
            <w:pPr>
              <w:autoSpaceDE w:val="0"/>
              <w:autoSpaceDN w:val="0"/>
              <w:adjustRightInd w:val="0"/>
              <w:ind w:left="45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>Deduplikacja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w wyżej wymienionych przypadkach musi zapewniać aby z zabezpieczanych serwerów do urządzenia były transmitowane poprzez sieć LAN jedynie fragmenty danych nie znajdujące się dotychczas na urządzeniu.</w:t>
            </w:r>
          </w:p>
        </w:tc>
      </w:tr>
      <w:tr w:rsidR="008C7236" w:rsidRPr="008C7236" w14:paraId="1861E538" w14:textId="77777777" w:rsidTr="00ED1BB6">
        <w:tc>
          <w:tcPr>
            <w:tcW w:w="546" w:type="pct"/>
          </w:tcPr>
          <w:p w14:paraId="2DA6B317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6F31507F" w14:textId="77777777" w:rsidR="008C7236" w:rsidRPr="008C7236" w:rsidRDefault="008C7236" w:rsidP="004F025C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 przypadku przyjmowania backupów z 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Networker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Veeam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Backup and Replication, Oracle RMAN oraz Microsoft MSSQL (przy wykorzystaniu </w:t>
            </w: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  <w:t>Microsoft</w:t>
            </w: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  <w:t>SQL Server</w:t>
            </w: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  <w:t>Management Studio)</w:t>
            </w: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, urządzenie musi umożliwiać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deduplikację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na źródle i przesłanie nowych, nieznajdujących się jeszcze na urządzeniu bloków poprzez sieć FC.  </w:t>
            </w:r>
          </w:p>
          <w:p w14:paraId="51E9FB7E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>Deduplikacja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w wyżej wymienionych przypadkach musi zapewniać aby z serwerów do urządzenia były transmitowane poprzez sieć FC tylko fragmenty danych nie znajdujące się dotychczas na urządzeniu.</w:t>
            </w:r>
          </w:p>
        </w:tc>
      </w:tr>
      <w:tr w:rsidR="008C7236" w:rsidRPr="008C7236" w14:paraId="1D51EA25" w14:textId="77777777" w:rsidTr="00ED1BB6">
        <w:tc>
          <w:tcPr>
            <w:tcW w:w="546" w:type="pct"/>
          </w:tcPr>
          <w:p w14:paraId="7EA36404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5D40E304" w14:textId="77777777" w:rsidR="008C7236" w:rsidRPr="008C7236" w:rsidRDefault="008C7236" w:rsidP="004F025C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 przypadku systemów LINUX (min.: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RedHat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oraz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SuSE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) oraz Windows urządzenie powinno umożliwiać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deduplikację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na źródle na poziomie systemu plików. Dane kopiowane na wydzielony system plików (bez pośrednictwa aplikacji backupowej) powinny podlegać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8C7236" w:rsidRPr="008C7236" w14:paraId="0109C6AA" w14:textId="77777777" w:rsidTr="00ED1BB6">
        <w:tc>
          <w:tcPr>
            <w:tcW w:w="546" w:type="pct"/>
          </w:tcPr>
          <w:p w14:paraId="6A90512D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3D870CFB" w14:textId="77777777" w:rsidR="008C7236" w:rsidRPr="008C7236" w:rsidRDefault="008C7236" w:rsidP="004F025C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Oferowane urządzenie powinno umożliwiać uruchamianie maszyn wirtualnych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VMware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bezpośrednio z danych backupowych bez konieczności odtwarzania danych, funkcjonalność ta powinna być wspierana przez aplikację backupową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Networker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8C7236" w:rsidRPr="008C7236" w14:paraId="1DFD64CD" w14:textId="77777777" w:rsidTr="00ED1BB6">
        <w:tc>
          <w:tcPr>
            <w:tcW w:w="546" w:type="pct"/>
          </w:tcPr>
          <w:p w14:paraId="6F171430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636E6AA0" w14:textId="77777777" w:rsidR="008C7236" w:rsidRPr="008C7236" w:rsidRDefault="008C7236" w:rsidP="004F025C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Wymagana funkcjonalność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Load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Balancing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oraz Link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Failover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w obrębie portów wykorzystywanych przez aplikację backupową, wymagane wsparcie tej funkcjonalności dla aplikacji backupowej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Networker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Avamar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Veeam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Backup and Replication.</w:t>
            </w:r>
          </w:p>
        </w:tc>
      </w:tr>
      <w:tr w:rsidR="008C7236" w:rsidRPr="008C7236" w14:paraId="52E3E992" w14:textId="77777777" w:rsidTr="00ED1BB6">
        <w:tc>
          <w:tcPr>
            <w:tcW w:w="546" w:type="pct"/>
          </w:tcPr>
          <w:p w14:paraId="1D10DCCC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2AF34D29" w14:textId="77777777" w:rsidR="008C7236" w:rsidRPr="008C7236" w:rsidRDefault="008C7236" w:rsidP="004F025C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Wymagane wsparcie dla backupów typu Virtual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Synthetics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w przypadku eksploatowanej aplikacji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Networker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8C7236" w:rsidRPr="008C7236" w14:paraId="1EC8BBF4" w14:textId="77777777" w:rsidTr="00ED1BB6">
        <w:tc>
          <w:tcPr>
            <w:tcW w:w="546" w:type="pct"/>
          </w:tcPr>
          <w:p w14:paraId="0C84716A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4FFFAE26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W przypadku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na źródle poprzez sieć IP (LAN oraz WAN), wymagana możliwość szyfrowania komunikacji kluczem minimum 256 bitów.</w:t>
            </w:r>
          </w:p>
        </w:tc>
      </w:tr>
      <w:tr w:rsidR="008C7236" w:rsidRPr="008C7236" w14:paraId="23B91C6A" w14:textId="77777777" w:rsidTr="00ED1BB6">
        <w:tc>
          <w:tcPr>
            <w:tcW w:w="546" w:type="pct"/>
          </w:tcPr>
          <w:p w14:paraId="15DF3272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2E9EF8BC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Urządzenie powinno umożliwiać zaszyfrowanie przechowywanych danych, wymagane licencje umożliwiające zaszyfrowanie i przechowywanie zaszyfrowanych danych w obrębie maksymalnej pojemności oferowanego urządzenia.</w:t>
            </w:r>
          </w:p>
        </w:tc>
      </w:tr>
      <w:tr w:rsidR="008C7236" w:rsidRPr="008C7236" w14:paraId="3F788C8F" w14:textId="77777777" w:rsidTr="00ED1BB6">
        <w:tc>
          <w:tcPr>
            <w:tcW w:w="546" w:type="pct"/>
          </w:tcPr>
          <w:p w14:paraId="0F83D95D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503689DE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Urządzenie musi wspierać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deduplikację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na źródle poprzez sieć FC (SAN) minimum dla następujących systemów operacyjnych:</w:t>
            </w:r>
          </w:p>
          <w:p w14:paraId="5753F59E" w14:textId="77777777" w:rsidR="008C7236" w:rsidRPr="008C7236" w:rsidRDefault="008C7236" w:rsidP="004F02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Windows</w:t>
            </w:r>
          </w:p>
          <w:p w14:paraId="4B02A4C9" w14:textId="77777777" w:rsidR="008C7236" w:rsidRPr="008C7236" w:rsidRDefault="008C7236" w:rsidP="004F02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lastRenderedPageBreak/>
              <w:t>Linux (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RedHat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SuSE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  <w:tr w:rsidR="008C7236" w:rsidRPr="008C7236" w14:paraId="4C769FB4" w14:textId="77777777" w:rsidTr="00ED1BB6">
        <w:tc>
          <w:tcPr>
            <w:tcW w:w="546" w:type="pct"/>
          </w:tcPr>
          <w:p w14:paraId="0EB5261D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5683EA0B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Oferowane urządzenie musi umożliwiać bezpośrednią replikację danych do drugiego urządzenia takiego samego typu. Konfiguracja replikacji musi być możliwa w każdym z trybów:</w:t>
            </w:r>
          </w:p>
          <w:p w14:paraId="1DB69B17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   * jeden do jednego </w:t>
            </w:r>
          </w:p>
          <w:p w14:paraId="016874D6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   * wiele do jednego</w:t>
            </w:r>
          </w:p>
          <w:p w14:paraId="1F56E10E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   * jeden do wielu</w:t>
            </w:r>
          </w:p>
          <w:p w14:paraId="6304891D" w14:textId="46BA35EB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   * kaskadowej (urządzenie A replikuje dane do </w:t>
            </w:r>
            <w:r w:rsidR="004F025C" w:rsidRPr="008C7236">
              <w:rPr>
                <w:rFonts w:ascii="Calibri" w:eastAsia="Calibri" w:hAnsi="Calibri"/>
                <w:sz w:val="22"/>
                <w:szCs w:val="22"/>
              </w:rPr>
              <w:t>urządzania</w:t>
            </w: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B, które te same dane replikuje do urządzenia C).</w:t>
            </w:r>
          </w:p>
          <w:p w14:paraId="400CF743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Replikacja musi się odbywać w trybie asynchronicznym. Transmitowane mogą być tylko te fragmenty danych (bloki) które nie znajdują się na docelowym urządzeniu. Licencja na replikację jest przedmiotem postępowania. </w:t>
            </w:r>
          </w:p>
        </w:tc>
      </w:tr>
      <w:tr w:rsidR="008C7236" w:rsidRPr="008C7236" w14:paraId="72DA78EA" w14:textId="77777777" w:rsidTr="00ED1BB6">
        <w:tc>
          <w:tcPr>
            <w:tcW w:w="546" w:type="pct"/>
          </w:tcPr>
          <w:p w14:paraId="7DD99879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1FBB633A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Urządzenie musi umożliwiać wydzielenie określonych portów Ethernet dedykowanych do replikacji.</w:t>
            </w:r>
          </w:p>
        </w:tc>
      </w:tr>
      <w:tr w:rsidR="008C7236" w:rsidRPr="008C7236" w14:paraId="3D3AF490" w14:textId="77777777" w:rsidTr="00ED1BB6">
        <w:tc>
          <w:tcPr>
            <w:tcW w:w="546" w:type="pct"/>
          </w:tcPr>
          <w:p w14:paraId="425DA8D6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1E22EF17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W przypadku  wykorzystania portów Ethernet do replikacji urządzenie musi umożliwiać przyjmowanie backupów, odtwarzanie danych, przyjmowanie strumienia replikacji, wysyłanie strumienia replikacji tymi samymi portami.</w:t>
            </w:r>
          </w:p>
        </w:tc>
      </w:tr>
      <w:tr w:rsidR="008C7236" w:rsidRPr="008C7236" w14:paraId="401FA531" w14:textId="77777777" w:rsidTr="00ED1BB6">
        <w:tc>
          <w:tcPr>
            <w:tcW w:w="546" w:type="pct"/>
          </w:tcPr>
          <w:p w14:paraId="19C4FC6D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35149958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W </w:t>
            </w:r>
            <w:r w:rsidRPr="008C7236">
              <w:rPr>
                <w:rFonts w:ascii="Calibri" w:eastAsia="Calibri" w:hAnsi="Calibri" w:cs="Calibri"/>
                <w:sz w:val="22"/>
                <w:szCs w:val="22"/>
              </w:rPr>
              <w:t xml:space="preserve">przypadku  replikacji danych między dwoma urządzeniami oferowanego typu, wymagana możliwość kontroli przez: </w:t>
            </w:r>
            <w:r w:rsidRPr="008C723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Microsoft</w:t>
            </w:r>
            <w:r w:rsidRPr="008C72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C723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SQL Server</w:t>
            </w:r>
            <w:r w:rsidRPr="008C72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C723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Management Studio,</w:t>
            </w:r>
            <w:r w:rsidRPr="008C7236">
              <w:rPr>
                <w:rFonts w:ascii="Calibri" w:eastAsia="Calibri" w:hAnsi="Calibri" w:cs="Calibri"/>
                <w:sz w:val="22"/>
                <w:szCs w:val="22"/>
              </w:rPr>
              <w:t xml:space="preserve"> muszą być możliwe do uzyskania jednocześnie wszystkie następujące funkcjonalności</w:t>
            </w:r>
            <w:r w:rsidRPr="008C7236"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14:paraId="724BA433" w14:textId="77777777" w:rsidR="008C7236" w:rsidRPr="008C7236" w:rsidRDefault="008C7236" w:rsidP="004F02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replikacja odbywa się bezpośrednio między dwoma urządzeniami bez udziału serwerów pośredniczących</w:t>
            </w:r>
          </w:p>
          <w:p w14:paraId="5AE7338F" w14:textId="77777777" w:rsidR="008C7236" w:rsidRPr="008C7236" w:rsidRDefault="008C7236" w:rsidP="004F02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replikacji podlegają tylko te fragmenty danych, które nie znajdują się na docelowym urządzeniu</w:t>
            </w:r>
          </w:p>
          <w:p w14:paraId="72B1D8AD" w14:textId="77777777" w:rsidR="008C7236" w:rsidRPr="008C7236" w:rsidRDefault="008C7236" w:rsidP="004F02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replikacja zarządzana jest z poziomu wymaganej aplikacji</w:t>
            </w:r>
          </w:p>
          <w:p w14:paraId="2BD25BFC" w14:textId="77777777" w:rsidR="008C7236" w:rsidRPr="008C7236" w:rsidRDefault="008C7236" w:rsidP="004F02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aplikacja posiada informację o obydwu kopiach zapasowych znajdujących się w obydwu urządzeniach bez konieczności przeprowadzania procesu inwentaryzacji</w:t>
            </w:r>
          </w:p>
        </w:tc>
      </w:tr>
      <w:tr w:rsidR="008C7236" w:rsidRPr="008C7236" w14:paraId="5273DE11" w14:textId="77777777" w:rsidTr="00ED1BB6">
        <w:tc>
          <w:tcPr>
            <w:tcW w:w="546" w:type="pct"/>
          </w:tcPr>
          <w:p w14:paraId="1911300E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436D481A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Oferowane urządzenie musi działać poprawnie przy zapełnieniu danymi na poziomie co najmniej 90%. Dokumentacja urządzenia nie może wskazywać na ew. problemy, obostrzenia, które są efektem zapełnieniu urządzenia  zabezpieczanymi danymi, na poziomie mniejszym niż 90%.</w:t>
            </w:r>
          </w:p>
        </w:tc>
      </w:tr>
      <w:tr w:rsidR="008C7236" w:rsidRPr="008C7236" w14:paraId="76A23F15" w14:textId="77777777" w:rsidTr="00ED1BB6">
        <w:tc>
          <w:tcPr>
            <w:tcW w:w="546" w:type="pct"/>
          </w:tcPr>
          <w:p w14:paraId="421B1D19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253829A4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Wymagana możliwość ograniczenia pasma używanego do replikacji między dwoma urządzeniami – oferowane urządzenie powinno być wyposażone w mechanizm umożliwiający zarządzaniem stopnia wykorzystania pasma na potrzeby replikacji.</w:t>
            </w:r>
          </w:p>
        </w:tc>
      </w:tr>
      <w:tr w:rsidR="008C7236" w:rsidRPr="008C7236" w14:paraId="17049B61" w14:textId="77777777" w:rsidTr="00ED1BB6">
        <w:tc>
          <w:tcPr>
            <w:tcW w:w="546" w:type="pct"/>
          </w:tcPr>
          <w:p w14:paraId="495B05E9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43FE8A18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Zdeduplikowane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i skompresowane dane przechowywane w obrębie podsystemu dyskowego urządzenia muszą być chronione za pomocą technologii RAID 6 bądź równoważnej.</w:t>
            </w:r>
          </w:p>
        </w:tc>
      </w:tr>
      <w:tr w:rsidR="008C7236" w:rsidRPr="008C7236" w14:paraId="5F63AF05" w14:textId="77777777" w:rsidTr="00ED1BB6">
        <w:tc>
          <w:tcPr>
            <w:tcW w:w="546" w:type="pct"/>
          </w:tcPr>
          <w:p w14:paraId="26C997DB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1ED36834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Oferowane urządzenie musi umożliwiać wykonywanie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SnapShot’ów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, czyli umożliwiać zamrożenie obrazu danych (stanu backupów) w urządzeniu na określoną chwilę. Oferowane urządzenie musi również umożliwiać odtworzenie danych ze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Snapshot’u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2F515CD9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Odtworzenie danych ze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Snapshot’u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nie może wymagać konieczności nadpisania danych produkcyjnych jak również nie może oznaczać przerwy w normalnej pracy urządzenia (przyjmowania/odtwarzania backupów).</w:t>
            </w:r>
          </w:p>
        </w:tc>
      </w:tr>
      <w:tr w:rsidR="008C7236" w:rsidRPr="008C7236" w14:paraId="043AF625" w14:textId="77777777" w:rsidTr="00ED1BB6">
        <w:tc>
          <w:tcPr>
            <w:tcW w:w="546" w:type="pct"/>
          </w:tcPr>
          <w:p w14:paraId="0E3E49E1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06A50845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B050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Urządzenie musi pozwalać na przechowywanie minimum 500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>Snapshotów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jednocześnie w obrębie oferowanej przestrzeni, przy zachowaniu globalnej </w:t>
            </w:r>
            <w:proofErr w:type="spellStart"/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>deduplikacji</w:t>
            </w:r>
            <w:proofErr w:type="spellEnd"/>
            <w:r w:rsidRPr="008C7236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oraz standardowego trybu pracy urządzenia – umożliwiającego wykorzystanie wszystkich dostępnych funkcjonalności.</w:t>
            </w:r>
          </w:p>
        </w:tc>
      </w:tr>
      <w:tr w:rsidR="008C7236" w:rsidRPr="008C7236" w14:paraId="03B09A0D" w14:textId="77777777" w:rsidTr="00ED1BB6">
        <w:tc>
          <w:tcPr>
            <w:tcW w:w="546" w:type="pct"/>
          </w:tcPr>
          <w:p w14:paraId="650189F5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071675C4" w14:textId="77777777" w:rsidR="008C7236" w:rsidRPr="008C7236" w:rsidRDefault="008C7236" w:rsidP="004F025C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Urządzenie musi umożliwiać podział na logiczne części. Dane znajdujące się w każdej logicznej części muszą być między sobą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deduplikowane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(globalna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deduplikacja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między logicznymi częściami urządzenia).</w:t>
            </w:r>
          </w:p>
        </w:tc>
      </w:tr>
      <w:tr w:rsidR="008C7236" w:rsidRPr="008C7236" w14:paraId="54C0AF3C" w14:textId="77777777" w:rsidTr="00ED1BB6">
        <w:tc>
          <w:tcPr>
            <w:tcW w:w="546" w:type="pct"/>
          </w:tcPr>
          <w:p w14:paraId="2912A0E4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4AB31F32" w14:textId="77777777" w:rsidR="008C7236" w:rsidRPr="008C7236" w:rsidRDefault="008C7236" w:rsidP="004F025C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Urządzenie musi mieć możliwość podziału na minimum 10 logicznych części pracujących równolegle. Producent musi oficjalnie wspierać pracę minimum 10 logicznych części pracujących równolegle z pełną wydajnością urządzenia.</w:t>
            </w:r>
          </w:p>
        </w:tc>
      </w:tr>
      <w:tr w:rsidR="008C7236" w:rsidRPr="008C7236" w14:paraId="3F58A171" w14:textId="77777777" w:rsidTr="00ED1BB6">
        <w:tc>
          <w:tcPr>
            <w:tcW w:w="546" w:type="pct"/>
          </w:tcPr>
          <w:p w14:paraId="7F0F641D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0C80AC24" w14:textId="77777777" w:rsidR="008C7236" w:rsidRPr="008C7236" w:rsidRDefault="008C7236" w:rsidP="004F025C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Dla każdej z w/w logicznych części oferowanego urządzenia musi być możliwość zdefiniowania oddzielnego użytkownika zarządzającego daną logiczną częścią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deduplikatora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. Użytkownicy zarządzający logiczną częścią A muszą widzieć tylko i wyłącznie zasoby logicznej części A i nie mogą widzieć żadnych innych zasobów oferowanego urządzenia.</w:t>
            </w:r>
          </w:p>
        </w:tc>
      </w:tr>
      <w:tr w:rsidR="008C7236" w:rsidRPr="008C7236" w14:paraId="55945DD4" w14:textId="77777777" w:rsidTr="00ED1BB6">
        <w:tc>
          <w:tcPr>
            <w:tcW w:w="546" w:type="pct"/>
          </w:tcPr>
          <w:p w14:paraId="46364704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2B4F2B90" w14:textId="77777777" w:rsidR="008C7236" w:rsidRPr="008C7236" w:rsidRDefault="008C7236" w:rsidP="004F025C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Wymagana możliwość zaprezentowania każdej z logicznych części oferowanego urządzenia, jako niezależnego urządzenia dostępnego za pośrednictwem:</w:t>
            </w:r>
          </w:p>
          <w:p w14:paraId="1746F541" w14:textId="77777777" w:rsidR="008C7236" w:rsidRPr="008C7236" w:rsidRDefault="008C7236" w:rsidP="004F025C">
            <w:pPr>
              <w:numPr>
                <w:ilvl w:val="0"/>
                <w:numId w:val="16"/>
              </w:numPr>
              <w:suppressAutoHyphens/>
              <w:spacing w:after="1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CIFS</w:t>
            </w:r>
          </w:p>
          <w:p w14:paraId="183B6C19" w14:textId="77777777" w:rsidR="008C7236" w:rsidRPr="008C7236" w:rsidRDefault="008C7236" w:rsidP="004F025C">
            <w:pPr>
              <w:numPr>
                <w:ilvl w:val="0"/>
                <w:numId w:val="16"/>
              </w:numPr>
              <w:suppressAutoHyphens/>
              <w:spacing w:after="1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NFS</w:t>
            </w:r>
          </w:p>
          <w:p w14:paraId="3AAEB860" w14:textId="77777777" w:rsidR="008C7236" w:rsidRPr="008C7236" w:rsidRDefault="008C7236" w:rsidP="004F025C">
            <w:pPr>
              <w:numPr>
                <w:ilvl w:val="0"/>
                <w:numId w:val="16"/>
              </w:numPr>
              <w:suppressAutoHyphens/>
              <w:spacing w:after="1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VTL</w:t>
            </w:r>
          </w:p>
          <w:p w14:paraId="5BE404AE" w14:textId="77777777" w:rsidR="008C7236" w:rsidRPr="008C7236" w:rsidRDefault="008C7236" w:rsidP="004F025C">
            <w:pPr>
              <w:numPr>
                <w:ilvl w:val="0"/>
                <w:numId w:val="16"/>
              </w:numPr>
              <w:suppressAutoHyphens/>
              <w:spacing w:after="1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deduplikacja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na źródle</w:t>
            </w:r>
          </w:p>
        </w:tc>
      </w:tr>
      <w:tr w:rsidR="008C7236" w:rsidRPr="008C7236" w14:paraId="68E167C8" w14:textId="77777777" w:rsidTr="00ED1BB6">
        <w:tc>
          <w:tcPr>
            <w:tcW w:w="546" w:type="pct"/>
          </w:tcPr>
          <w:p w14:paraId="37E066F5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36DA8FC9" w14:textId="77777777" w:rsidR="008C7236" w:rsidRPr="008C7236" w:rsidRDefault="008C7236" w:rsidP="004F025C">
            <w:pPr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Urządzenie powinno umożliwiać zdefiniowanie blokady skasowania danych (funkcjonalność WORM). Blokada skasowania danych musi chronić plik w zdefiniowanym czasie przed usunięciem pliku, modyfikacją pliku.</w:t>
            </w:r>
          </w:p>
          <w:p w14:paraId="79CAD022" w14:textId="77777777" w:rsidR="008C7236" w:rsidRPr="008C7236" w:rsidRDefault="008C7236" w:rsidP="004F025C">
            <w:pPr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Blokada skasowania danych musi działać w dwóch trybach (do wyboru przez administratora):</w:t>
            </w:r>
          </w:p>
          <w:p w14:paraId="749F9871" w14:textId="77777777" w:rsidR="008C7236" w:rsidRPr="008C7236" w:rsidRDefault="008C7236" w:rsidP="004F025C">
            <w:pPr>
              <w:numPr>
                <w:ilvl w:val="0"/>
                <w:numId w:val="18"/>
              </w:numPr>
              <w:suppressAutoHyphens/>
              <w:spacing w:after="160"/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Możliwość zdjęcia blokady przed upływem ważności danych</w:t>
            </w:r>
          </w:p>
          <w:p w14:paraId="29A81D11" w14:textId="77777777" w:rsidR="008C7236" w:rsidRPr="008C7236" w:rsidRDefault="008C7236" w:rsidP="004F025C">
            <w:pPr>
              <w:numPr>
                <w:ilvl w:val="0"/>
                <w:numId w:val="18"/>
              </w:numPr>
              <w:suppressAutoHyphens/>
              <w:spacing w:after="160"/>
              <w:contextualSpacing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Brak możliwości zdjęcia blokady przed upływem ważności danych (COMPLIANCE), w tym wypadku wymagane wsparcie norm SEC 17a-4(f) lub ISO Standard 15489-1 w zakresie ochrony danych</w:t>
            </w:r>
          </w:p>
          <w:p w14:paraId="316FCBF3" w14:textId="77777777" w:rsidR="008C7236" w:rsidRPr="008C7236" w:rsidRDefault="008C7236" w:rsidP="004F025C">
            <w:pPr>
              <w:contextualSpacing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Licencje na blokadę usunięcia/zmiany przechowywanych plików muszą być dostarczone wraz z urządzeniem.</w:t>
            </w:r>
          </w:p>
          <w:p w14:paraId="28EFFAA7" w14:textId="77777777" w:rsidR="008C7236" w:rsidRPr="008C7236" w:rsidRDefault="008C7236" w:rsidP="004F025C">
            <w:pPr>
              <w:contextualSpacing/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  <w:t xml:space="preserve">W przypadku braku wymaganej funkcjonalności WORM, wymagana dostawa dodatkowej macierzy typu NAS (NFS/CIFS) o pojemności netto dwukrotnie większej od wymaganej pojemności netto </w:t>
            </w:r>
            <w:proofErr w:type="spellStart"/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  <w:t>deduplikatora</w:t>
            </w:r>
            <w:proofErr w:type="spellEnd"/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  <w:t xml:space="preserve"> (40TB x 2 = 80TB netto), o wydajności nie mniejszej od </w:t>
            </w:r>
            <w:proofErr w:type="spellStart"/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  <w:t>deduplikatora</w:t>
            </w:r>
            <w:proofErr w:type="spellEnd"/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  <w:t xml:space="preserve"> będącego przedmiotem zapytania, wyposażona w funkcjonalność WORM macierz musi spełniać wymagania dot. ochrony danych określone normami </w:t>
            </w:r>
            <w:r w:rsidRPr="008C723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SEC 17a-4(f) lub ISO Standard 15489-1</w:t>
            </w: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14:paraId="196F9630" w14:textId="77777777" w:rsidR="008C7236" w:rsidRPr="008C7236" w:rsidRDefault="008C7236" w:rsidP="004F025C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  <w:t xml:space="preserve">W każdym przypadku wymagana możliwość automatycznego uruchamiania blokady (podczas zapisu) WORM dla danych zapisywanych na obszar objęty działaniem wspomnianej blokady. W każdym przypadku wymagana również możliwość używania blokady WORM dla obrazu danych uzyskanych poprzez użycie wymaganej funkcjonalności </w:t>
            </w:r>
            <w:proofErr w:type="spellStart"/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  <w:t>SnapShot</w:t>
            </w:r>
            <w:proofErr w:type="spellEnd"/>
            <w:r w:rsidRPr="008C7236"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8C7236" w:rsidRPr="008C7236" w14:paraId="7ED0B0D1" w14:textId="77777777" w:rsidTr="00ED1BB6">
        <w:tc>
          <w:tcPr>
            <w:tcW w:w="546" w:type="pct"/>
          </w:tcPr>
          <w:p w14:paraId="2A575446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7348DB7E" w14:textId="77777777" w:rsidR="008C7236" w:rsidRPr="008C7236" w:rsidRDefault="008C7236" w:rsidP="004F025C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Urządzenie musi mieć możliwość przechowywania danych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niezmienialnych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  <w:p w14:paraId="4D19575A" w14:textId="77777777" w:rsidR="008C7236" w:rsidRPr="008C7236" w:rsidRDefault="008C7236" w:rsidP="004F025C">
            <w:pPr>
              <w:numPr>
                <w:ilvl w:val="0"/>
                <w:numId w:val="16"/>
              </w:numPr>
              <w:suppressAutoHyphens/>
              <w:spacing w:after="1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Video</w:t>
            </w:r>
          </w:p>
          <w:p w14:paraId="6038E4CB" w14:textId="77777777" w:rsidR="008C7236" w:rsidRPr="008C7236" w:rsidRDefault="008C7236" w:rsidP="004F025C">
            <w:pPr>
              <w:numPr>
                <w:ilvl w:val="0"/>
                <w:numId w:val="16"/>
              </w:numPr>
              <w:suppressAutoHyphens/>
              <w:spacing w:after="1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Grafika</w:t>
            </w:r>
          </w:p>
          <w:p w14:paraId="01AE3C6E" w14:textId="77777777" w:rsidR="008C7236" w:rsidRPr="008C7236" w:rsidRDefault="008C7236" w:rsidP="004F025C">
            <w:pPr>
              <w:numPr>
                <w:ilvl w:val="0"/>
                <w:numId w:val="16"/>
              </w:numPr>
              <w:suppressAutoHyphens/>
              <w:spacing w:after="1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Nagrania dźwiękowe</w:t>
            </w:r>
          </w:p>
          <w:p w14:paraId="14510508" w14:textId="77777777" w:rsidR="008C7236" w:rsidRPr="008C7236" w:rsidRDefault="008C7236" w:rsidP="004F025C">
            <w:pPr>
              <w:numPr>
                <w:ilvl w:val="0"/>
                <w:numId w:val="16"/>
              </w:numPr>
              <w:suppressAutoHyphens/>
              <w:spacing w:after="1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Pliki pdf</w:t>
            </w:r>
          </w:p>
          <w:p w14:paraId="033AB8D0" w14:textId="77777777" w:rsidR="008C7236" w:rsidRPr="008C7236" w:rsidRDefault="008C7236" w:rsidP="004F025C">
            <w:pPr>
              <w:ind w:left="45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>na udziałach CIFS/NFS.</w:t>
            </w:r>
          </w:p>
        </w:tc>
      </w:tr>
      <w:tr w:rsidR="008C7236" w:rsidRPr="008C7236" w14:paraId="26331644" w14:textId="77777777" w:rsidTr="00ED1BB6">
        <w:tc>
          <w:tcPr>
            <w:tcW w:w="546" w:type="pct"/>
          </w:tcPr>
          <w:p w14:paraId="271C370B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007867CF" w14:textId="77777777" w:rsidR="008C7236" w:rsidRPr="008C7236" w:rsidRDefault="008C7236" w:rsidP="004F025C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Urządzenie musi weryfikować dane po zapisie </w:t>
            </w:r>
            <w:r w:rsidRPr="008C7236">
              <w:rPr>
                <w:rFonts w:ascii="Calibri" w:hAnsi="Calibri"/>
                <w:sz w:val="22"/>
                <w:szCs w:val="22"/>
                <w:lang w:eastAsia="en-US"/>
              </w:rPr>
              <w:t xml:space="preserve">(nie chodzi o ew. weryfikację danych indeksowych generowanych przez urządzenie  ale o weryfikację wszystkich zabezpieczanych danych </w:t>
            </w:r>
            <w:proofErr w:type="spellStart"/>
            <w:r w:rsidRPr="008C7236">
              <w:rPr>
                <w:rFonts w:ascii="Calibri" w:hAnsi="Calibri"/>
                <w:sz w:val="22"/>
                <w:szCs w:val="22"/>
                <w:lang w:eastAsia="en-US"/>
              </w:rPr>
              <w:t>backup’owych</w:t>
            </w:r>
            <w:proofErr w:type="spellEnd"/>
            <w:r w:rsidRPr="008C7236">
              <w:rPr>
                <w:rFonts w:ascii="Calibri" w:hAnsi="Calibri"/>
                <w:sz w:val="22"/>
                <w:szCs w:val="22"/>
                <w:lang w:eastAsia="en-US"/>
              </w:rPr>
              <w:t>)</w:t>
            </w:r>
            <w:r w:rsidRPr="008C72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Każda zapisana na dyskach porcja danych  musi być odczytana i porównana z danymi otrzymanymi przez urządzenie. </w:t>
            </w:r>
            <w:r w:rsidRPr="008C7236">
              <w:rPr>
                <w:rFonts w:ascii="Calibri" w:hAnsi="Calibri"/>
                <w:sz w:val="22"/>
                <w:szCs w:val="22"/>
                <w:lang w:eastAsia="en-US"/>
              </w:rPr>
              <w:t xml:space="preserve">Powyższa weryfikacja powinna być realizowana w locie, czyli przed usunięciem z pamięci oryginalnych danych (otrzymanych z aplikacji backupowej), musi być realizowana w </w:t>
            </w:r>
            <w:r w:rsidRPr="008C723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 xml:space="preserve">trybie ciągłym (a nie ad-hoc), wymagane parametry wydajnościowe </w:t>
            </w:r>
            <w:proofErr w:type="spellStart"/>
            <w:r w:rsidRPr="008C7236">
              <w:rPr>
                <w:rFonts w:ascii="Calibri" w:hAnsi="Calibri"/>
                <w:sz w:val="22"/>
                <w:szCs w:val="22"/>
                <w:lang w:eastAsia="en-US"/>
              </w:rPr>
              <w:t>urzadzenia</w:t>
            </w:r>
            <w:proofErr w:type="spellEnd"/>
            <w:r w:rsidRPr="008C7236">
              <w:rPr>
                <w:rFonts w:ascii="Calibri" w:hAnsi="Calibri"/>
                <w:sz w:val="22"/>
                <w:szCs w:val="22"/>
                <w:lang w:eastAsia="en-US"/>
              </w:rPr>
              <w:t xml:space="preserve">  muszą uwzględniać  tę funkcjonalność.</w:t>
            </w:r>
            <w:r w:rsidRPr="008C7236">
              <w:rPr>
                <w:rFonts w:ascii="Calibri" w:hAnsi="Calibri"/>
                <w:sz w:val="22"/>
                <w:szCs w:val="22"/>
                <w:lang w:eastAsia="en-US"/>
              </w:rPr>
              <w:br/>
              <w:t>Wymagane potwierdzenie opisanej funkcjonalności w oficjalnej dokumentacji producenta oferowanego urządzenia.</w:t>
            </w:r>
          </w:p>
        </w:tc>
      </w:tr>
      <w:tr w:rsidR="008C7236" w:rsidRPr="008C7236" w14:paraId="40003DD5" w14:textId="77777777" w:rsidTr="00ED1BB6">
        <w:tc>
          <w:tcPr>
            <w:tcW w:w="546" w:type="pct"/>
          </w:tcPr>
          <w:p w14:paraId="10E9ECAC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792949C7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Urządzenie musi automatycznie usuwać przeterminowane dane (bloki danych nie należące do backupów o aktualnej retencji) w procesie czyszczenia. </w:t>
            </w:r>
          </w:p>
        </w:tc>
      </w:tr>
      <w:tr w:rsidR="008C7236" w:rsidRPr="008C7236" w14:paraId="68077A78" w14:textId="77777777" w:rsidTr="00ED1BB6">
        <w:tc>
          <w:tcPr>
            <w:tcW w:w="546" w:type="pct"/>
          </w:tcPr>
          <w:p w14:paraId="6450F137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1042A6D9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Proces usuwania przeterminowanych danych (czyszczenia) nie może uniemożliwiać pracy procesów backupu / odtwarzania danych (zapisu / odczytu danych z zewnątrz do systemu). </w:t>
            </w:r>
          </w:p>
        </w:tc>
      </w:tr>
      <w:tr w:rsidR="008C7236" w:rsidRPr="008C7236" w14:paraId="1D44131C" w14:textId="77777777" w:rsidTr="00ED1BB6">
        <w:tc>
          <w:tcPr>
            <w:tcW w:w="546" w:type="pct"/>
          </w:tcPr>
          <w:p w14:paraId="01F22ACF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4260F92D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Wymagana możliwość zdefiniowania maksymalnego obciążenia urządzenia procesem usuwania przeterminowanych danych (poziomu obciążenia procesora).</w:t>
            </w:r>
          </w:p>
        </w:tc>
      </w:tr>
      <w:tr w:rsidR="008C7236" w:rsidRPr="008C7236" w14:paraId="745CB9FD" w14:textId="77777777" w:rsidTr="00ED1BB6">
        <w:tc>
          <w:tcPr>
            <w:tcW w:w="546" w:type="pct"/>
          </w:tcPr>
          <w:p w14:paraId="579DE8E5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5FFC7D38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Wymagana możliwość zdefiniowania harmonogramu wg. którego  wykonywany jest proces usuwania przeterminowanych danych (czyszczenia), realizowany równolegle z procesami backup/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restore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>/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replication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</w:tr>
      <w:tr w:rsidR="008C7236" w:rsidRPr="008C7236" w14:paraId="3A2BBA49" w14:textId="77777777" w:rsidTr="00ED1BB6">
        <w:tc>
          <w:tcPr>
            <w:tcW w:w="546" w:type="pct"/>
          </w:tcPr>
          <w:p w14:paraId="2458074A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601C5668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Standardowa częstotliwość usuwania przeterminowanych danych (czyszczenie) nie powinna być większa niż 1 raz na tydzień - minimalizując czas w którym backupy/odtworzenia narażone są na spowolnienie (weryfikacja wymagania na podstawie dokumentacji typu DOBRE PRAKTYKI publikowanej przez producenta).</w:t>
            </w:r>
          </w:p>
        </w:tc>
      </w:tr>
      <w:tr w:rsidR="008C7236" w:rsidRPr="008C7236" w14:paraId="5419C9F9" w14:textId="77777777" w:rsidTr="00ED1BB6">
        <w:tc>
          <w:tcPr>
            <w:tcW w:w="546" w:type="pct"/>
          </w:tcPr>
          <w:p w14:paraId="3A964894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326B293D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Urządzenie musi umożliwiać systemowo (wbudowana funkcjonalność) - realizację procesu pierwszego czyszczenia dopiero po przekroczeniu 75% zajętości oferowanej przestrzeni.</w:t>
            </w:r>
          </w:p>
        </w:tc>
      </w:tr>
      <w:tr w:rsidR="008C7236" w:rsidRPr="008C7236" w14:paraId="7EE51B16" w14:textId="77777777" w:rsidTr="00ED1BB6">
        <w:tc>
          <w:tcPr>
            <w:tcW w:w="546" w:type="pct"/>
          </w:tcPr>
          <w:p w14:paraId="7C6633DD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77E0A064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Urządzenie musi mieć możliwość zarządzania poprzez</w:t>
            </w:r>
          </w:p>
          <w:p w14:paraId="7F7606F3" w14:textId="77777777" w:rsidR="008C7236" w:rsidRPr="008C7236" w:rsidRDefault="008C7236" w:rsidP="004F02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Interfejs graficzny dostępny z przeglądarki internetowej</w:t>
            </w:r>
          </w:p>
          <w:p w14:paraId="6DF58465" w14:textId="77777777" w:rsidR="008C7236" w:rsidRPr="008C7236" w:rsidRDefault="008C7236" w:rsidP="004F02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Poprzez linię komend (CLI) dostępną z poziomu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ssh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(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secure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shell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  <w:tr w:rsidR="008C7236" w:rsidRPr="008C7236" w14:paraId="0C436B31" w14:textId="77777777" w:rsidTr="00ED1BB6">
        <w:tc>
          <w:tcPr>
            <w:tcW w:w="546" w:type="pct"/>
          </w:tcPr>
          <w:p w14:paraId="364D19B2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46DFA17F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Oprogramowanie do zarządzania musi rezydować na oferowanym na urządzeniu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deduplikacyjnym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. </w:t>
            </w:r>
          </w:p>
        </w:tc>
      </w:tr>
      <w:tr w:rsidR="008C7236" w:rsidRPr="008C7236" w14:paraId="4F567789" w14:textId="77777777" w:rsidTr="00ED1BB6">
        <w:tc>
          <w:tcPr>
            <w:tcW w:w="546" w:type="pct"/>
          </w:tcPr>
          <w:p w14:paraId="1173F96A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29341D58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Oferowane urządzenie musi mieć możliwość sprawdzenia pakietu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upgrade’ującego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firmware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urządzenia (GUI lub CLI), to znaczy sprawdzenia czy nowa wersja systemu nie spowoduje problemów z urządzeniem.</w:t>
            </w:r>
          </w:p>
        </w:tc>
      </w:tr>
      <w:tr w:rsidR="008C7236" w:rsidRPr="008C7236" w14:paraId="09AAC7D7" w14:textId="77777777" w:rsidTr="00ED1BB6">
        <w:tc>
          <w:tcPr>
            <w:tcW w:w="546" w:type="pct"/>
          </w:tcPr>
          <w:p w14:paraId="43348FF2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52831433" w14:textId="77777777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Urządzenie musi być rozwiązaniem kompletnym,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appliancem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sprzętowym pochodzącym od jednego producenta. Zamawiający nie dopuszcza stosowania rozwiązań typu 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gateway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>. Oferowany typ urządzenia musi być oficjalnie dostępne w ofercie producenta przed ukazaniem się niniejszego postępowania.</w:t>
            </w:r>
          </w:p>
        </w:tc>
      </w:tr>
      <w:tr w:rsidR="008C7236" w:rsidRPr="008C7236" w14:paraId="7A995662" w14:textId="77777777" w:rsidTr="00ED1BB6">
        <w:tc>
          <w:tcPr>
            <w:tcW w:w="546" w:type="pct"/>
          </w:tcPr>
          <w:p w14:paraId="77C13860" w14:textId="77777777" w:rsidR="008C7236" w:rsidRPr="008C7236" w:rsidRDefault="008C7236" w:rsidP="004F025C">
            <w:pPr>
              <w:numPr>
                <w:ilvl w:val="0"/>
                <w:numId w:val="17"/>
              </w:numPr>
              <w:suppressAutoHyphens/>
              <w:spacing w:after="160"/>
              <w:ind w:left="284" w:hanging="284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54" w:type="pct"/>
          </w:tcPr>
          <w:p w14:paraId="4A9CC0B2" w14:textId="27DCD66B" w:rsidR="008C7236" w:rsidRPr="008C7236" w:rsidRDefault="008C7236" w:rsidP="004F025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8C7236">
              <w:rPr>
                <w:rFonts w:ascii="Calibri" w:eastAsia="Calibri" w:hAnsi="Calibri"/>
                <w:sz w:val="22"/>
                <w:szCs w:val="22"/>
              </w:rPr>
              <w:t>Oferowane urządzenie powinno być objęte 3 letnim wsparciem producenta działającym w trybie zgłaszania awarii: 24x7 oraz reakcji on-</w:t>
            </w:r>
            <w:proofErr w:type="spellStart"/>
            <w:r w:rsidRPr="008C7236">
              <w:rPr>
                <w:rFonts w:ascii="Calibri" w:eastAsia="Calibri" w:hAnsi="Calibri"/>
                <w:sz w:val="22"/>
                <w:szCs w:val="22"/>
              </w:rPr>
              <w:t>site</w:t>
            </w:r>
            <w:proofErr w:type="spellEnd"/>
            <w:r w:rsidRPr="008C7236">
              <w:rPr>
                <w:rFonts w:ascii="Calibri" w:eastAsia="Calibri" w:hAnsi="Calibri"/>
                <w:sz w:val="22"/>
                <w:szCs w:val="22"/>
              </w:rPr>
              <w:t xml:space="preserve"> w trybie NBD</w:t>
            </w:r>
            <w:r w:rsidR="00360B3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360B31" w:rsidRPr="00547670">
              <w:rPr>
                <w:rFonts w:ascii="Calibri" w:eastAsia="Calibri" w:hAnsi="Calibri"/>
                <w:sz w:val="22"/>
                <w:szCs w:val="22"/>
              </w:rPr>
              <w:t xml:space="preserve">oraz 3 letnią gwarancją producenta  </w:t>
            </w:r>
          </w:p>
        </w:tc>
      </w:tr>
    </w:tbl>
    <w:p w14:paraId="56B548BF" w14:textId="77777777" w:rsidR="004A2200" w:rsidRPr="004A2200" w:rsidRDefault="004A2200" w:rsidP="004F025C">
      <w:pPr>
        <w:jc w:val="both"/>
        <w:rPr>
          <w:rFonts w:ascii="Arial" w:hAnsi="Arial" w:cs="Arial"/>
          <w:sz w:val="20"/>
          <w:szCs w:val="20"/>
        </w:rPr>
      </w:pPr>
    </w:p>
    <w:sectPr w:rsidR="004A2200" w:rsidRPr="004A22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65ED" w14:textId="77777777" w:rsidR="0075034D" w:rsidRDefault="0075034D" w:rsidP="004F025C">
      <w:r>
        <w:separator/>
      </w:r>
    </w:p>
  </w:endnote>
  <w:endnote w:type="continuationSeparator" w:id="0">
    <w:p w14:paraId="4E36470A" w14:textId="77777777" w:rsidR="0075034D" w:rsidRDefault="0075034D" w:rsidP="004F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102635"/>
      <w:docPartObj>
        <w:docPartGallery w:val="Page Numbers (Bottom of Page)"/>
        <w:docPartUnique/>
      </w:docPartObj>
    </w:sdtPr>
    <w:sdtEndPr/>
    <w:sdtContent>
      <w:p w14:paraId="647D10C8" w14:textId="050BCF11" w:rsidR="004F025C" w:rsidRDefault="004F02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3CF2D3" w14:textId="77777777" w:rsidR="004F025C" w:rsidRDefault="004F0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CCB2" w14:textId="77777777" w:rsidR="0075034D" w:rsidRDefault="0075034D" w:rsidP="004F025C">
      <w:r>
        <w:separator/>
      </w:r>
    </w:p>
  </w:footnote>
  <w:footnote w:type="continuationSeparator" w:id="0">
    <w:p w14:paraId="0DBC91E8" w14:textId="77777777" w:rsidR="0075034D" w:rsidRDefault="0075034D" w:rsidP="004F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4B2"/>
    <w:multiLevelType w:val="hybridMultilevel"/>
    <w:tmpl w:val="9D740128"/>
    <w:lvl w:ilvl="0" w:tplc="BEAC7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08E8"/>
    <w:multiLevelType w:val="hybridMultilevel"/>
    <w:tmpl w:val="BBA8B65A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C86888"/>
    <w:multiLevelType w:val="hybridMultilevel"/>
    <w:tmpl w:val="B99AE39E"/>
    <w:lvl w:ilvl="0" w:tplc="77EE3FF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6463D93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9428E"/>
    <w:multiLevelType w:val="hybridMultilevel"/>
    <w:tmpl w:val="44A27E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06804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65267"/>
    <w:multiLevelType w:val="hybridMultilevel"/>
    <w:tmpl w:val="2C4E0A84"/>
    <w:lvl w:ilvl="0" w:tplc="CD12E27C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DD6AF8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8617F"/>
    <w:multiLevelType w:val="hybridMultilevel"/>
    <w:tmpl w:val="4D6C8F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1194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FD757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CF0EE2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4C7FB5"/>
    <w:multiLevelType w:val="hybridMultilevel"/>
    <w:tmpl w:val="0C98A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E72B7"/>
    <w:multiLevelType w:val="hybridMultilevel"/>
    <w:tmpl w:val="3CDC1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A200D"/>
    <w:multiLevelType w:val="hybridMultilevel"/>
    <w:tmpl w:val="C082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C5F69"/>
    <w:multiLevelType w:val="hybridMultilevel"/>
    <w:tmpl w:val="25D02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653855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8B06DA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5076C5B"/>
    <w:multiLevelType w:val="hybridMultilevel"/>
    <w:tmpl w:val="5C8A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6"/>
  </w:num>
  <w:num w:numId="5">
    <w:abstractNumId w:val="9"/>
  </w:num>
  <w:num w:numId="6">
    <w:abstractNumId w:val="11"/>
  </w:num>
  <w:num w:numId="7">
    <w:abstractNumId w:val="3"/>
  </w:num>
  <w:num w:numId="8">
    <w:abstractNumId w:val="15"/>
  </w:num>
  <w:num w:numId="9">
    <w:abstractNumId w:val="7"/>
  </w:num>
  <w:num w:numId="10">
    <w:abstractNumId w:val="4"/>
  </w:num>
  <w:num w:numId="11">
    <w:abstractNumId w:val="5"/>
  </w:num>
  <w:num w:numId="12">
    <w:abstractNumId w:val="18"/>
  </w:num>
  <w:num w:numId="13">
    <w:abstractNumId w:val="1"/>
  </w:num>
  <w:num w:numId="14">
    <w:abstractNumId w:val="6"/>
  </w:num>
  <w:num w:numId="15">
    <w:abstractNumId w:val="0"/>
  </w:num>
  <w:num w:numId="16">
    <w:abstractNumId w:val="2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77"/>
    <w:rsid w:val="00082EE9"/>
    <w:rsid w:val="00212620"/>
    <w:rsid w:val="00360B31"/>
    <w:rsid w:val="00471479"/>
    <w:rsid w:val="004A2200"/>
    <w:rsid w:val="004F025C"/>
    <w:rsid w:val="00535FD7"/>
    <w:rsid w:val="00547670"/>
    <w:rsid w:val="0075034D"/>
    <w:rsid w:val="00790E55"/>
    <w:rsid w:val="007D6411"/>
    <w:rsid w:val="0084254A"/>
    <w:rsid w:val="008C7236"/>
    <w:rsid w:val="00932777"/>
    <w:rsid w:val="00AB743E"/>
    <w:rsid w:val="00C92800"/>
    <w:rsid w:val="00D510B9"/>
    <w:rsid w:val="00E56DDC"/>
    <w:rsid w:val="00E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4AEC"/>
  <w15:chartTrackingRefBased/>
  <w15:docId w15:val="{8060631A-2D6A-405F-BFED-811D82E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90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E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5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928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8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093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35F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2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0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2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2421</Words>
  <Characters>14530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Skibińska</cp:lastModifiedBy>
  <cp:revision>11</cp:revision>
  <cp:lastPrinted>2023-08-18T09:20:00Z</cp:lastPrinted>
  <dcterms:created xsi:type="dcterms:W3CDTF">2023-01-19T13:05:00Z</dcterms:created>
  <dcterms:modified xsi:type="dcterms:W3CDTF">2023-08-18T09:20:00Z</dcterms:modified>
</cp:coreProperties>
</file>