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75" w:rsidRDefault="00CE75C4">
      <w:pPr>
        <w:spacing w:line="312" w:lineRule="auto"/>
        <w:jc w:val="center"/>
        <w:rPr>
          <w:b/>
        </w:rPr>
      </w:pPr>
      <w:r>
        <w:rPr>
          <w:b/>
        </w:rPr>
        <w:t xml:space="preserve">Załącznik nr 2 - </w:t>
      </w:r>
      <w:r w:rsidR="00C730F1">
        <w:rPr>
          <w:b/>
        </w:rPr>
        <w:t>OPIS PRZEDMIOTU ZAMÓWIENIA</w:t>
      </w:r>
    </w:p>
    <w:p w:rsidR="00D75775" w:rsidRDefault="00C730F1">
      <w:pPr>
        <w:spacing w:line="312" w:lineRule="auto"/>
        <w:jc w:val="center"/>
        <w:rPr>
          <w:b/>
        </w:rPr>
      </w:pPr>
      <w:r>
        <w:rPr>
          <w:b/>
        </w:rPr>
        <w:t>Sukcesywna dostawa materiałów eksploatacyjnych do urządzeń drukujących.</w:t>
      </w:r>
    </w:p>
    <w:p w:rsidR="00D75775" w:rsidRDefault="00D75775">
      <w:pPr>
        <w:spacing w:line="312" w:lineRule="auto"/>
      </w:pPr>
    </w:p>
    <w:p w:rsidR="00D75775" w:rsidRDefault="00C730F1">
      <w:pPr>
        <w:numPr>
          <w:ilvl w:val="0"/>
          <w:numId w:val="1"/>
        </w:numPr>
        <w:spacing w:line="312" w:lineRule="auto"/>
        <w:jc w:val="both"/>
        <w:rPr>
          <w:i/>
        </w:rPr>
      </w:pPr>
      <w:r>
        <w:t xml:space="preserve">Przedmiotem zamówienia jest sukcesywna dostawa fabrycznie nowych materiałów eksploatacyjnych (tonerów i/lub tuszy) do urządzeń drukujących użytkowanych przez Zamawiającego. </w:t>
      </w:r>
    </w:p>
    <w:p w:rsidR="00D75775" w:rsidRDefault="00C730F1">
      <w:pPr>
        <w:numPr>
          <w:ilvl w:val="1"/>
          <w:numId w:val="1"/>
        </w:numPr>
        <w:spacing w:line="312" w:lineRule="auto"/>
        <w:jc w:val="both"/>
        <w:rPr>
          <w:i/>
        </w:rPr>
      </w:pPr>
      <w:r>
        <w:t xml:space="preserve">Pod pojęciem „urządzenia drukujące” Zamawiający rozumie takie urządzenia jak: drukarki, kserokopiarki, urządzenia wielofunkcyjne i plotery. </w:t>
      </w:r>
    </w:p>
    <w:p w:rsidR="00D75775" w:rsidRDefault="00C730F1">
      <w:pPr>
        <w:numPr>
          <w:ilvl w:val="1"/>
          <w:numId w:val="1"/>
        </w:numPr>
        <w:spacing w:line="312" w:lineRule="auto"/>
        <w:jc w:val="both"/>
        <w:rPr>
          <w:i/>
        </w:rPr>
      </w:pPr>
      <w:r>
        <w:t>Opisy i typy materiałów eksploatacyjnych „oryginalnych” zalecanych przez producentów urządzeń drukujących oraz orientacyjne ilości dostaw w okresie objętym zamówieniem przedstawia Załącznik nr 1 do Opisu Przedmiotu Zamówienia.</w:t>
      </w:r>
    </w:p>
    <w:p w:rsidR="00D75775" w:rsidRDefault="00C730F1">
      <w:pPr>
        <w:numPr>
          <w:ilvl w:val="1"/>
          <w:numId w:val="1"/>
        </w:numPr>
        <w:spacing w:line="312" w:lineRule="auto"/>
        <w:jc w:val="both"/>
        <w:rPr>
          <w:i/>
        </w:rPr>
      </w:pPr>
      <w:r>
        <w:t>Przez materiały eksploatacyjne „oryginalne” (zw. też produktami oryginalnymi) Zamawiający rozumie materiały eksploatacyjne fabrycznie nowe, nieużywane, nieregenerowane, wolne od wad, pochodzące od producenta sprzętu, do którego są przeznaczone, do wytworzenia których zastosowano wcześniej nieużywane części i komponenty (obudowa, tusz, dysza, bęben światłoczuły, posiadający wszelkie zabezpieczenia szczelności zbiornika z tonerem, opakowany przez producenta sprzętu).</w:t>
      </w:r>
    </w:p>
    <w:p w:rsidR="00D75775" w:rsidRDefault="00C730F1">
      <w:pPr>
        <w:numPr>
          <w:ilvl w:val="1"/>
          <w:numId w:val="1"/>
        </w:numPr>
        <w:spacing w:line="312" w:lineRule="auto"/>
        <w:jc w:val="both"/>
        <w:rPr>
          <w:i/>
        </w:rPr>
      </w:pPr>
      <w:r>
        <w:t>Zamawiający dopuszcza składanie ofert równoważnych. Wykonawca, który powoła się na rozwiązanie równoważne opisywane przez Zamawiającego, jest obowiązany wykazać, że oferowane przez niego produkty będą spełniać wymagania określone przez Zamawiającego. W celu wykazania równoważności, Zamawiający</w:t>
      </w:r>
      <w:r w:rsidR="008C6AC2">
        <w:t xml:space="preserve"> wymaga przedstawienia (w II etapie postępowania) oraz na etapie realizacji umowy </w:t>
      </w:r>
      <w:r>
        <w:t xml:space="preserve">: </w:t>
      </w:r>
    </w:p>
    <w:p w:rsidR="00D75775" w:rsidRDefault="00C730F1">
      <w:pPr>
        <w:numPr>
          <w:ilvl w:val="2"/>
          <w:numId w:val="2"/>
        </w:numPr>
        <w:spacing w:line="312" w:lineRule="auto"/>
        <w:jc w:val="both"/>
      </w:pPr>
      <w:r>
        <w:t>Przedstawienia informacji wygenerowanej elektronicznie z oficjalnego portalu lub strony producenta produktu;</w:t>
      </w:r>
    </w:p>
    <w:p w:rsidR="00D75775" w:rsidRDefault="00C730F1">
      <w:pPr>
        <w:numPr>
          <w:ilvl w:val="2"/>
          <w:numId w:val="2"/>
        </w:numPr>
        <w:spacing w:line="312" w:lineRule="auto"/>
        <w:jc w:val="both"/>
      </w:pPr>
      <w:r>
        <w:t>przedstawienia kart katalogowych produktów;</w:t>
      </w:r>
    </w:p>
    <w:p w:rsidR="00D75775" w:rsidRDefault="00C730F1">
      <w:pPr>
        <w:numPr>
          <w:ilvl w:val="1"/>
          <w:numId w:val="1"/>
        </w:numPr>
        <w:spacing w:line="312" w:lineRule="auto"/>
        <w:jc w:val="both"/>
      </w:pPr>
      <w:r>
        <w:t>Przez materiały eksploatacyjne „równoważne” (zw. też produktami równoważnymi) Zamawiający rozumie produkt fabrycznie nowy, nieużywany, nieregenerowany, wolny od wad, do wytworzenia którego zastosowano nieużywane wcześniej części i komponenty, o parametrach nie gorszych niż produkt oryginalny w zakresie pojemności, wydajności i jakości, posiadający wszelkie zabezpieczenia szczelności zbiorników z tonerem. W przypadku, gdy produkt oryginalny posiada układ elektroniczny (chip), przekazujący informacje o stanie zużycia produktu, to zaoferowany produkt równoważny również musi posiadać układ działający analogicznie.</w:t>
      </w:r>
    </w:p>
    <w:p w:rsidR="00D75775" w:rsidRDefault="00C730F1">
      <w:pPr>
        <w:numPr>
          <w:ilvl w:val="1"/>
          <w:numId w:val="1"/>
        </w:numPr>
        <w:spacing w:line="312" w:lineRule="auto"/>
        <w:jc w:val="both"/>
      </w:pPr>
      <w:r>
        <w:t>Materiały eksploatacyjne będą wysokiej jakości oraz będą zapewniać kompatybilność pracy z urządzeniami drukującymi Zamawiającego, a także należyte bezpieczeństwo oraz posiadają właściwe opakowanie i oznakowanie. Materiały eksploatacyjne muszą być projektowane i produkowane zgodnie z normami ISO 9001 i ISO 14001 lub równoważnymi. Wszystkie zaoferowane produkty muszą być też zgodne z wymogami Polskich Norm.</w:t>
      </w:r>
    </w:p>
    <w:p w:rsidR="00D75775" w:rsidRDefault="00C730F1">
      <w:pPr>
        <w:numPr>
          <w:ilvl w:val="0"/>
          <w:numId w:val="4"/>
        </w:numPr>
        <w:spacing w:line="312" w:lineRule="auto"/>
        <w:jc w:val="both"/>
      </w:pPr>
      <w:r>
        <w:lastRenderedPageBreak/>
        <w:t>Na żądanie Zamawiającego, przed podpisaniem umowy, a także w trakcie trwania okresu gwarancyjnego Wykonawca będzie zobowiązany do przedstawienia certyfikatów potwierdzających, że oferowane materiały eksploatacyjne są projektowane i produkowane zgodnie z normami ISO 9001 i ISO 14001 lub równoważnymi</w:t>
      </w:r>
    </w:p>
    <w:p w:rsidR="00D75775" w:rsidRDefault="00C730F1">
      <w:pPr>
        <w:numPr>
          <w:ilvl w:val="1"/>
          <w:numId w:val="1"/>
        </w:numPr>
        <w:spacing w:line="312" w:lineRule="auto"/>
        <w:jc w:val="both"/>
      </w:pPr>
      <w:r>
        <w:t>Dostarczane materiały eksploatacyjne będą wyprodukowane nie wcześniej niż 12  miesięcy przed dostawą do Zamawiającego.</w:t>
      </w:r>
    </w:p>
    <w:p w:rsidR="00D75775" w:rsidRDefault="00C730F1">
      <w:pPr>
        <w:numPr>
          <w:ilvl w:val="1"/>
          <w:numId w:val="1"/>
        </w:numPr>
        <w:spacing w:line="312" w:lineRule="auto"/>
        <w:jc w:val="both"/>
      </w:pPr>
      <w:r>
        <w:t>Przez cały okres zamówienia Wykonawca będzie dostarczał materiały eksploatacyjne producenta, którego wskaże w ofercie, i którego produkty do testów zostały przedłożone wraz z ofertą. Zmiana producenta materiałów eksploatacyjnych możliwa jest tylko w sytuacji, kiedy Wykonawca zaoferował materiały równoważne, wówczas w trakcie realizacji umowy może dostarczać również oryginalne materiały, lecz w cenie z oferty, tj. w cenie produktów równoważnych.</w:t>
      </w:r>
    </w:p>
    <w:p w:rsidR="00D75775" w:rsidRDefault="00C730F1">
      <w:pPr>
        <w:numPr>
          <w:ilvl w:val="1"/>
          <w:numId w:val="1"/>
        </w:numPr>
        <w:spacing w:line="312" w:lineRule="auto"/>
        <w:jc w:val="both"/>
      </w:pPr>
      <w:r>
        <w:t>Materiały eksploatacyjne będą dostarczane w opakowaniach, które nie mają znamion otwierania. Na opakowaniu będą sporządzone w języku polskim informacje dotyczące opakowanych produktów, w szczególności:</w:t>
      </w:r>
    </w:p>
    <w:p w:rsidR="00D75775" w:rsidRDefault="00C730F1">
      <w:pPr>
        <w:pStyle w:val="NormalnyWeb"/>
        <w:numPr>
          <w:ilvl w:val="2"/>
          <w:numId w:val="3"/>
        </w:numPr>
        <w:spacing w:before="280" w:after="0" w:line="312" w:lineRule="auto"/>
        <w:jc w:val="both"/>
      </w:pPr>
      <w:r>
        <w:t>numer katalogowy produktu,</w:t>
      </w:r>
    </w:p>
    <w:p w:rsidR="00D75775" w:rsidRDefault="00C730F1">
      <w:pPr>
        <w:pStyle w:val="NormalnyWeb"/>
        <w:numPr>
          <w:ilvl w:val="2"/>
          <w:numId w:val="3"/>
        </w:numPr>
        <w:spacing w:before="280" w:after="0" w:line="312" w:lineRule="auto"/>
        <w:jc w:val="both"/>
      </w:pPr>
      <w:r>
        <w:t>nazwę (typ, symbol) urządzenia drukującego, do którego produkt jest przeznaczony</w:t>
      </w:r>
    </w:p>
    <w:p w:rsidR="00D75775" w:rsidRDefault="00C730F1">
      <w:pPr>
        <w:pStyle w:val="NormalnyWeb"/>
        <w:numPr>
          <w:ilvl w:val="2"/>
          <w:numId w:val="3"/>
        </w:numPr>
        <w:spacing w:before="280" w:after="0" w:line="312" w:lineRule="auto"/>
        <w:jc w:val="both"/>
      </w:pPr>
      <w:r>
        <w:t>symbol/nazwę/logo producenta produktu</w:t>
      </w:r>
    </w:p>
    <w:p w:rsidR="00D75775" w:rsidRDefault="00C730F1">
      <w:pPr>
        <w:pStyle w:val="NormalnyWeb"/>
        <w:numPr>
          <w:ilvl w:val="2"/>
          <w:numId w:val="3"/>
        </w:numPr>
        <w:spacing w:before="280" w:after="0" w:line="312" w:lineRule="auto"/>
        <w:jc w:val="both"/>
      </w:pPr>
      <w:r>
        <w:t>data produkcji / termin ważności</w:t>
      </w:r>
    </w:p>
    <w:p w:rsidR="00D75775" w:rsidRDefault="00D75775">
      <w:pPr>
        <w:spacing w:line="312" w:lineRule="auto"/>
        <w:ind w:left="360"/>
        <w:jc w:val="both"/>
      </w:pPr>
    </w:p>
    <w:p w:rsidR="00000000" w:rsidRDefault="00C730F1">
      <w:pPr>
        <w:numPr>
          <w:ilvl w:val="0"/>
          <w:numId w:val="3"/>
        </w:numPr>
        <w:spacing w:line="312" w:lineRule="auto"/>
        <w:ind w:left="360"/>
        <w:jc w:val="both"/>
      </w:pPr>
      <w:r>
        <w:t>W ramach realizacji niniejszego zamówienia publicznego Wykonawca zobowiązany będzie także do odbioru od Zamawiającego zużytych materiałów eksploatacyjnych, w celu ich utylizacji zgodnie z zasadami określonymi w ustawie z dnia 14 grudnia 2012 r. o</w:t>
      </w:r>
      <w:r>
        <w:br/>
        <w:t>odpadach (tj. Dz. U. 2013 poz. 21 z późn. zm.). Wykonawca   przekaże Zamawiającemu protokół przyjęcia zużytych materiałów eksploatacyjnych oraz protokół przekazania odpadów do utylizacji. Wszelkie koszty związane z odbiorem zużytych materiałów eksploatacyjnych i ich utylizacji ponosi Wykonawca. Strony ustalają, że na Wykonawcy spoczywa realizacja umownego obowiązku utylizacji odpadów zarówno tych, które zostały dostarczone w trakcie obowiązywania umow</w:t>
      </w:r>
      <w:r w:rsidR="008C6AC2">
        <w:t>y, aż do momentu jej wygaśnięcia oraz do końca upływu okresu gwarancji dostarczonych materiałów eksploatacyjnych</w:t>
      </w:r>
      <w:r>
        <w:t xml:space="preserve">. </w:t>
      </w:r>
    </w:p>
    <w:p w:rsidR="00D75775" w:rsidRDefault="00D75775">
      <w:pPr>
        <w:numPr>
          <w:ilvl w:val="0"/>
          <w:numId w:val="3"/>
        </w:numPr>
        <w:spacing w:line="312" w:lineRule="auto"/>
        <w:ind w:left="360"/>
        <w:jc w:val="both"/>
      </w:pPr>
    </w:p>
    <w:p w:rsidR="00D75775" w:rsidRDefault="00C730F1">
      <w:pPr>
        <w:numPr>
          <w:ilvl w:val="0"/>
          <w:numId w:val="3"/>
        </w:numPr>
        <w:spacing w:line="312" w:lineRule="auto"/>
        <w:jc w:val="both"/>
        <w:rPr>
          <w:b/>
        </w:rPr>
      </w:pPr>
      <w:r>
        <w:rPr>
          <w:b/>
        </w:rPr>
        <w:t>Sposób realizacji dostaw:</w:t>
      </w:r>
    </w:p>
    <w:p w:rsidR="00D75775" w:rsidRDefault="00C730F1" w:rsidP="008C6AC2">
      <w:pPr>
        <w:numPr>
          <w:ilvl w:val="1"/>
          <w:numId w:val="3"/>
        </w:numPr>
        <w:tabs>
          <w:tab w:val="left" w:pos="486"/>
        </w:tabs>
        <w:spacing w:before="120" w:after="120" w:line="312" w:lineRule="auto"/>
        <w:jc w:val="both"/>
      </w:pPr>
      <w:r>
        <w:t xml:space="preserve">Materiały eksploatacyjne będą dostarczane sukcesywnie, na podstawie zamówień cząstkowych, tj. wg potrzeb Zamawiającego, licząc od dnia podpisania Umowy </w:t>
      </w:r>
      <w:r w:rsidR="008C6AC2">
        <w:t xml:space="preserve">na okres 12 miesięcy. </w:t>
      </w:r>
      <w:r>
        <w:t>Zamówienia będą składane w korespondencji mailowej, za pośrednictwem wskazanych w Umowie adresów e-mail</w:t>
      </w:r>
    </w:p>
    <w:p w:rsidR="00D75775" w:rsidRDefault="00C730F1">
      <w:pPr>
        <w:numPr>
          <w:ilvl w:val="1"/>
          <w:numId w:val="3"/>
        </w:numPr>
        <w:tabs>
          <w:tab w:val="left" w:pos="486"/>
        </w:tabs>
        <w:spacing w:before="120" w:after="120" w:line="312" w:lineRule="auto"/>
        <w:jc w:val="both"/>
      </w:pPr>
      <w:r>
        <w:t>Zamówienia cząstkowe realizowane będą w terminie określonym w formularzu ofertowym (max 48 godzin dni roboczych licząc od momentu zamówienia)</w:t>
      </w:r>
    </w:p>
    <w:p w:rsidR="00D75775" w:rsidRDefault="00C730F1">
      <w:pPr>
        <w:numPr>
          <w:ilvl w:val="1"/>
          <w:numId w:val="3"/>
        </w:numPr>
        <w:tabs>
          <w:tab w:val="left" w:pos="486"/>
        </w:tabs>
        <w:spacing w:before="120" w:after="120" w:line="312" w:lineRule="auto"/>
        <w:jc w:val="both"/>
      </w:pPr>
      <w:r>
        <w:lastRenderedPageBreak/>
        <w:t>Zawarte w Załączniku nr 1 ilości produktów to wartości szacunkowe i mogą ulec zmianie w zależności od potrzeb Zamawiającego. Zamawiający zastrzega sobie prawo do zwiększenia ilości zamawianych w trakcie realizacji umowy towarów jednego typu kosztem zmniejszenia ilości zamawianych towarów innych typów. Powyższe zmiany nie mogą spowodować zmian cen jednostkowych oraz przekroczenia całkowitej wartości zamówienia (wartości Umowy).</w:t>
      </w:r>
    </w:p>
    <w:p w:rsidR="00D75775" w:rsidRDefault="00C730F1">
      <w:pPr>
        <w:numPr>
          <w:ilvl w:val="1"/>
          <w:numId w:val="3"/>
        </w:numPr>
        <w:tabs>
          <w:tab w:val="left" w:pos="486"/>
        </w:tabs>
        <w:spacing w:before="120" w:after="120" w:line="312" w:lineRule="auto"/>
        <w:jc w:val="both"/>
      </w:pPr>
      <w:r>
        <w:t>Zamawiający zastrzega możliwość ograniczenia zakresu przedmiotu zamówienia do 40% w stosunku do wartości całkowitej zamówienia (wartości Umowy).</w:t>
      </w:r>
    </w:p>
    <w:p w:rsidR="00D75775" w:rsidRDefault="00C730F1">
      <w:pPr>
        <w:numPr>
          <w:ilvl w:val="0"/>
          <w:numId w:val="3"/>
        </w:numPr>
        <w:tabs>
          <w:tab w:val="clear" w:pos="720"/>
          <w:tab w:val="left" w:pos="486"/>
        </w:tabs>
        <w:spacing w:before="120" w:after="120" w:line="312" w:lineRule="auto"/>
        <w:jc w:val="both"/>
        <w:rPr>
          <w:b/>
        </w:rPr>
      </w:pPr>
      <w:r>
        <w:rPr>
          <w:b/>
        </w:rPr>
        <w:t>Gwarancje i reklamacje:</w:t>
      </w:r>
    </w:p>
    <w:p w:rsidR="00D75775" w:rsidRDefault="00C730F1">
      <w:pPr>
        <w:numPr>
          <w:ilvl w:val="1"/>
          <w:numId w:val="3"/>
        </w:numPr>
        <w:tabs>
          <w:tab w:val="left" w:pos="486"/>
        </w:tabs>
        <w:spacing w:before="120" w:after="120" w:line="312" w:lineRule="auto"/>
        <w:jc w:val="both"/>
      </w:pPr>
      <w:r>
        <w:t xml:space="preserve">Wykonawca obejmuje gwarancją dostarczone materiały eksploatacyjne i gwarancja udzielana jest na cały czas użytkowania materiałów eksploatacyjnych jednak nie krócej niż na 12 m-cy. Gwarancja obowiązywać będzie także po zakończeniu podpisanej przez Strony Umowy w stosunku do tonerów dostarczonych w ramach Umowy (12 m-cy od dnia ostatniej dostawy). </w:t>
      </w:r>
    </w:p>
    <w:p w:rsidR="00D75775" w:rsidRDefault="00C730F1">
      <w:pPr>
        <w:numPr>
          <w:ilvl w:val="1"/>
          <w:numId w:val="3"/>
        </w:numPr>
        <w:tabs>
          <w:tab w:val="left" w:pos="486"/>
        </w:tabs>
        <w:spacing w:before="120" w:after="120" w:line="312" w:lineRule="auto"/>
        <w:jc w:val="both"/>
      </w:pPr>
      <w:r>
        <w:t xml:space="preserve">Kiedy w trakcie obowiązywania okresu gwarancyjnego ujawnią się wady fizyczne dostarczanych produktów, Wykonawca w terminie określonym w formularzu ofertowym (max 48 godzin dni roboczych od momentu zgłoszenia), wymieni wadliwy produkt na nowy, wolny od wad oraz dostarczy do siedziby Zamawiającego (pomieszczenia Magazynu Centralnego), na koszt i ryzyko Wykonawcy. </w:t>
      </w:r>
    </w:p>
    <w:p w:rsidR="00D75775" w:rsidRDefault="00C730F1">
      <w:pPr>
        <w:numPr>
          <w:ilvl w:val="1"/>
          <w:numId w:val="3"/>
        </w:numPr>
        <w:tabs>
          <w:tab w:val="left" w:pos="486"/>
        </w:tabs>
        <w:spacing w:before="120" w:after="120" w:line="312" w:lineRule="auto"/>
        <w:jc w:val="both"/>
      </w:pPr>
      <w:r>
        <w:t xml:space="preserve">Jeżeli w trakcie umowy Zamawiający stwierdzi, iż wydajność, jakość lub niezawodność dostarczonych produktów niekorzystnie odbiega od wymagań producenta urządzeń drukujących, Wykonawca zobowiązuje się do wymiany produktu na nowy, wolny od wad w terminie (maksymalnym, tj.: 48 godzin dni roboczych od momentu zgłoszenia). Wymiana reklamowanego produktu nastąpi w siedzibie zamawiającego (pomieszczenia Magazynu Centralnego) na koszt i ryzyko Wykonawcy. </w:t>
      </w:r>
    </w:p>
    <w:p w:rsidR="00D75775" w:rsidRDefault="00C730F1">
      <w:pPr>
        <w:numPr>
          <w:ilvl w:val="1"/>
          <w:numId w:val="3"/>
        </w:numPr>
        <w:tabs>
          <w:tab w:val="left" w:pos="486"/>
        </w:tabs>
        <w:spacing w:before="120" w:after="120" w:line="312" w:lineRule="auto"/>
        <w:jc w:val="both"/>
      </w:pPr>
      <w:r>
        <w:t xml:space="preserve">Jeśli z tytułu reklamacji dojdzie do wymiany 8% spośród materiałów zamawianych, wówczas Zamawiających ma podstawę do rozwiązania Umowy. </w:t>
      </w:r>
    </w:p>
    <w:p w:rsidR="00D75775" w:rsidRDefault="00C730F1">
      <w:pPr>
        <w:numPr>
          <w:ilvl w:val="1"/>
          <w:numId w:val="3"/>
        </w:numPr>
        <w:tabs>
          <w:tab w:val="left" w:pos="486"/>
        </w:tabs>
        <w:spacing w:before="120" w:after="120" w:line="312" w:lineRule="auto"/>
        <w:jc w:val="both"/>
      </w:pPr>
      <w:r>
        <w:t xml:space="preserve">Zamawiający zastrzega, iż w przypadku stwierdzenia uszkodzenia urządzenia drukującego spowodowanego przez dostarczane przez Wykonawcę materiały eksploatacyjne, Wykonawca zobowiązany będzie wymienić lub naprawić uszkodzony sprzęt na własny koszt i ryzyko w autoryzowanym serwisie producenta sprzętu w terminie określonym w formularzu ofertowym (max 7 dni roboczych licząc od dnia zgłoszenia). Wykonawca może też w terminie określonym w formularzu ofertowym (max 48 godzin dni roboczych licząc od dnia zgłoszenia) dostarczyć sprzęt zastępczy o nie gorszych parametrach techniczno-eksploatacyjnych od urządzenia uszkodzonego i złożyć wniosek o sporządzenie ekspertyzy uszkodzonego urządzenia. W przypadku gdy ekspertyza wykaże, iż przyczyną uszkodzenia były materiały eksploatacyjne dostarczane przez Wykonawcę, wówczas Wykonawca zobowiązany do wymiany lub naprawy urządzenia w terminie </w:t>
      </w:r>
      <w:r>
        <w:lastRenderedPageBreak/>
        <w:t xml:space="preserve">wskazanym w formularzu ofertowym (max 7 dni roboczych licząc od dnia przesłania w korespondencji mailowej). Dostawa i odbiór urządzenia zastępczego realizowana jest na koszt i ryzyko Wykonawcy, niezależnie od wyników ekspertyzy.   </w:t>
      </w:r>
    </w:p>
    <w:p w:rsidR="00D75775" w:rsidRDefault="00C730F1">
      <w:pPr>
        <w:numPr>
          <w:ilvl w:val="1"/>
          <w:numId w:val="3"/>
        </w:numPr>
        <w:tabs>
          <w:tab w:val="left" w:pos="486"/>
        </w:tabs>
        <w:spacing w:before="120" w:after="120" w:line="312" w:lineRule="auto"/>
        <w:jc w:val="both"/>
      </w:pPr>
      <w:r>
        <w:t>Jeśli dojdzie do sytuacji, iż konieczna będzie wymiana urządzenia, wówczas Wykonawca zobowiązuje się w zamian uszkodzonego dostarczyć nowy egzemplarz tego samego modelu urządzenia drukującego, a w przypadku, gdy nie będzie to możliwe (niedostępne na rynku) wymiana nastąpi na nowy model, wskazany przez producenta urządzenia jako następca modelu uszkodzonego lub inny zaakceptowany przez Zamawiającego model o nie gorszych parametrach techniczno-eksploatacyjnych od urządzenia uszkodzonego.</w:t>
      </w:r>
    </w:p>
    <w:p w:rsidR="00D75775" w:rsidRDefault="00C730F1">
      <w:pPr>
        <w:numPr>
          <w:ilvl w:val="1"/>
          <w:numId w:val="3"/>
        </w:numPr>
        <w:tabs>
          <w:tab w:val="left" w:pos="486"/>
        </w:tabs>
        <w:spacing w:before="120" w:after="120" w:line="312" w:lineRule="auto"/>
        <w:jc w:val="both"/>
      </w:pPr>
      <w:r>
        <w:t xml:space="preserve">Niewykonanie naprawy lub wymiany uszkodzonego sprzętu w terminie określonym w formularzu ofertowym (max 7 dni roboczych licząc od dnia zgłoszenia) lub niedostarczenie urządzenia zastępczego i wystąpienie o sporządzenie ekspertyzy (max 48 godzin dni roboczych licząc od dnia zgłoszenia) uprawnia Zamawiającego do dokonania wymiany lub naprawy na koszt Wykonawcy, w tym również w autoryzowanym serwisie producenta sprzętu. W takim przypadku wykonawca zobowiązany będzie do zwrotu kosztów naprawy lub zakupu urządzenia drukującego w terminie 14 dni od daty wystawienia przez Zamawiającego faktury. </w:t>
      </w:r>
    </w:p>
    <w:p w:rsidR="00D75775" w:rsidRDefault="00C730F1">
      <w:pPr>
        <w:numPr>
          <w:ilvl w:val="1"/>
          <w:numId w:val="3"/>
        </w:numPr>
        <w:tabs>
          <w:tab w:val="left" w:pos="486"/>
        </w:tabs>
        <w:spacing w:before="120" w:after="120" w:line="312" w:lineRule="auto"/>
        <w:jc w:val="both"/>
      </w:pPr>
      <w:r>
        <w:t xml:space="preserve">W przypadku gdy Zamawiający wystąpi do Wykonawcy o naprawę lub zakup nowego  urządzenia, wówczas Wykonawca może skorzystać z prawa do ekspertyzy, której celem jest ustalenia czy dostarczany materiał eksploatacyjny był przyczyną uszkodzenia urządzenia. Prośbę o sporządzenie ekspertyzy Wykonawca składa w korespondencji mailowej za pośrednictwem wskazanych w Umowie adresów e-mail. Prośba Wykonawcy będzie uwzględniona tylko wówczas, jeśli Wykonawca w terminie określonym w formularzu ofertowym (max 48 godzin dni roboczych licząc od dnia zgłoszenia) dostarczył Zamawiającemu urządzenie zastępcze. Zamawiający zleca wykonanie ekspertyzy w autoryzowanym serwisie producenta uszkodzonego urządzenia. Niezależnie od wyników ekspertyzy jej koszty (w tym koszty transportu uszkodzonego urządzenia do/z autoryzowanego serwisu) ponosi Wykonawca – do zwrotu kosztów wykonania ekspertyzy Wykonawca zobowiązany jest w terminie 14 dni od daty wystawienia przez zamawiającego faktury. W przypadku gdy ekspertyza wykaże, iż przyczyną uszkodzenia nie były dostarczane przez Wykonawcę materiały eksploatacyjne, wówczas Zamawiający naprawia uszkodzone urządzenie na swój koszt a Wykonawca odbiera urządzenie zastępcze. </w:t>
      </w:r>
    </w:p>
    <w:p w:rsidR="00D75775" w:rsidRDefault="00C730F1">
      <w:pPr>
        <w:numPr>
          <w:ilvl w:val="0"/>
          <w:numId w:val="3"/>
        </w:numPr>
        <w:tabs>
          <w:tab w:val="clear" w:pos="720"/>
          <w:tab w:val="left" w:pos="486"/>
        </w:tabs>
        <w:spacing w:before="120" w:after="120" w:line="312" w:lineRule="auto"/>
        <w:jc w:val="both"/>
        <w:rPr>
          <w:b/>
          <w:color w:val="000000"/>
        </w:rPr>
      </w:pPr>
      <w:r>
        <w:rPr>
          <w:b/>
          <w:color w:val="000000"/>
        </w:rPr>
        <w:t>Produkty do testów – próbki.</w:t>
      </w:r>
    </w:p>
    <w:p w:rsidR="00D75775" w:rsidRDefault="00C730F1">
      <w:pPr>
        <w:numPr>
          <w:ilvl w:val="1"/>
          <w:numId w:val="3"/>
        </w:numPr>
        <w:tabs>
          <w:tab w:val="left" w:pos="486"/>
        </w:tabs>
        <w:spacing w:before="120" w:after="120" w:line="312" w:lineRule="auto"/>
        <w:jc w:val="both"/>
        <w:rPr>
          <w:color w:val="000000"/>
        </w:rPr>
      </w:pPr>
      <w:r>
        <w:rPr>
          <w:color w:val="000000"/>
        </w:rPr>
        <w:t>W zakresie potwierdzenia, że zaoferowane produkty będą odpowiadać Zamawiającemu Wykonawca zobowiązany jest do dołączenia do oferty po jednej sztuce każdego z produktów, przy którym w Załączniku nr 1 w kolumnie „DO TESTOWANIA” jest słowo „TAK”.</w:t>
      </w:r>
    </w:p>
    <w:p w:rsidR="00D75775" w:rsidRDefault="00C730F1">
      <w:pPr>
        <w:numPr>
          <w:ilvl w:val="1"/>
          <w:numId w:val="3"/>
        </w:numPr>
        <w:tabs>
          <w:tab w:val="left" w:pos="486"/>
        </w:tabs>
        <w:spacing w:before="120" w:after="120" w:line="312" w:lineRule="auto"/>
        <w:jc w:val="both"/>
      </w:pPr>
      <w:r>
        <w:lastRenderedPageBreak/>
        <w:t xml:space="preserve">Jeśli w ramach dostarczania próbek, Wykonawca dostarczy nowe, pełnowartościowe materiały (zgodne z OPZ), wówczas po pozytywnym wyniku testów – materiały te będą mogły być zaliczone na poczet pierwszej dostawy cząstkowej.  </w:t>
      </w:r>
    </w:p>
    <w:p w:rsidR="00D75775" w:rsidRDefault="00C730F1">
      <w:pPr>
        <w:numPr>
          <w:ilvl w:val="1"/>
          <w:numId w:val="3"/>
        </w:numPr>
        <w:tabs>
          <w:tab w:val="left" w:pos="486"/>
        </w:tabs>
        <w:spacing w:before="120" w:after="120" w:line="312" w:lineRule="auto"/>
        <w:jc w:val="both"/>
      </w:pPr>
      <w:r>
        <w:rPr>
          <w:color w:val="000000"/>
        </w:rPr>
        <w:t xml:space="preserve">Zamawiający będzie testował próbki tylko Wykonawcy, który przedłożył najkorzystniejsza ofertę,. Wykonawca oświadcza, iż przez cały okres zamówienia będzie dostarczał produkty tego samego typu i producenta, które przedłoży do testów. </w:t>
      </w:r>
    </w:p>
    <w:p w:rsidR="00D75775" w:rsidRDefault="00D75775">
      <w:pPr>
        <w:numPr>
          <w:ilvl w:val="1"/>
          <w:numId w:val="3"/>
        </w:numPr>
        <w:tabs>
          <w:tab w:val="left" w:pos="486"/>
        </w:tabs>
        <w:spacing w:before="120" w:after="120" w:line="312" w:lineRule="auto"/>
        <w:jc w:val="both"/>
      </w:pPr>
    </w:p>
    <w:p w:rsidR="00D75775" w:rsidRDefault="00C730F1">
      <w:pPr>
        <w:numPr>
          <w:ilvl w:val="1"/>
          <w:numId w:val="3"/>
        </w:numPr>
        <w:tabs>
          <w:tab w:val="left" w:pos="486"/>
        </w:tabs>
        <w:spacing w:before="120" w:after="120" w:line="312" w:lineRule="auto"/>
        <w:jc w:val="both"/>
      </w:pPr>
      <w:r>
        <w:t xml:space="preserve">W trakcie przeprowadzania testów analizowane będą następujące parametry: wydajność i jakość wydruku, sposób i intensywność zabrudzania drukarki w stosunku do tonerów oryginalnych. Ponadto Zamawiający może dokonać także ich oceny pod kątem zastosowania w nich nieużywanych wcześniej części i komponenty oraz sprawdzenia czy zbiorniki z tonerem posiadają wszelkie zabezpieczenia szczelności. </w:t>
      </w:r>
    </w:p>
    <w:p w:rsidR="00D75775" w:rsidRDefault="00C730F1">
      <w:pPr>
        <w:numPr>
          <w:ilvl w:val="1"/>
          <w:numId w:val="3"/>
        </w:numPr>
        <w:tabs>
          <w:tab w:val="left" w:pos="486"/>
        </w:tabs>
        <w:spacing w:before="120" w:after="120" w:line="312" w:lineRule="auto"/>
        <w:jc w:val="both"/>
      </w:pPr>
      <w:r>
        <w:t xml:space="preserve">Wyniki testów dostarczonych próbek, zwłaszcza wydruki testowe, Zamawiający może zachować na czas trwania okresu gwarancyjnego, dzięki czemu Zamawiający może w każdej chwili dokonać sprawdzenia czy wydruki wykonane za pośrednictwem dostarczanych materiałów eksploatacyjnych są dobrej jakości. Gdy dwie dostawy z rzędu zostaną dostarczone materiały gorszej jakości wówczas Zamawiający ma podstawę do rozwiązania umowy.  </w:t>
      </w:r>
    </w:p>
    <w:p w:rsidR="00D75775" w:rsidRDefault="00C730F1">
      <w:pPr>
        <w:numPr>
          <w:ilvl w:val="1"/>
          <w:numId w:val="3"/>
        </w:numPr>
        <w:tabs>
          <w:tab w:val="left" w:pos="486"/>
        </w:tabs>
        <w:spacing w:before="120" w:after="120" w:line="312" w:lineRule="auto"/>
        <w:jc w:val="both"/>
      </w:pPr>
      <w:r>
        <w:t>Wykonawca ponosi koszty dowozu i odbioru próbek.</w:t>
      </w:r>
    </w:p>
    <w:p w:rsidR="00D75775" w:rsidRDefault="00D75775">
      <w:pPr>
        <w:spacing w:line="312" w:lineRule="auto"/>
        <w:ind w:left="-46" w:hanging="14"/>
        <w:jc w:val="both"/>
      </w:pPr>
    </w:p>
    <w:p w:rsidR="00D75775" w:rsidRDefault="00D75775"/>
    <w:sectPr w:rsidR="00D75775" w:rsidSect="00D75775">
      <w:pgSz w:w="11906" w:h="16838"/>
      <w:pgMar w:top="1134" w:right="851" w:bottom="1134" w:left="851"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021" w:rsidRDefault="00524021" w:rsidP="008C6AC2">
      <w:r>
        <w:separator/>
      </w:r>
    </w:p>
  </w:endnote>
  <w:endnote w:type="continuationSeparator" w:id="1">
    <w:p w:rsidR="00524021" w:rsidRDefault="00524021" w:rsidP="008C6A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021" w:rsidRDefault="00524021" w:rsidP="008C6AC2">
      <w:r>
        <w:separator/>
      </w:r>
    </w:p>
  </w:footnote>
  <w:footnote w:type="continuationSeparator" w:id="1">
    <w:p w:rsidR="00524021" w:rsidRDefault="00524021" w:rsidP="008C6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2D14"/>
    <w:multiLevelType w:val="multilevel"/>
    <w:tmpl w:val="25FEC9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735731E"/>
    <w:multiLevelType w:val="multilevel"/>
    <w:tmpl w:val="1400B22E"/>
    <w:lvl w:ilvl="0">
      <w:start w:val="1"/>
      <w:numFmt w:val="bullet"/>
      <w:lvlText w:val=""/>
      <w:lvlJc w:val="left"/>
      <w:pPr>
        <w:tabs>
          <w:tab w:val="num" w:pos="2761"/>
        </w:tabs>
        <w:ind w:left="2761" w:hanging="360"/>
      </w:pPr>
      <w:rPr>
        <w:rFonts w:ascii="Symbol" w:hAnsi="Symbol" w:cs="Symbol" w:hint="default"/>
      </w:rPr>
    </w:lvl>
    <w:lvl w:ilvl="1">
      <w:start w:val="1"/>
      <w:numFmt w:val="bullet"/>
      <w:lvlText w:val="o"/>
      <w:lvlJc w:val="left"/>
      <w:pPr>
        <w:tabs>
          <w:tab w:val="num" w:pos="3481"/>
        </w:tabs>
        <w:ind w:left="3481" w:hanging="360"/>
      </w:pPr>
      <w:rPr>
        <w:rFonts w:ascii="Courier New" w:hAnsi="Courier New" w:cs="Courier New" w:hint="default"/>
      </w:rPr>
    </w:lvl>
    <w:lvl w:ilvl="2">
      <w:start w:val="1"/>
      <w:numFmt w:val="bullet"/>
      <w:lvlText w:val=""/>
      <w:lvlJc w:val="left"/>
      <w:pPr>
        <w:tabs>
          <w:tab w:val="num" w:pos="4201"/>
        </w:tabs>
        <w:ind w:left="4201" w:hanging="360"/>
      </w:pPr>
      <w:rPr>
        <w:rFonts w:ascii="Wingdings" w:hAnsi="Wingdings" w:cs="Wingdings" w:hint="default"/>
      </w:rPr>
    </w:lvl>
    <w:lvl w:ilvl="3">
      <w:start w:val="1"/>
      <w:numFmt w:val="bullet"/>
      <w:lvlText w:val=""/>
      <w:lvlJc w:val="left"/>
      <w:pPr>
        <w:tabs>
          <w:tab w:val="num" w:pos="4921"/>
        </w:tabs>
        <w:ind w:left="4921" w:hanging="360"/>
      </w:pPr>
      <w:rPr>
        <w:rFonts w:ascii="Symbol" w:hAnsi="Symbol" w:cs="Symbol" w:hint="default"/>
      </w:rPr>
    </w:lvl>
    <w:lvl w:ilvl="4">
      <w:start w:val="1"/>
      <w:numFmt w:val="bullet"/>
      <w:lvlText w:val="o"/>
      <w:lvlJc w:val="left"/>
      <w:pPr>
        <w:tabs>
          <w:tab w:val="num" w:pos="5641"/>
        </w:tabs>
        <w:ind w:left="5641" w:hanging="360"/>
      </w:pPr>
      <w:rPr>
        <w:rFonts w:ascii="Courier New" w:hAnsi="Courier New" w:cs="Courier New" w:hint="default"/>
      </w:rPr>
    </w:lvl>
    <w:lvl w:ilvl="5">
      <w:start w:val="1"/>
      <w:numFmt w:val="bullet"/>
      <w:lvlText w:val=""/>
      <w:lvlJc w:val="left"/>
      <w:pPr>
        <w:tabs>
          <w:tab w:val="num" w:pos="6361"/>
        </w:tabs>
        <w:ind w:left="6361" w:hanging="360"/>
      </w:pPr>
      <w:rPr>
        <w:rFonts w:ascii="Wingdings" w:hAnsi="Wingdings" w:cs="Wingdings" w:hint="default"/>
      </w:rPr>
    </w:lvl>
    <w:lvl w:ilvl="6">
      <w:start w:val="1"/>
      <w:numFmt w:val="bullet"/>
      <w:lvlText w:val=""/>
      <w:lvlJc w:val="left"/>
      <w:pPr>
        <w:tabs>
          <w:tab w:val="num" w:pos="7081"/>
        </w:tabs>
        <w:ind w:left="7081" w:hanging="360"/>
      </w:pPr>
      <w:rPr>
        <w:rFonts w:ascii="Symbol" w:hAnsi="Symbol" w:cs="Symbol" w:hint="default"/>
      </w:rPr>
    </w:lvl>
    <w:lvl w:ilvl="7">
      <w:start w:val="1"/>
      <w:numFmt w:val="bullet"/>
      <w:lvlText w:val="o"/>
      <w:lvlJc w:val="left"/>
      <w:pPr>
        <w:tabs>
          <w:tab w:val="num" w:pos="7801"/>
        </w:tabs>
        <w:ind w:left="7801" w:hanging="360"/>
      </w:pPr>
      <w:rPr>
        <w:rFonts w:ascii="Courier New" w:hAnsi="Courier New" w:cs="Courier New" w:hint="default"/>
      </w:rPr>
    </w:lvl>
    <w:lvl w:ilvl="8">
      <w:start w:val="1"/>
      <w:numFmt w:val="bullet"/>
      <w:lvlText w:val=""/>
      <w:lvlJc w:val="left"/>
      <w:pPr>
        <w:tabs>
          <w:tab w:val="num" w:pos="8521"/>
        </w:tabs>
        <w:ind w:left="8521" w:hanging="360"/>
      </w:pPr>
      <w:rPr>
        <w:rFonts w:ascii="Wingdings" w:hAnsi="Wingdings" w:cs="Wingdings" w:hint="default"/>
      </w:rPr>
    </w:lvl>
  </w:abstractNum>
  <w:abstractNum w:abstractNumId="2">
    <w:nsid w:val="1FBD404C"/>
    <w:multiLevelType w:val="multilevel"/>
    <w:tmpl w:val="78B0622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7A232CF"/>
    <w:multiLevelType w:val="multilevel"/>
    <w:tmpl w:val="BF6292B2"/>
    <w:lvl w:ilvl="0">
      <w:start w:val="1"/>
      <w:numFmt w:val="decimal"/>
      <w:lvlText w:val="%1."/>
      <w:lvlJc w:val="left"/>
      <w:pPr>
        <w:tabs>
          <w:tab w:val="num" w:pos="720"/>
        </w:tabs>
        <w:ind w:left="720" w:hanging="360"/>
      </w:pPr>
      <w:rPr>
        <w:i w:val="0"/>
      </w:rPr>
    </w:lvl>
    <w:lvl w:ilvl="1">
      <w:start w:val="1"/>
      <w:numFmt w:val="bullet"/>
      <w:lvlText w:val=""/>
      <w:lvlJc w:val="left"/>
      <w:pPr>
        <w:tabs>
          <w:tab w:val="num" w:pos="1440"/>
        </w:tabs>
        <w:ind w:left="1440" w:hanging="360"/>
      </w:pPr>
      <w:rPr>
        <w:rFonts w:ascii="Symbol" w:hAnsi="Symbol" w:cs="Symbol" w:hint="default"/>
        <w:i w:val="0"/>
      </w:rPr>
    </w:lvl>
    <w:lvl w:ilvl="2">
      <w:start w:val="1"/>
      <w:numFmt w:val="bullet"/>
      <w:lvlText w:val=""/>
      <w:lvlJc w:val="left"/>
      <w:pPr>
        <w:tabs>
          <w:tab w:val="num" w:pos="2340"/>
        </w:tabs>
        <w:ind w:left="2340" w:hanging="360"/>
      </w:pPr>
      <w:rPr>
        <w:rFonts w:ascii="Symbol" w:hAnsi="Symbol" w:cs="Symbol" w:hint="default"/>
        <w:i w:val="0"/>
      </w:rPr>
    </w:lvl>
    <w:lvl w:ilvl="3">
      <w:start w:val="1"/>
      <w:numFmt w:val="bullet"/>
      <w:lvlText w:val=""/>
      <w:lvlJc w:val="left"/>
      <w:pPr>
        <w:tabs>
          <w:tab w:val="num" w:pos="2880"/>
        </w:tabs>
        <w:ind w:left="2880" w:hanging="360"/>
      </w:pPr>
      <w:rPr>
        <w:rFonts w:ascii="Symbol" w:hAnsi="Symbol" w:cs="Symbol"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E623328"/>
    <w:multiLevelType w:val="multilevel"/>
    <w:tmpl w:val="788870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trackRevisions/>
  <w:defaultTabStop w:val="708"/>
  <w:hyphenationZone w:val="425"/>
  <w:characterSpacingControl w:val="doNotCompress"/>
  <w:footnotePr>
    <w:footnote w:id="0"/>
    <w:footnote w:id="1"/>
  </w:footnotePr>
  <w:endnotePr>
    <w:endnote w:id="0"/>
    <w:endnote w:id="1"/>
  </w:endnotePr>
  <w:compat/>
  <w:rsids>
    <w:rsidRoot w:val="00D75775"/>
    <w:rsid w:val="00524021"/>
    <w:rsid w:val="006C77C3"/>
    <w:rsid w:val="008C6AC2"/>
    <w:rsid w:val="00C730F1"/>
    <w:rsid w:val="00CE75C4"/>
    <w:rsid w:val="00D757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5851"/>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sid w:val="000D7596"/>
    <w:rPr>
      <w:i w:val="0"/>
    </w:rPr>
  </w:style>
  <w:style w:type="character" w:customStyle="1" w:styleId="ListLabel2">
    <w:name w:val="ListLabel 2"/>
    <w:qFormat/>
    <w:rsid w:val="000D7596"/>
    <w:rPr>
      <w:i w:val="0"/>
    </w:rPr>
  </w:style>
  <w:style w:type="character" w:customStyle="1" w:styleId="ListLabel3">
    <w:name w:val="ListLabel 3"/>
    <w:qFormat/>
    <w:rsid w:val="000D7596"/>
    <w:rPr>
      <w:i w:val="0"/>
    </w:rPr>
  </w:style>
  <w:style w:type="character" w:customStyle="1" w:styleId="ListLabel4">
    <w:name w:val="ListLabel 4"/>
    <w:qFormat/>
    <w:rsid w:val="000D7596"/>
    <w:rPr>
      <w:i w:val="0"/>
    </w:rPr>
  </w:style>
  <w:style w:type="character" w:customStyle="1" w:styleId="ListLabel5">
    <w:name w:val="ListLabel 5"/>
    <w:qFormat/>
    <w:rsid w:val="000D7596"/>
    <w:rPr>
      <w:i w:val="0"/>
    </w:rPr>
  </w:style>
  <w:style w:type="character" w:customStyle="1" w:styleId="ListLabel6">
    <w:name w:val="ListLabel 6"/>
    <w:qFormat/>
    <w:rsid w:val="000D7596"/>
    <w:rPr>
      <w:rFonts w:cs="Courier New"/>
    </w:rPr>
  </w:style>
  <w:style w:type="character" w:customStyle="1" w:styleId="ListLabel7">
    <w:name w:val="ListLabel 7"/>
    <w:qFormat/>
    <w:rsid w:val="000D7596"/>
    <w:rPr>
      <w:rFonts w:cs="Courier New"/>
    </w:rPr>
  </w:style>
  <w:style w:type="character" w:customStyle="1" w:styleId="ListLabel8">
    <w:name w:val="ListLabel 8"/>
    <w:qFormat/>
    <w:rsid w:val="000D7596"/>
    <w:rPr>
      <w:rFonts w:cs="Courier New"/>
    </w:rPr>
  </w:style>
  <w:style w:type="character" w:customStyle="1" w:styleId="TekstkomentarzaZnak">
    <w:name w:val="Tekst komentarza Znak"/>
    <w:basedOn w:val="Domylnaczcionkaakapitu"/>
    <w:link w:val="Tekstkomentarza"/>
    <w:uiPriority w:val="99"/>
    <w:semiHidden/>
    <w:qFormat/>
    <w:rsid w:val="000D7596"/>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qFormat/>
    <w:rsid w:val="000D7596"/>
    <w:rPr>
      <w:sz w:val="16"/>
      <w:szCs w:val="16"/>
    </w:rPr>
  </w:style>
  <w:style w:type="character" w:customStyle="1" w:styleId="TekstdymkaZnak">
    <w:name w:val="Tekst dymka Znak"/>
    <w:basedOn w:val="Domylnaczcionkaakapitu"/>
    <w:link w:val="Tekstdymka"/>
    <w:uiPriority w:val="99"/>
    <w:semiHidden/>
    <w:qFormat/>
    <w:rsid w:val="00D15117"/>
    <w:rPr>
      <w:rFonts w:ascii="Tahoma" w:eastAsia="Times New Roman" w:hAnsi="Tahoma" w:cs="Tahoma"/>
      <w:sz w:val="16"/>
      <w:szCs w:val="16"/>
      <w:lang w:eastAsia="pl-PL"/>
    </w:rPr>
  </w:style>
  <w:style w:type="character" w:customStyle="1" w:styleId="TematkomentarzaZnak">
    <w:name w:val="Temat komentarza Znak"/>
    <w:basedOn w:val="TekstkomentarzaZnak"/>
    <w:link w:val="Tematkomentarza"/>
    <w:uiPriority w:val="99"/>
    <w:semiHidden/>
    <w:qFormat/>
    <w:rsid w:val="00B53AA2"/>
    <w:rPr>
      <w:b/>
      <w:bCs/>
    </w:rPr>
  </w:style>
  <w:style w:type="character" w:customStyle="1" w:styleId="ListLabel9">
    <w:name w:val="ListLabel 9"/>
    <w:qFormat/>
    <w:rsid w:val="00D75775"/>
    <w:rPr>
      <w:i w:val="0"/>
    </w:rPr>
  </w:style>
  <w:style w:type="character" w:customStyle="1" w:styleId="ListLabel10">
    <w:name w:val="ListLabel 10"/>
    <w:qFormat/>
    <w:rsid w:val="00D75775"/>
    <w:rPr>
      <w:i w:val="0"/>
    </w:rPr>
  </w:style>
  <w:style w:type="character" w:customStyle="1" w:styleId="ListLabel11">
    <w:name w:val="ListLabel 11"/>
    <w:qFormat/>
    <w:rsid w:val="00D75775"/>
    <w:rPr>
      <w:rFonts w:cs="Symbol"/>
      <w:i w:val="0"/>
    </w:rPr>
  </w:style>
  <w:style w:type="character" w:customStyle="1" w:styleId="ListLabel12">
    <w:name w:val="ListLabel 12"/>
    <w:qFormat/>
    <w:rsid w:val="00D75775"/>
    <w:rPr>
      <w:rFonts w:cs="Symbol"/>
      <w:i w:val="0"/>
    </w:rPr>
  </w:style>
  <w:style w:type="character" w:customStyle="1" w:styleId="ListLabel13">
    <w:name w:val="ListLabel 13"/>
    <w:qFormat/>
    <w:rsid w:val="00D75775"/>
    <w:rPr>
      <w:rFonts w:cs="Symbol"/>
      <w:i w:val="0"/>
    </w:rPr>
  </w:style>
  <w:style w:type="character" w:customStyle="1" w:styleId="ListLabel14">
    <w:name w:val="ListLabel 14"/>
    <w:qFormat/>
    <w:rsid w:val="00D75775"/>
    <w:rPr>
      <w:rFonts w:cs="Symbol"/>
    </w:rPr>
  </w:style>
  <w:style w:type="character" w:customStyle="1" w:styleId="ListLabel15">
    <w:name w:val="ListLabel 15"/>
    <w:qFormat/>
    <w:rsid w:val="00D75775"/>
    <w:rPr>
      <w:rFonts w:cs="Symbol"/>
    </w:rPr>
  </w:style>
  <w:style w:type="character" w:customStyle="1" w:styleId="ListLabel16">
    <w:name w:val="ListLabel 16"/>
    <w:qFormat/>
    <w:rsid w:val="00D75775"/>
    <w:rPr>
      <w:rFonts w:cs="Courier New"/>
    </w:rPr>
  </w:style>
  <w:style w:type="character" w:customStyle="1" w:styleId="ListLabel17">
    <w:name w:val="ListLabel 17"/>
    <w:qFormat/>
    <w:rsid w:val="00D75775"/>
    <w:rPr>
      <w:rFonts w:cs="Wingdings"/>
    </w:rPr>
  </w:style>
  <w:style w:type="character" w:customStyle="1" w:styleId="ListLabel18">
    <w:name w:val="ListLabel 18"/>
    <w:qFormat/>
    <w:rsid w:val="00D75775"/>
    <w:rPr>
      <w:rFonts w:cs="Symbol"/>
    </w:rPr>
  </w:style>
  <w:style w:type="character" w:customStyle="1" w:styleId="ListLabel19">
    <w:name w:val="ListLabel 19"/>
    <w:qFormat/>
    <w:rsid w:val="00D75775"/>
    <w:rPr>
      <w:rFonts w:cs="Courier New"/>
    </w:rPr>
  </w:style>
  <w:style w:type="character" w:customStyle="1" w:styleId="ListLabel20">
    <w:name w:val="ListLabel 20"/>
    <w:qFormat/>
    <w:rsid w:val="00D75775"/>
    <w:rPr>
      <w:rFonts w:cs="Wingdings"/>
    </w:rPr>
  </w:style>
  <w:style w:type="character" w:customStyle="1" w:styleId="ListLabel21">
    <w:name w:val="ListLabel 21"/>
    <w:qFormat/>
    <w:rsid w:val="00D75775"/>
    <w:rPr>
      <w:rFonts w:cs="Symbol"/>
    </w:rPr>
  </w:style>
  <w:style w:type="character" w:customStyle="1" w:styleId="ListLabel22">
    <w:name w:val="ListLabel 22"/>
    <w:qFormat/>
    <w:rsid w:val="00D75775"/>
    <w:rPr>
      <w:rFonts w:cs="Courier New"/>
    </w:rPr>
  </w:style>
  <w:style w:type="character" w:customStyle="1" w:styleId="ListLabel23">
    <w:name w:val="ListLabel 23"/>
    <w:qFormat/>
    <w:rsid w:val="00D75775"/>
    <w:rPr>
      <w:rFonts w:cs="Wingdings"/>
    </w:rPr>
  </w:style>
  <w:style w:type="paragraph" w:styleId="Nagwek">
    <w:name w:val="header"/>
    <w:basedOn w:val="Normalny"/>
    <w:next w:val="Tekstpodstawowy"/>
    <w:qFormat/>
    <w:rsid w:val="00D75775"/>
    <w:pPr>
      <w:keepNext/>
      <w:spacing w:before="240" w:after="120"/>
    </w:pPr>
    <w:rPr>
      <w:rFonts w:ascii="Liberation Sans" w:eastAsia="Microsoft YaHei" w:hAnsi="Liberation Sans" w:cs="Arial"/>
      <w:sz w:val="28"/>
      <w:szCs w:val="28"/>
    </w:rPr>
  </w:style>
  <w:style w:type="paragraph" w:styleId="Tekstpodstawowy">
    <w:name w:val="Body Text"/>
    <w:basedOn w:val="Normalny"/>
    <w:rsid w:val="000D7596"/>
    <w:pPr>
      <w:spacing w:after="140" w:line="276" w:lineRule="auto"/>
    </w:pPr>
  </w:style>
  <w:style w:type="paragraph" w:styleId="Lista">
    <w:name w:val="List"/>
    <w:basedOn w:val="Tekstpodstawowy"/>
    <w:rsid w:val="000D7596"/>
    <w:rPr>
      <w:rFonts w:cs="Arial"/>
    </w:rPr>
  </w:style>
  <w:style w:type="paragraph" w:customStyle="1" w:styleId="Caption">
    <w:name w:val="Caption"/>
    <w:basedOn w:val="Normalny"/>
    <w:qFormat/>
    <w:rsid w:val="000D7596"/>
    <w:pPr>
      <w:suppressLineNumbers/>
      <w:spacing w:before="120" w:after="120"/>
    </w:pPr>
    <w:rPr>
      <w:rFonts w:cs="Arial"/>
      <w:i/>
      <w:iCs/>
    </w:rPr>
  </w:style>
  <w:style w:type="paragraph" w:customStyle="1" w:styleId="Indeks">
    <w:name w:val="Indeks"/>
    <w:basedOn w:val="Normalny"/>
    <w:qFormat/>
    <w:rsid w:val="000D7596"/>
    <w:pPr>
      <w:suppressLineNumbers/>
    </w:pPr>
    <w:rPr>
      <w:rFonts w:cs="Arial"/>
    </w:rPr>
  </w:style>
  <w:style w:type="paragraph" w:customStyle="1" w:styleId="Header">
    <w:name w:val="Header"/>
    <w:basedOn w:val="Normalny"/>
    <w:next w:val="Tekstpodstawowy"/>
    <w:qFormat/>
    <w:rsid w:val="000D7596"/>
    <w:pPr>
      <w:keepNext/>
      <w:spacing w:before="240" w:after="120"/>
    </w:pPr>
    <w:rPr>
      <w:rFonts w:ascii="Liberation Sans" w:eastAsia="Microsoft YaHei" w:hAnsi="Liberation Sans" w:cs="Arial"/>
      <w:sz w:val="28"/>
      <w:szCs w:val="28"/>
    </w:rPr>
  </w:style>
  <w:style w:type="paragraph" w:styleId="NormalnyWeb">
    <w:name w:val="Normal (Web)"/>
    <w:basedOn w:val="Normalny"/>
    <w:qFormat/>
    <w:rsid w:val="00615851"/>
    <w:pPr>
      <w:spacing w:beforeAutospacing="1" w:after="119"/>
    </w:pPr>
  </w:style>
  <w:style w:type="paragraph" w:styleId="Tekstkomentarza">
    <w:name w:val="annotation text"/>
    <w:basedOn w:val="Normalny"/>
    <w:link w:val="TekstkomentarzaZnak"/>
    <w:uiPriority w:val="99"/>
    <w:semiHidden/>
    <w:unhideWhenUsed/>
    <w:qFormat/>
    <w:rsid w:val="000D7596"/>
    <w:rPr>
      <w:sz w:val="20"/>
      <w:szCs w:val="20"/>
    </w:rPr>
  </w:style>
  <w:style w:type="paragraph" w:styleId="Tekstdymka">
    <w:name w:val="Balloon Text"/>
    <w:basedOn w:val="Normalny"/>
    <w:link w:val="TekstdymkaZnak"/>
    <w:uiPriority w:val="99"/>
    <w:semiHidden/>
    <w:unhideWhenUsed/>
    <w:qFormat/>
    <w:rsid w:val="00D1511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qFormat/>
    <w:rsid w:val="00B53AA2"/>
    <w:rPr>
      <w:b/>
      <w:bCs/>
    </w:rPr>
  </w:style>
  <w:style w:type="paragraph" w:styleId="Stopka">
    <w:name w:val="footer"/>
    <w:basedOn w:val="Normalny"/>
    <w:link w:val="StopkaZnak"/>
    <w:uiPriority w:val="99"/>
    <w:semiHidden/>
    <w:unhideWhenUsed/>
    <w:rsid w:val="008C6AC2"/>
    <w:pPr>
      <w:tabs>
        <w:tab w:val="center" w:pos="4536"/>
        <w:tab w:val="right" w:pos="9072"/>
      </w:tabs>
    </w:pPr>
  </w:style>
  <w:style w:type="character" w:customStyle="1" w:styleId="StopkaZnak">
    <w:name w:val="Stopka Znak"/>
    <w:basedOn w:val="Domylnaczcionkaakapitu"/>
    <w:link w:val="Stopka"/>
    <w:uiPriority w:val="99"/>
    <w:semiHidden/>
    <w:rsid w:val="008C6AC2"/>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1729</Words>
  <Characters>10374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agorska</cp:lastModifiedBy>
  <cp:revision>3</cp:revision>
  <cp:lastPrinted>2020-10-14T10:05:00Z</cp:lastPrinted>
  <dcterms:created xsi:type="dcterms:W3CDTF">2020-10-15T09:49:00Z</dcterms:created>
  <dcterms:modified xsi:type="dcterms:W3CDTF">2020-10-16T09:29:00Z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