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2F007899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A116C3">
        <w:rPr>
          <w:rFonts w:ascii="Arial" w:hAnsi="Arial" w:cs="Arial"/>
        </w:rPr>
        <w:t>.10.2</w:t>
      </w:r>
      <w:r w:rsidR="006136E3" w:rsidRPr="00F67CEF">
        <w:rPr>
          <w:rFonts w:ascii="Arial" w:hAnsi="Arial" w:cs="Arial"/>
        </w:rPr>
        <w:t>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2151E59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2022.1710</w:t>
      </w:r>
      <w:r w:rsidRPr="00F67CEF">
        <w:rPr>
          <w:rFonts w:ascii="Arial" w:hAnsi="Arial" w:cs="Arial"/>
        </w:rPr>
        <w:t xml:space="preserve"> t.j. ze zm.) </w:t>
      </w:r>
      <w:bookmarkEnd w:id="1"/>
      <w:r w:rsidRPr="00F67CEF">
        <w:rPr>
          <w:rFonts w:ascii="Arial" w:hAnsi="Arial" w:cs="Arial"/>
        </w:rPr>
        <w:t>zwana dalej „ustawą Pzp"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>(art. 275 pkt 1 ustawy Pzp)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3D9CDB9C" w14:textId="669B2A79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45252127-4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oczyszczalni ścieków</w:t>
      </w:r>
    </w:p>
    <w:p w14:paraId="05252E86" w14:textId="73EC467A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45232440-8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budowy rurociągów do odprowadzania ścieków</w:t>
      </w:r>
    </w:p>
    <w:p w14:paraId="4162E2B6" w14:textId="5EE6C48A" w:rsidR="00C62078" w:rsidRDefault="009D5BA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9D5BA9">
        <w:rPr>
          <w:rFonts w:ascii="Arial" w:eastAsia="Times New Roman" w:hAnsi="Arial" w:cs="Arial"/>
        </w:rPr>
        <w:t>71322200-3</w:t>
      </w:r>
      <w:r w:rsidR="00C62078">
        <w:rPr>
          <w:rFonts w:ascii="Arial" w:eastAsia="Times New Roman" w:hAnsi="Arial" w:cs="Arial"/>
        </w:rPr>
        <w:tab/>
      </w:r>
      <w:r w:rsidRPr="009D5BA9">
        <w:rPr>
          <w:rFonts w:ascii="Arial" w:eastAsia="Times New Roman" w:hAnsi="Arial" w:cs="Arial"/>
        </w:rPr>
        <w:t>Usługi projektowania rurociągów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43D4B612" w:rsidR="000B0CD7" w:rsidRPr="00F67CEF" w:rsidRDefault="0060162C" w:rsidP="0060162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0162C">
        <w:rPr>
          <w:rFonts w:ascii="Arial" w:hAnsi="Arial" w:cs="Arial"/>
          <w:b/>
          <w:bCs/>
        </w:rPr>
        <w:t>Budowa oczyszczalni</w:t>
      </w:r>
      <w:r>
        <w:rPr>
          <w:rFonts w:ascii="Arial" w:hAnsi="Arial" w:cs="Arial"/>
          <w:b/>
          <w:bCs/>
        </w:rPr>
        <w:t xml:space="preserve"> </w:t>
      </w:r>
      <w:r w:rsidRPr="0060162C">
        <w:rPr>
          <w:rFonts w:ascii="Arial" w:hAnsi="Arial" w:cs="Arial"/>
          <w:b/>
          <w:bCs/>
        </w:rPr>
        <w:t>ścieków wraz z budową sieci kanalizacji sanitarnej w Gminie Będzino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001E4FD6" w14:textId="628C4EF3" w:rsidR="00692B0A" w:rsidRPr="00692B0A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 xml:space="preserve">zaprojektowanie oraz wykonanie prac budowlanych mających na celu </w:t>
      </w:r>
      <w:r w:rsidR="005B2AA4" w:rsidRPr="005B2AA4">
        <w:t>budow</w:t>
      </w:r>
      <w:r w:rsidR="005B2AA4">
        <w:t>ę</w:t>
      </w:r>
      <w:r w:rsidR="005B2AA4" w:rsidRPr="005B2AA4">
        <w:t xml:space="preserve"> oczyszczalni ścieków w m. Tymień wraz z budową sieci kanalizacji sanitarnej w zakresie m. Pleśna, Kładno oraz Tymień w gminie Będzino</w:t>
      </w:r>
      <w:r w:rsidR="00692B0A">
        <w:t>.</w:t>
      </w:r>
    </w:p>
    <w:p w14:paraId="4A501C6F" w14:textId="5BE9C05A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5B2AA4" w:rsidRPr="005B2AA4">
        <w:t>ze środków Rządowego Funduszu Polski Ład: Program Inwestycji Strategicznych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Funkcjonalno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r w:rsidR="008365CE" w:rsidRPr="00F67CEF">
        <w:rPr>
          <w:rFonts w:ascii="Arial" w:hAnsi="Arial" w:cs="Arial"/>
        </w:rPr>
        <w:t>Pzp</w:t>
      </w:r>
      <w:bookmarkEnd w:id="5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Pzp</w:t>
      </w:r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2280E1B6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>
        <w:rPr>
          <w:rFonts w:ascii="Arial" w:hAnsi="Arial" w:cs="Arial"/>
          <w:b/>
          <w:bCs/>
        </w:rPr>
        <w:t xml:space="preserve">oraz </w:t>
      </w:r>
      <w:r w:rsidRPr="005D2680">
        <w:rPr>
          <w:rFonts w:ascii="Arial" w:hAnsi="Arial" w:cs="Arial"/>
          <w:b/>
          <w:bCs/>
        </w:rPr>
        <w:t xml:space="preserve">pracami związanymi </w:t>
      </w:r>
      <w:r>
        <w:rPr>
          <w:rFonts w:ascii="Arial" w:hAnsi="Arial" w:cs="Arial"/>
          <w:b/>
          <w:bCs/>
        </w:rPr>
        <w:t>z</w:t>
      </w:r>
      <w:r w:rsidR="00D60570">
        <w:rPr>
          <w:rFonts w:ascii="Arial" w:hAnsi="Arial" w:cs="Arial"/>
          <w:b/>
          <w:bCs/>
        </w:rPr>
        <w:t xml:space="preserve"> układaniem rurociągów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5462E112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5B2AA4">
        <w:rPr>
          <w:b/>
        </w:rPr>
        <w:t>30</w:t>
      </w:r>
      <w:r w:rsidR="00CF74A1">
        <w:rPr>
          <w:b/>
        </w:rPr>
        <w:t xml:space="preserve"> miesięcy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V. Warunki udziału w postępowaniu:</w:t>
            </w:r>
          </w:p>
        </w:tc>
      </w:tr>
    </w:tbl>
    <w:p w14:paraId="064AD678" w14:textId="6C6F87B9" w:rsidR="00F10E05" w:rsidRPr="00734DE4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Pzp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 xml:space="preserve">zostanie spełniony, jeżeli wykonawcy wykażą, że w okresie ostatnich 5 lat, a jeżeli okres prowadzenia jest krótszy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 w:rsidR="005B2AA4">
        <w:rPr>
          <w:rFonts w:eastAsia="Lucida Sans Unicode"/>
          <w:b/>
          <w:lang w:eastAsia="en-US"/>
        </w:rPr>
        <w:t>jedną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 w:rsidR="005B2AA4">
        <w:rPr>
          <w:rFonts w:eastAsia="Lucida Sans Unicode"/>
          <w:b/>
          <w:lang w:eastAsia="en-US"/>
        </w:rPr>
        <w:t>ę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5B2AA4">
        <w:rPr>
          <w:rFonts w:eastAsia="Lucida Sans Unicode"/>
          <w:b/>
          <w:lang w:eastAsia="en-US"/>
        </w:rPr>
        <w:t>oczyszczalni ścieków w technologii SBR o przepustowości min. 150 m</w:t>
      </w:r>
      <w:r w:rsidR="005B2AA4" w:rsidRPr="005B2AA4">
        <w:rPr>
          <w:rFonts w:eastAsia="Lucida Sans Unicode"/>
          <w:b/>
          <w:vertAlign w:val="superscript"/>
          <w:lang w:eastAsia="en-US"/>
        </w:rPr>
        <w:t>3</w:t>
      </w:r>
      <w:r w:rsidR="005B2AA4">
        <w:rPr>
          <w:rFonts w:eastAsia="Lucida Sans Unicode"/>
          <w:b/>
          <w:lang w:eastAsia="en-US"/>
        </w:rPr>
        <w:t>/dobę ORAZ budowę sicie wodociągowej lub kanalizacyjnej (deszczowej lub sanitarnej) o długości minimum 2.000 m</w:t>
      </w:r>
      <w:r w:rsidR="00F10E05" w:rsidRPr="001C33EC">
        <w:rPr>
          <w:rFonts w:eastAsia="Lucida Sans Unicode"/>
          <w:b/>
          <w:lang w:eastAsia="en-US"/>
        </w:rPr>
        <w:t xml:space="preserve"> –</w:t>
      </w:r>
      <w:r w:rsidR="00F10E05" w:rsidRPr="001C33EC">
        <w:rPr>
          <w:rFonts w:eastAsia="Lucida Sans Unicode"/>
          <w:lang w:eastAsia="en-US"/>
        </w:rPr>
        <w:t xml:space="preserve"> zamawiający zastrzega, że nie jest dopuszczalna</w:t>
      </w:r>
      <w:r w:rsidR="00F10E05" w:rsidRPr="00734DE4">
        <w:rPr>
          <w:rFonts w:eastAsia="Lucida Sans Unicode"/>
          <w:lang w:eastAsia="en-US"/>
        </w:rPr>
        <w:t xml:space="preserve"> łączna ocena spełnienia tego warunku, tzn. że </w:t>
      </w:r>
      <w:r w:rsidR="00F10E05">
        <w:rPr>
          <w:rFonts w:eastAsia="Lucida Sans Unicode"/>
          <w:lang w:eastAsia="en-US"/>
        </w:rPr>
        <w:t>ww. robotę budowlaną</w:t>
      </w:r>
      <w:r w:rsidR="00F10E05"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  <w:b/>
                <w:bCs/>
              </w:rPr>
              <w:t xml:space="preserve">Va.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67CEF">
        <w:lastRenderedPageBreak/>
        <w:t>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Pzp</w:t>
      </w:r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>ust. 1 pkt 7 ustawy Pzp)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lastRenderedPageBreak/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r w:rsidRPr="00734DE4">
        <w:t>Pzp</w:t>
      </w:r>
      <w:bookmarkEnd w:id="15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Pzp, </w:t>
      </w:r>
      <w:r w:rsidR="00CC52D1">
        <w:t>w</w:t>
      </w:r>
      <w:r w:rsidRPr="00734DE4">
        <w:t xml:space="preserve"> zakresie podstawy wykluczenia z postępowania, o których mowa w art. 108 ust. 1 pkt 5 ustawy Pzp,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>(art. 118 ust. 3 ustawy Pzp).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>(art. 274 ust. 1 ustawy Pzp).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>ustawy Pzp).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 xml:space="preserve">do </w:t>
      </w:r>
      <w:r w:rsidRPr="00734DE4">
        <w:rPr>
          <w:b/>
          <w:bCs/>
        </w:rPr>
        <w:lastRenderedPageBreak/>
        <w:t>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>(art. 117 ust. 3 i 4 ustawy Pzp)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Pzp).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</w:t>
      </w:r>
      <w:r w:rsidRPr="00F67CEF">
        <w:lastRenderedPageBreak/>
        <w:t xml:space="preserve">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 xml:space="preserve">.doc, .docx, .rtf, .pdf, .gif, .jpg, .jpeg, .png, .tif, .txt, .xls, .xlsx,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867BE5">
        <w:tc>
          <w:tcPr>
            <w:tcW w:w="9855" w:type="dxa"/>
            <w:shd w:val="clear" w:color="auto" w:fill="F2F2F2" w:themeFill="background1" w:themeFillShade="F2"/>
          </w:tcPr>
          <w:p w14:paraId="597561FE" w14:textId="77777777" w:rsidR="00680C8E" w:rsidRPr="00F67CEF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bookmarkEnd w:id="29"/>
    <w:p w14:paraId="40D5B48A" w14:textId="70170728" w:rsidR="00867BE5" w:rsidRPr="00726129" w:rsidRDefault="00867BE5" w:rsidP="00867BE5">
      <w:pPr>
        <w:pStyle w:val="Styl1"/>
        <w:numPr>
          <w:ilvl w:val="0"/>
          <w:numId w:val="38"/>
        </w:numPr>
      </w:pPr>
      <w:r w:rsidRPr="00726129">
        <w:t xml:space="preserve">Wykonawca przystępujący do postępowania jest zobowiązany, przed upływem terminu składania ofert, wnieść </w:t>
      </w:r>
      <w:r w:rsidRPr="00867BE5">
        <w:rPr>
          <w:b/>
        </w:rPr>
        <w:t xml:space="preserve">wadium w kwocie: </w:t>
      </w:r>
      <w:r>
        <w:rPr>
          <w:b/>
        </w:rPr>
        <w:t>5</w:t>
      </w:r>
      <w:r w:rsidRPr="00867BE5">
        <w:rPr>
          <w:b/>
        </w:rPr>
        <w:t xml:space="preserve">0.000,00 złotych </w:t>
      </w:r>
      <w:r w:rsidRPr="00726129">
        <w:t xml:space="preserve">(słownie: </w:t>
      </w:r>
      <w:r>
        <w:t>pięćdziesiąt</w:t>
      </w:r>
      <w:r w:rsidRPr="00726129">
        <w:t xml:space="preserve"> tysięcy złotych 00/100).</w:t>
      </w:r>
    </w:p>
    <w:p w14:paraId="617BF69C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wnosi się przed upływem terminu składania ofert i utrzymuje nieprzerwanie do dnia upływu terminu związania ofertą, z wyjątkiem przypadków, o których mowa w art. 98 ust. 1 pkt 2 i 3 oraz ust. 2 ustawy.</w:t>
      </w:r>
    </w:p>
    <w:p w14:paraId="6BB0AEC3" w14:textId="77777777" w:rsidR="00867BE5" w:rsidRDefault="00867BE5" w:rsidP="00867BE5">
      <w:pPr>
        <w:pStyle w:val="Styl1"/>
        <w:numPr>
          <w:ilvl w:val="0"/>
          <w:numId w:val="4"/>
        </w:numPr>
      </w:pPr>
      <w:r>
        <w:t>Wykonawca wnosi wadium w jednej lub kilku formach określonych w art. 97 ust 7 ustawy Pzp.</w:t>
      </w:r>
      <w:r w:rsidRPr="00A20BFD">
        <w:t xml:space="preserve"> </w:t>
      </w:r>
    </w:p>
    <w:p w14:paraId="742D64D9" w14:textId="6CA6FE6C" w:rsidR="00867BE5" w:rsidRDefault="00867BE5" w:rsidP="00867BE5">
      <w:pPr>
        <w:pStyle w:val="Styl1"/>
        <w:numPr>
          <w:ilvl w:val="0"/>
          <w:numId w:val="4"/>
        </w:numPr>
      </w:pPr>
      <w:r w:rsidRPr="00A20BFD">
        <w:t>Wadium wnoszone w pieniądzu wpłaca się przelewem na rachunek</w:t>
      </w:r>
      <w:r>
        <w:t xml:space="preserve"> bakowy zamawiającego prowadzony w</w:t>
      </w:r>
      <w:r w:rsidR="00307AFE">
        <w:t> </w:t>
      </w:r>
      <w:r w:rsidR="00307AFE" w:rsidRPr="00307AFE">
        <w:t>Pomorskim Banku Spółdzielczym Oddział w Będzinie</w:t>
      </w:r>
      <w:r w:rsidR="00307AFE">
        <w:t xml:space="preserve">: </w:t>
      </w:r>
      <w:r w:rsidR="00307AFE" w:rsidRPr="00307AFE">
        <w:rPr>
          <w:u w:val="single"/>
        </w:rPr>
        <w:t>52 8581 1014 0200 0143 2000 0003</w:t>
      </w:r>
      <w:r w:rsidR="00307AFE">
        <w:t xml:space="preserve">. </w:t>
      </w:r>
      <w:r>
        <w:t xml:space="preserve">Zaleca się dołączenie do oferty kopii dokumentu potwierdzającego dokonanie przelewu. </w:t>
      </w:r>
    </w:p>
    <w:p w14:paraId="0C82DC56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wniesione w pieniądzu uważa się za wniesione w terminie, jeżeli kwota wadium znajdzie się na rachunku Zamawiającego przed upływem terminu składania ofert.</w:t>
      </w:r>
    </w:p>
    <w:p w14:paraId="134B7A54" w14:textId="77777777" w:rsidR="00867BE5" w:rsidRDefault="00867BE5" w:rsidP="00867BE5">
      <w:pPr>
        <w:pStyle w:val="Styl1"/>
        <w:numPr>
          <w:ilvl w:val="0"/>
          <w:numId w:val="4"/>
        </w:numPr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51A0AD00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oraz numer postępowania,</w:t>
      </w:r>
    </w:p>
    <w:p w14:paraId="1C19B397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dającego zlecenie (wykonawcy), beneficjenta gwarancji/poręczenia (zamawiającego), gwaranta lub poręczyciela oraz wskazanie ich siedzib,</w:t>
      </w:r>
    </w:p>
    <w:p w14:paraId="210B727C" w14:textId="77777777" w:rsidR="00867BE5" w:rsidRDefault="00867BE5" w:rsidP="00867BE5">
      <w:pPr>
        <w:pStyle w:val="Styl1"/>
        <w:numPr>
          <w:ilvl w:val="1"/>
          <w:numId w:val="4"/>
        </w:numPr>
      </w:pPr>
      <w:r>
        <w:t>kwotę wadium,</w:t>
      </w:r>
    </w:p>
    <w:p w14:paraId="4F33D597" w14:textId="77777777" w:rsidR="00867BE5" w:rsidRDefault="00867BE5" w:rsidP="00867BE5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1295D3D5" w14:textId="77777777" w:rsidR="00867BE5" w:rsidRDefault="00867BE5" w:rsidP="00867BE5">
      <w:pPr>
        <w:pStyle w:val="Styl1"/>
        <w:numPr>
          <w:ilvl w:val="1"/>
          <w:numId w:val="4"/>
        </w:numPr>
      </w:pPr>
      <w:r>
        <w:t>zobowiązanie gwaranta/poręczyciela do zapłacenia kwoty wskazanej w gwarancji/poręczeniu na pierwsze żądanie zamawiającego w sytuacjach zatrzymania wadium określonych w przepisach ustawy.</w:t>
      </w:r>
    </w:p>
    <w:p w14:paraId="18EC3AEB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99D071D" w14:textId="77777777" w:rsidR="00867BE5" w:rsidRPr="00734DE4" w:rsidRDefault="00867BE5" w:rsidP="00867BE5">
      <w:pPr>
        <w:pStyle w:val="Styl1"/>
        <w:numPr>
          <w:ilvl w:val="0"/>
          <w:numId w:val="4"/>
        </w:numPr>
      </w:pPr>
      <w:r>
        <w:t>Wadium wniesione przez jednego z Wykonawców wspólnie ubiegających się o udzielenie zamówienia uważa się za wniesione prawidłowo.</w:t>
      </w:r>
    </w:p>
    <w:p w14:paraId="7131FBDB" w14:textId="48780E9F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51A81420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8A344D">
        <w:rPr>
          <w:b/>
          <w:bCs/>
          <w:highlight w:val="cyan"/>
          <w:lang w:eastAsia="en-US"/>
        </w:rPr>
        <w:t>16</w:t>
      </w:r>
      <w:r w:rsidR="00D757BE">
        <w:rPr>
          <w:b/>
          <w:bCs/>
          <w:highlight w:val="cyan"/>
          <w:lang w:eastAsia="en-US"/>
        </w:rPr>
        <w:t>.09</w:t>
      </w:r>
      <w:r w:rsidR="007D4828">
        <w:rPr>
          <w:b/>
          <w:bCs/>
          <w:highlight w:val="cyan"/>
          <w:lang w:eastAsia="en-US"/>
        </w:rPr>
        <w:t>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DA0A04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2C84CD18" w14:textId="7F13AE39" w:rsidR="009B7061" w:rsidRDefault="00DA0A04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 kierownika budowy</w:t>
      </w:r>
      <w:r w:rsidR="009B7061">
        <w:rPr>
          <w:bCs/>
        </w:rPr>
        <w:t xml:space="preserve"> (</w:t>
      </w:r>
      <w:r w:rsidR="009B7061">
        <w:t>dot. branży instalacji sanitarnych</w:t>
      </w:r>
      <w:r w:rsidR="009B7061">
        <w:rPr>
          <w:bCs/>
        </w:rPr>
        <w:t>);</w:t>
      </w:r>
    </w:p>
    <w:p w14:paraId="12F3F0E2" w14:textId="0CB2B728" w:rsidR="00DA0A04" w:rsidRPr="00DA0A04" w:rsidRDefault="009B7061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</w:t>
      </w:r>
      <w:r>
        <w:rPr>
          <w:bCs/>
        </w:rPr>
        <w:t xml:space="preserve"> projektanta;</w:t>
      </w:r>
    </w:p>
    <w:p w14:paraId="604B09FB" w14:textId="20618F6A" w:rsidR="00AB12D9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 – zawarty na wzorze formularza ofertowego,</w:t>
      </w:r>
    </w:p>
    <w:p w14:paraId="443680B1" w14:textId="77777777" w:rsidR="00DA0A04" w:rsidRDefault="007214E8" w:rsidP="00DA0A04">
      <w:pPr>
        <w:pStyle w:val="Styl1"/>
        <w:numPr>
          <w:ilvl w:val="1"/>
          <w:numId w:val="4"/>
        </w:numPr>
        <w:rPr>
          <w:bCs/>
        </w:r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DA0A04">
        <w:rPr>
          <w:bCs/>
        </w:rPr>
        <w:t>,</w:t>
      </w:r>
      <w:r w:rsidR="00DA0A04" w:rsidRPr="00DA0A04">
        <w:rPr>
          <w:bCs/>
        </w:rPr>
        <w:t xml:space="preserve"> </w:t>
      </w:r>
    </w:p>
    <w:p w14:paraId="526E1717" w14:textId="77CE6646" w:rsidR="00DA0A04" w:rsidRPr="00DA0A04" w:rsidRDefault="00DA0A04" w:rsidP="00DA0A04">
      <w:pPr>
        <w:pStyle w:val="Styl1"/>
        <w:numPr>
          <w:ilvl w:val="1"/>
          <w:numId w:val="4"/>
        </w:numPr>
        <w:rPr>
          <w:bCs/>
        </w:rPr>
      </w:pPr>
      <w:r w:rsidRPr="00DA0A04">
        <w:rPr>
          <w:bCs/>
        </w:rPr>
        <w:t>dowód wniesienia wadium,</w:t>
      </w:r>
    </w:p>
    <w:p w14:paraId="6BD41453" w14:textId="778366EC" w:rsidR="00DA0A04" w:rsidRPr="00DA0A04" w:rsidRDefault="00DA0A04" w:rsidP="00DA0A04">
      <w:pPr>
        <w:pStyle w:val="Akapitzlist"/>
        <w:numPr>
          <w:ilvl w:val="1"/>
          <w:numId w:val="4"/>
        </w:numPr>
        <w:rPr>
          <w:rFonts w:ascii="Arial" w:eastAsia="Calibri" w:hAnsi="Arial" w:cs="Arial"/>
        </w:rPr>
      </w:pPr>
      <w:r w:rsidRPr="00DA0A04">
        <w:rPr>
          <w:rFonts w:ascii="Arial" w:eastAsia="Calibri" w:hAnsi="Arial" w:cs="Arial"/>
        </w:rPr>
        <w:t>wykaz osób wyznaczonych do realizacji zamówienia (potwierdzający spełnienie kryteriów oceny ofert w postępowaniu)</w:t>
      </w:r>
      <w:r>
        <w:rPr>
          <w:rFonts w:ascii="Arial" w:eastAsia="Calibri" w:hAnsi="Arial" w:cs="Arial"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lastRenderedPageBreak/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1A7495FC" w14:textId="0C5230F0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8A344D">
        <w:rPr>
          <w:b/>
          <w:bCs/>
          <w:highlight w:val="cyan"/>
        </w:rPr>
        <w:t>17</w:t>
      </w:r>
      <w:r w:rsidR="00D757BE">
        <w:rPr>
          <w:b/>
          <w:bCs/>
          <w:highlight w:val="cyan"/>
        </w:rPr>
        <w:t>.08</w:t>
      </w:r>
      <w:r w:rsidR="007D4828">
        <w:rPr>
          <w:b/>
          <w:bCs/>
          <w:highlight w:val="cyan"/>
        </w:rPr>
        <w:t>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>je, o których mowa w art. 222 ust. 5 ustawy Pzp.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(t.j. Dz.U. z 2021r. 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F87370">
        <w:tc>
          <w:tcPr>
            <w:tcW w:w="9855" w:type="dxa"/>
            <w:shd w:val="clear" w:color="auto" w:fill="F2F2F2" w:themeFill="background1" w:themeFillShade="F2"/>
          </w:tcPr>
          <w:p w14:paraId="3A7CC17B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14:paraId="77DC4013" w14:textId="77777777" w:rsidR="00F87370" w:rsidRPr="00734DE4" w:rsidRDefault="00F87370" w:rsidP="009B7061">
      <w:pPr>
        <w:pStyle w:val="Styl1"/>
        <w:numPr>
          <w:ilvl w:val="0"/>
          <w:numId w:val="39"/>
        </w:numPr>
      </w:pPr>
      <w:bookmarkStart w:id="35" w:name="_Hlk139547173"/>
      <w:r w:rsidRPr="00734DE4">
        <w:t>Przy wyborze najkorzystniejszej oferty zamawiający będzie się kierował następującymi kryteriami:</w:t>
      </w:r>
    </w:p>
    <w:p w14:paraId="579310B6" w14:textId="77777777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cena</w:t>
      </w:r>
      <w:r w:rsidRPr="00734DE4">
        <w:tab/>
        <w:t>- waga 60%;</w:t>
      </w:r>
    </w:p>
    <w:p w14:paraId="3FF5010A" w14:textId="0F6A8A6C" w:rsidR="00F87370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okres gwarancji</w:t>
      </w:r>
      <w:r w:rsidRPr="00734DE4">
        <w:tab/>
        <w:t xml:space="preserve">- waga </w:t>
      </w:r>
      <w:r>
        <w:t>10%;</w:t>
      </w:r>
    </w:p>
    <w:p w14:paraId="3535BE31" w14:textId="76DA2A5D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>doświadczenie kierownika budowy</w:t>
      </w:r>
      <w:r>
        <w:tab/>
      </w:r>
      <w:r w:rsidRPr="00734DE4">
        <w:t xml:space="preserve">- waga </w:t>
      </w:r>
      <w:r>
        <w:t>15%;</w:t>
      </w:r>
    </w:p>
    <w:p w14:paraId="69CE244E" w14:textId="2AA5F563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 xml:space="preserve">doświadczenie </w:t>
      </w:r>
      <w:r>
        <w:t>projektanta</w:t>
      </w:r>
      <w:r>
        <w:tab/>
      </w:r>
      <w:r w:rsidRPr="00734DE4">
        <w:t xml:space="preserve">- waga </w:t>
      </w:r>
      <w:r>
        <w:t>15%.</w:t>
      </w:r>
    </w:p>
    <w:p w14:paraId="2453C19E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t>Maksymalna liczba punktów w kryteriach równa jest określonej wadze dla tych kryteriów w %.</w:t>
      </w:r>
    </w:p>
    <w:p w14:paraId="3C3798D9" w14:textId="77777777" w:rsidR="00F87370" w:rsidRPr="00734DE4" w:rsidRDefault="00F87370" w:rsidP="00F87370">
      <w:pPr>
        <w:pStyle w:val="Styl1"/>
        <w:numPr>
          <w:ilvl w:val="0"/>
          <w:numId w:val="4"/>
        </w:numPr>
        <w:rPr>
          <w:szCs w:val="22"/>
        </w:rPr>
      </w:pPr>
      <w:r w:rsidRPr="00734DE4">
        <w:rPr>
          <w:b/>
          <w:szCs w:val="22"/>
        </w:rPr>
        <w:lastRenderedPageBreak/>
        <w:t>Kryterium ceny</w:t>
      </w:r>
      <w:r>
        <w:rPr>
          <w:b/>
          <w:szCs w:val="22"/>
        </w:rPr>
        <w:t xml:space="preserve"> (C)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3BEF9D7D" w14:textId="77777777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 xml:space="preserve">C = (Cmin/Co) x 60 pkt, </w:t>
      </w:r>
      <w:r w:rsidRPr="00734DE4">
        <w:rPr>
          <w:rFonts w:ascii="Arial" w:hAnsi="Arial" w:cs="Arial"/>
          <w:szCs w:val="22"/>
        </w:rPr>
        <w:tab/>
        <w:t>gdzie:</w:t>
      </w:r>
    </w:p>
    <w:p w14:paraId="7279AA63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14:paraId="408A79F9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Cmin - najniższa zaoferowana cena,</w:t>
      </w:r>
    </w:p>
    <w:p w14:paraId="1B760F6A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14:paraId="1B3A13B3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>Kryterium okresu gwarancji</w:t>
      </w:r>
      <w:r>
        <w:rPr>
          <w:b/>
        </w:rPr>
        <w:t xml:space="preserve"> (G)</w:t>
      </w:r>
      <w:r w:rsidRPr="00734DE4">
        <w:t xml:space="preserve"> będzie rozpatrywane na podstawie zaoferowanego okresu gwarancji. Ilość punktów w tym kryterium zostanie obliczona na podstawie poniższego wzoru:</w:t>
      </w:r>
    </w:p>
    <w:p w14:paraId="1E128ABA" w14:textId="3962DB56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>G = (Go/Gn)</w:t>
      </w:r>
      <w:r>
        <w:rPr>
          <w:rFonts w:ascii="Arial" w:hAnsi="Arial" w:cs="Arial"/>
          <w:b/>
        </w:rPr>
        <w:t xml:space="preserve"> x 1</w:t>
      </w:r>
      <w:r w:rsidRPr="00734DE4">
        <w:rPr>
          <w:rFonts w:ascii="Arial" w:hAnsi="Arial" w:cs="Arial"/>
          <w:b/>
        </w:rPr>
        <w:t xml:space="preserve">0 pkt, </w:t>
      </w:r>
      <w:r w:rsidRPr="00734DE4">
        <w:rPr>
          <w:rFonts w:ascii="Arial" w:hAnsi="Arial" w:cs="Arial"/>
        </w:rPr>
        <w:tab/>
        <w:t>gdzie:</w:t>
      </w:r>
    </w:p>
    <w:p w14:paraId="4860CD19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okresu gwarancji,</w:t>
      </w:r>
    </w:p>
    <w:p w14:paraId="44A91585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14:paraId="25AB5633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Gn - najdłuższy zaoferowany okres gwarancji.</w:t>
      </w:r>
    </w:p>
    <w:p w14:paraId="3916B5EC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 w miesiącach.</w:t>
      </w:r>
    </w:p>
    <w:p w14:paraId="374DFEF1" w14:textId="77777777" w:rsidR="00F87370" w:rsidRPr="00734DE4" w:rsidRDefault="00F87370" w:rsidP="00F8737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>
        <w:t>60</w:t>
      </w:r>
      <w:r w:rsidRPr="00734DE4">
        <w:t xml:space="preserve"> miesięcy.</w:t>
      </w:r>
    </w:p>
    <w:p w14:paraId="463A4615" w14:textId="4862287D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>
        <w:t>48</w:t>
      </w:r>
      <w:r w:rsidRPr="00734DE4">
        <w:t xml:space="preserve"> miesięcy skutkować będzie odrzuceniem oferty.</w:t>
      </w:r>
    </w:p>
    <w:p w14:paraId="449F6800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14:paraId="32658FB5" w14:textId="24B3E9B1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>
        <w:t>60</w:t>
      </w:r>
      <w:r w:rsidRPr="00734DE4">
        <w:t xml:space="preserve"> miesiące zamawiający do oceny ofert przyjmie okres </w:t>
      </w:r>
      <w:r>
        <w:t>60</w:t>
      </w:r>
      <w:r w:rsidRPr="00734DE4">
        <w:t xml:space="preserve"> miesięcy.</w:t>
      </w:r>
    </w:p>
    <w:p w14:paraId="7D46E612" w14:textId="3FC2FF54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 xml:space="preserve">Kryterium </w:t>
      </w:r>
      <w:r>
        <w:rPr>
          <w:b/>
        </w:rPr>
        <w:t>doświadczenie kierownika budowy (D)</w:t>
      </w:r>
      <w:r w:rsidRPr="00734DE4">
        <w:t xml:space="preserve"> będzie rozpatrywane na podstawie zaoferowanego </w:t>
      </w:r>
      <w:r>
        <w:t>doświadczenia kierownika budowy (dot. branży instalacji sanitarnych)</w:t>
      </w:r>
      <w:r w:rsidRPr="00734DE4">
        <w:t xml:space="preserve">. Ilość punktów w tym kryterium zostanie </w:t>
      </w:r>
      <w:r>
        <w:t>przyznana zgodnie z poniższymi progami:</w:t>
      </w:r>
    </w:p>
    <w:p w14:paraId="23F54025" w14:textId="655CF68A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do</w:t>
      </w:r>
      <w:r w:rsidRPr="00F53F5F">
        <w:rPr>
          <w:rFonts w:ascii="Arial" w:hAnsi="Arial" w:cs="Arial"/>
        </w:rPr>
        <w:t xml:space="preserve"> 5 lat</w:t>
      </w:r>
      <w:r>
        <w:rPr>
          <w:rFonts w:ascii="Arial" w:hAnsi="Arial" w:cs="Arial"/>
        </w:rPr>
        <w:t xml:space="preserve"> (włącznie)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 =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12AA8BCF" w14:textId="49B1EB4C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 w:rsidRPr="00F53F5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a</w:t>
      </w:r>
      <w:r w:rsidRPr="00F53F5F">
        <w:rPr>
          <w:rFonts w:ascii="Arial" w:hAnsi="Arial" w:cs="Arial"/>
        </w:rPr>
        <w:t xml:space="preserve"> 10 lat: </w:t>
      </w:r>
      <w:r>
        <w:rPr>
          <w:rFonts w:ascii="Arial" w:hAnsi="Arial" w:cs="Arial"/>
        </w:rPr>
        <w:tab/>
        <w:t>D = 10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33C238CD" w14:textId="1B4CB55F" w:rsidR="00F87370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F53F5F">
        <w:rPr>
          <w:rFonts w:ascii="Arial" w:hAnsi="Arial" w:cs="Arial"/>
        </w:rPr>
        <w:t>10 lat</w:t>
      </w:r>
      <w:r>
        <w:rPr>
          <w:rFonts w:ascii="Arial" w:hAnsi="Arial" w:cs="Arial"/>
        </w:rPr>
        <w:t xml:space="preserve"> i więcej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D = </w:t>
      </w:r>
      <w:r w:rsidRPr="00F53F5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.</w:t>
      </w:r>
    </w:p>
    <w:p w14:paraId="3D09D795" w14:textId="01205C1C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kierownika budowy (dot. branży instalacji sanitarnych)</w:t>
      </w:r>
      <w:r w:rsidRPr="00734DE4">
        <w:t xml:space="preserve">, określając </w:t>
      </w:r>
      <w:r>
        <w:t>je</w:t>
      </w:r>
      <w:r w:rsidRPr="00734DE4">
        <w:t xml:space="preserve"> </w:t>
      </w:r>
      <w:r>
        <w:t>w latach</w:t>
      </w:r>
      <w:r w:rsidRPr="00734DE4">
        <w:t>.</w:t>
      </w:r>
    </w:p>
    <w:p w14:paraId="3DA03111" w14:textId="59AFC09A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kierownika budowy (dot. branży instalacji sanitarnych)</w:t>
      </w:r>
      <w:r w:rsidRPr="00734DE4">
        <w:t>, zamawiający uzna,</w:t>
      </w:r>
      <w:r>
        <w:t xml:space="preserve"> że wykonawca zapewnia kierownika budowy z zakresu od 0 do 5 lat</w:t>
      </w:r>
      <w:r w:rsidRPr="00734DE4">
        <w:t>.</w:t>
      </w:r>
    </w:p>
    <w:p w14:paraId="45872D05" w14:textId="0E3C4D49" w:rsidR="00F87370" w:rsidRPr="00734DE4" w:rsidRDefault="00F87370" w:rsidP="00F87370">
      <w:pPr>
        <w:pStyle w:val="Styl1"/>
        <w:numPr>
          <w:ilvl w:val="0"/>
          <w:numId w:val="4"/>
        </w:numPr>
      </w:pPr>
      <w:bookmarkStart w:id="36" w:name="_Hlk107564285"/>
      <w:r w:rsidRPr="00734DE4">
        <w:rPr>
          <w:b/>
        </w:rPr>
        <w:t xml:space="preserve">Kryterium </w:t>
      </w:r>
      <w:r>
        <w:rPr>
          <w:b/>
        </w:rPr>
        <w:t>doświadczenie projektanta (P)</w:t>
      </w:r>
      <w:r w:rsidRPr="00734DE4">
        <w:t xml:space="preserve"> będzie rozpatrywane na podstawie zaoferowanego </w:t>
      </w:r>
      <w:r>
        <w:t>doświadczenia projektanta dla wykonanych dokumentacji technicznych w zakresie budowy, przebudowy lub rozbudowy oczyszczalni ścieków w technologii SBR</w:t>
      </w:r>
      <w:r w:rsidRPr="00734DE4">
        <w:t xml:space="preserve">. Ilość punktów w tym kryterium zostanie </w:t>
      </w:r>
      <w:r>
        <w:t>przyznana zgodnie z poniższymi progami:</w:t>
      </w:r>
    </w:p>
    <w:p w14:paraId="6DD6FC78" w14:textId="77777777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kompletów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 =</w:t>
      </w:r>
      <w:r w:rsidRPr="00F53F5F">
        <w:rPr>
          <w:rFonts w:ascii="Arial" w:hAnsi="Arial" w:cs="Arial"/>
        </w:rPr>
        <w:t xml:space="preserve"> 0 punktów</w:t>
      </w:r>
      <w:r>
        <w:rPr>
          <w:rFonts w:ascii="Arial" w:hAnsi="Arial" w:cs="Arial"/>
        </w:rPr>
        <w:t>,</w:t>
      </w:r>
    </w:p>
    <w:p w14:paraId="28C9704A" w14:textId="43154B51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 1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2 komplety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P = </w:t>
      </w:r>
      <w:r w:rsidRPr="00F53F5F">
        <w:rPr>
          <w:rFonts w:ascii="Arial" w:hAnsi="Arial" w:cs="Arial"/>
        </w:rPr>
        <w:t>5 punktów</w:t>
      </w:r>
      <w:r>
        <w:rPr>
          <w:rFonts w:ascii="Arial" w:hAnsi="Arial" w:cs="Arial"/>
        </w:rPr>
        <w:t>,</w:t>
      </w:r>
    </w:p>
    <w:p w14:paraId="52E57CD5" w14:textId="40DA9497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 3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4 komplety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P = 10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061F4A89" w14:textId="702A5C85" w:rsidR="00F87370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komplety i więcej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P = </w:t>
      </w:r>
      <w:r w:rsidRPr="00F53F5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.</w:t>
      </w:r>
    </w:p>
    <w:p w14:paraId="797B2363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projektanta podając ilość wykonanych kompletów powyżej opisanej dokumentacji.</w:t>
      </w:r>
    </w:p>
    <w:p w14:paraId="040980F5" w14:textId="795B8AF2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projektanta</w:t>
      </w:r>
      <w:r w:rsidRPr="00734DE4">
        <w:t>, zamawiający uzna,</w:t>
      </w:r>
      <w:r>
        <w:t xml:space="preserve"> że wykonawca zapewnia projektanta, który nie wykonał żadnej dokumentacji technicznej w we wskazanym w pkt 9  zakresie</w:t>
      </w:r>
      <w:r w:rsidRPr="00734DE4">
        <w:t>.</w:t>
      </w:r>
    </w:p>
    <w:p w14:paraId="7BA4F15F" w14:textId="77777777" w:rsidR="00F87370" w:rsidRPr="003E7569" w:rsidRDefault="00F87370" w:rsidP="00F87370">
      <w:pPr>
        <w:pStyle w:val="Styl1"/>
        <w:numPr>
          <w:ilvl w:val="0"/>
          <w:numId w:val="4"/>
        </w:numPr>
      </w:pPr>
      <w:r w:rsidRPr="00734DE4">
        <w:t>Zamawiający wybierze jako najkorzystniejszą ofertę, która uzyska łącznie największą ilość punktów, zgodnie ze wzore</w:t>
      </w:r>
      <w:r>
        <w:t>m</w:t>
      </w:r>
      <w:r w:rsidRPr="00734DE4">
        <w:t>:</w:t>
      </w:r>
      <w:r w:rsidRPr="00734DE4">
        <w:rPr>
          <w:b/>
        </w:rPr>
        <w:t xml:space="preserve"> O=C+G</w:t>
      </w:r>
      <w:r>
        <w:rPr>
          <w:b/>
        </w:rPr>
        <w:t>+P+D</w:t>
      </w:r>
      <w:r w:rsidRPr="00734DE4">
        <w:rPr>
          <w:b/>
        </w:rPr>
        <w:t>.</w:t>
      </w:r>
    </w:p>
    <w:p w14:paraId="7FEFA76C" w14:textId="5BFE4A32" w:rsidR="00BB5FC6" w:rsidRPr="00F67CEF" w:rsidRDefault="00F87370" w:rsidP="00F87370">
      <w:pPr>
        <w:pStyle w:val="Styl1"/>
        <w:numPr>
          <w:ilvl w:val="0"/>
          <w:numId w:val="4"/>
        </w:numPr>
      </w:pPr>
      <w:r w:rsidRPr="003E7569">
        <w:rPr>
          <w:b/>
          <w:bCs/>
        </w:rPr>
        <w:t>Uwaga:</w:t>
      </w:r>
      <w:r w:rsidRPr="003E7569">
        <w:rPr>
          <w:bCs/>
          <w:u w:val="single"/>
        </w:rPr>
        <w:t xml:space="preserve"> </w:t>
      </w:r>
      <w:r w:rsidRPr="003E7569">
        <w:rPr>
          <w:u w:val="single"/>
        </w:rPr>
        <w:t>Na potwierdzenie spełnienia kryteri</w:t>
      </w:r>
      <w:r>
        <w:rPr>
          <w:u w:val="single"/>
        </w:rPr>
        <w:t xml:space="preserve">um opisanego w pkt. 5 </w:t>
      </w:r>
      <w:r w:rsidRPr="003E7569">
        <w:rPr>
          <w:u w:val="single"/>
        </w:rPr>
        <w:t xml:space="preserve">(Kryterium doświadczenie kierownika budowy) </w:t>
      </w:r>
      <w:r>
        <w:rPr>
          <w:u w:val="single"/>
        </w:rPr>
        <w:t xml:space="preserve">oraz w pkt 6 (doświadczenie projektanta) </w:t>
      </w:r>
      <w:r w:rsidRPr="003E7569">
        <w:rPr>
          <w:u w:val="single"/>
        </w:rPr>
        <w:t xml:space="preserve">do oferty dołączyć należy wykaz osób skierowanych przez wykonawcę do realizacji zamówienia publicznego, wraz z informacjami na temat ich kalifikacji zawodowych, uprawnień, doświadczenia niezbędnych do wykonania zamówienia, a także zakresu wykonywanych przez nie czynności wraz z informacją o podstawie do dysponowania tymi osobami. </w:t>
      </w:r>
      <w:r w:rsidRPr="003E7569">
        <w:rPr>
          <w:b/>
        </w:rPr>
        <w:t>Dokument ten musi być załączony przez Wykonawcę przy ofercie gdyż nie stanowi dokumentu składanego w celu spełnienia warunku udziału w postępowaniu, wobec czego art. 128 ust. 1 ustawy Prawo zamówień publicznych nie ma zastosowania</w:t>
      </w:r>
      <w:bookmarkEnd w:id="36"/>
      <w:r>
        <w:rPr>
          <w:b/>
        </w:rPr>
        <w:t>.</w:t>
      </w:r>
    </w:p>
    <w:bookmarkEnd w:id="35"/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37528B8C" w14:textId="4D59B0AE" w:rsidR="00DA0A04" w:rsidRPr="00F67CEF" w:rsidRDefault="00DA0A04" w:rsidP="00DA0A04">
      <w:pPr>
        <w:pStyle w:val="Styl1"/>
      </w:pPr>
      <w:r w:rsidRPr="00DA0A04">
        <w:t xml:space="preserve">Przed zawarciem umowy wykonawca, którego oferta zostanie wybrana jako najkorzystniejsza zobowiązany będzie </w:t>
      </w:r>
      <w:r w:rsidRPr="00DA0A04">
        <w:rPr>
          <w:b/>
          <w:bCs/>
        </w:rPr>
        <w:t>przedłożyć zamawiającemu kserokopie uprawnień oraz aktualne zaświadczenia potwierdzające wpis na listę członków właściwej izby samorządu zawodowego</w:t>
      </w:r>
      <w:r w:rsidRPr="00DA0A04">
        <w:t xml:space="preserve"> osób podanych w „Wykazie osób skierowanych przez Wykonawcę do realizacji zamówienia”.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może być wnoszone w formach określonych w art. 450 ust. 1 ustawy Pzp.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r w:rsidRPr="00734DE4">
        <w:rPr>
          <w:lang w:eastAsia="en-US"/>
        </w:rPr>
        <w:t>Pzp,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6A51008F" w14:textId="77777777" w:rsidR="0018159E" w:rsidRDefault="0018159E" w:rsidP="0018159E">
      <w:pPr>
        <w:pStyle w:val="Styl1"/>
        <w:numPr>
          <w:ilvl w:val="0"/>
          <w:numId w:val="27"/>
        </w:numPr>
      </w:pPr>
      <w: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 xml:space="preserve">W przypadku zamówień, które mają być wykonane w miejscu podlegającym bezpośredniemu nadzorowi zamawiającego, zamawiający żąda, aby przed przystąpieniem do wykonania zamówienia wykonawca podał </w:t>
      </w:r>
      <w:r>
        <w:lastRenderedPageBreak/>
        <w:t>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Default="0018159E" w:rsidP="0018159E">
      <w:pPr>
        <w:pStyle w:val="Styl1"/>
        <w:numPr>
          <w:ilvl w:val="0"/>
          <w:numId w:val="27"/>
        </w:numPr>
      </w:pPr>
      <w:r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Default="0018159E" w:rsidP="0018159E">
      <w:pPr>
        <w:pStyle w:val="Styl1"/>
        <w:numPr>
          <w:ilvl w:val="0"/>
          <w:numId w:val="27"/>
        </w:numPr>
      </w:pPr>
      <w: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(t.j. Dz. U. z 2013r. poz. 1129) nie stanowi części dokumentacji projektowej, w związku z czym nie stanowi podstawy do opisu przedmiotu zamówienia i złożenia oferty.</w:t>
      </w:r>
    </w:p>
    <w:p w14:paraId="1DF42086" w14:textId="48E1643B" w:rsidR="00DD4BEA" w:rsidRPr="00DB06D2" w:rsidRDefault="00DD4BEA" w:rsidP="002A1517">
      <w:pPr>
        <w:pStyle w:val="Styl1"/>
        <w:numPr>
          <w:ilvl w:val="0"/>
          <w:numId w:val="27"/>
        </w:numPr>
        <w:rPr>
          <w:b/>
          <w:bCs/>
        </w:rPr>
      </w:pPr>
      <w:r w:rsidRPr="00DB06D2">
        <w:rPr>
          <w:b/>
          <w:bCs/>
        </w:rPr>
        <w:t xml:space="preserve">Zamawiający </w:t>
      </w:r>
      <w:r w:rsidR="00DC691C">
        <w:rPr>
          <w:b/>
          <w:bCs/>
        </w:rPr>
        <w:t>zaleca dokonanie wizji lokalnej</w:t>
      </w:r>
      <w:r w:rsidRPr="00DB06D2">
        <w:rPr>
          <w:b/>
          <w:bCs/>
        </w:rPr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Pzp,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Pzp</w:t>
      </w:r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</w:t>
      </w:r>
      <w:r w:rsidRPr="00F67CEF">
        <w:lastRenderedPageBreak/>
        <w:t>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F67CEF">
        <w:lastRenderedPageBreak/>
        <w:t>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3E27697E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 w:rsidR="007D4828" w:rsidRPr="00F67CEF">
        <w:t>w</w:t>
      </w:r>
      <w:r w:rsidR="007D4828">
        <w:t>y</w:t>
      </w:r>
      <w:r w:rsidR="007D4828" w:rsidRPr="00F67CEF">
        <w:t>łączeń</w:t>
      </w:r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5997A96B" w14:textId="2C316730" w:rsidR="0020378C" w:rsidRPr="00F67CEF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  <w:r w:rsidR="00AF18B8">
        <w:rPr>
          <w:sz w:val="18"/>
          <w:szCs w:val="18"/>
        </w:rPr>
        <w:t xml:space="preserve"> (wraz z form. cenowym)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7" w:name="_Hlk61802167"/>
      <w:r w:rsidRPr="00F67CEF">
        <w:rPr>
          <w:sz w:val="18"/>
          <w:szCs w:val="18"/>
        </w:rPr>
        <w:t xml:space="preserve">Wzór oświadczenia </w:t>
      </w:r>
      <w:bookmarkStart w:id="38" w:name="_Hlk61787951"/>
      <w:bookmarkEnd w:id="37"/>
      <w:r w:rsidRPr="00F67CEF">
        <w:rPr>
          <w:sz w:val="18"/>
          <w:szCs w:val="18"/>
        </w:rPr>
        <w:t>o niepodleganiu wykluczeniu z postępowania</w:t>
      </w:r>
      <w:bookmarkEnd w:id="38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 o aktualności informacji zawartych w oświadczeniu, o którym mowa w art. 125 ust. 1 ustawy Pzp.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039B320E" w14:textId="110576D9" w:rsidR="00DA0A04" w:rsidRPr="00F67CEF" w:rsidRDefault="00DA0A04" w:rsidP="002A1517">
      <w:pPr>
        <w:pStyle w:val="Styl1"/>
        <w:rPr>
          <w:sz w:val="18"/>
          <w:szCs w:val="18"/>
        </w:rPr>
      </w:pPr>
      <w:r w:rsidRPr="00734DE4">
        <w:rPr>
          <w:sz w:val="18"/>
        </w:rPr>
        <w:t xml:space="preserve">Wzór wykazu </w:t>
      </w:r>
      <w:r>
        <w:rPr>
          <w:sz w:val="18"/>
        </w:rPr>
        <w:t>osób.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634398A7" w:rsidR="00AF18B8" w:rsidRPr="00DA0A04" w:rsidRDefault="00DA0A04" w:rsidP="00E32A49">
      <w:pPr>
        <w:pStyle w:val="Styl1"/>
        <w:rPr>
          <w:rFonts w:eastAsia="Lucida Sans Unicode"/>
          <w:sz w:val="18"/>
          <w:szCs w:val="18"/>
          <w:lang w:eastAsia="en-US"/>
        </w:rPr>
      </w:pPr>
      <w:r w:rsidRPr="00DA0A04">
        <w:rPr>
          <w:rFonts w:eastAsia="Lucida Sans Unicode"/>
          <w:sz w:val="18"/>
          <w:szCs w:val="18"/>
          <w:lang w:eastAsia="en-US"/>
        </w:rPr>
        <w:t>Program Funkcjonaln</w:t>
      </w:r>
      <w:r>
        <w:rPr>
          <w:rFonts w:eastAsia="Lucida Sans Unicode"/>
          <w:sz w:val="18"/>
          <w:szCs w:val="18"/>
          <w:lang w:eastAsia="en-US"/>
        </w:rPr>
        <w:t>o</w:t>
      </w:r>
      <w:r w:rsidRPr="00DA0A04">
        <w:rPr>
          <w:rFonts w:eastAsia="Lucida Sans Unicode"/>
          <w:sz w:val="18"/>
          <w:szCs w:val="18"/>
          <w:lang w:eastAsia="en-US"/>
        </w:rPr>
        <w:t xml:space="preserve"> Użytkowy </w:t>
      </w:r>
      <w:r w:rsidR="00AF18B8" w:rsidRPr="00DA0A04">
        <w:rPr>
          <w:rFonts w:eastAsia="Lucida Sans Unicode"/>
          <w:sz w:val="18"/>
          <w:szCs w:val="18"/>
          <w:lang w:eastAsia="en-US"/>
        </w:rPr>
        <w:t>z załącznikami</w:t>
      </w:r>
      <w:r w:rsidR="00BD2DF0" w:rsidRPr="00DA0A04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1C7710CE" w:rsidR="00F06D43" w:rsidRPr="00F67CEF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8A344D">
        <w:rPr>
          <w:rFonts w:ascii="Arial" w:hAnsi="Arial" w:cs="Arial"/>
          <w:noProof/>
        </w:rPr>
        <w:t>28</w:t>
      </w:r>
      <w:r w:rsidR="00DA0A04">
        <w:rPr>
          <w:rFonts w:ascii="Arial" w:hAnsi="Arial" w:cs="Arial"/>
          <w:noProof/>
        </w:rPr>
        <w:t>.07</w:t>
      </w:r>
      <w:r w:rsidR="006F5707">
        <w:rPr>
          <w:rFonts w:ascii="Arial" w:hAnsi="Arial" w:cs="Arial"/>
          <w:noProof/>
        </w:rPr>
        <w:t>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9" w:name="_Hlk95148640"/>
      <w:bookmarkEnd w:id="39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3DFC" w14:textId="77777777" w:rsidR="00776589" w:rsidRDefault="00776589">
      <w:r>
        <w:separator/>
      </w:r>
    </w:p>
  </w:endnote>
  <w:endnote w:type="continuationSeparator" w:id="0">
    <w:p w14:paraId="2CF39EBC" w14:textId="77777777" w:rsidR="00776589" w:rsidRDefault="0077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CBBA" w14:textId="77777777" w:rsidR="00776589" w:rsidRDefault="00776589">
      <w:r>
        <w:separator/>
      </w:r>
    </w:p>
  </w:footnote>
  <w:footnote w:type="continuationSeparator" w:id="0">
    <w:p w14:paraId="01038E6E" w14:textId="77777777" w:rsidR="00776589" w:rsidRDefault="0077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255FAA" w14:paraId="789C34E6" w14:textId="77777777" w:rsidTr="00255FAA">
      <w:trPr>
        <w:jc w:val="center"/>
      </w:trPr>
      <w:tc>
        <w:tcPr>
          <w:tcW w:w="2501" w:type="dxa"/>
          <w:hideMark/>
        </w:tcPr>
        <w:p w14:paraId="117634A2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0F27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2038044" r:id="rId2"/>
            </w:object>
          </w:r>
        </w:p>
      </w:tc>
      <w:tc>
        <w:tcPr>
          <w:tcW w:w="2501" w:type="dxa"/>
          <w:hideMark/>
        </w:tcPr>
        <w:p w14:paraId="7ECDEAC3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FC45EFA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2038045" r:id="rId4"/>
            </w:object>
          </w:r>
        </w:p>
      </w:tc>
      <w:tc>
        <w:tcPr>
          <w:tcW w:w="2501" w:type="dxa"/>
          <w:hideMark/>
        </w:tcPr>
        <w:p w14:paraId="3CB438B8" w14:textId="6BF6BC33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B7C977A" wp14:editId="47824751">
                <wp:extent cx="1200150" cy="428625"/>
                <wp:effectExtent l="0" t="0" r="0" b="9525"/>
                <wp:docPr id="148016891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F0CAAD" w14:textId="416E9B2A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5CC1609" wp14:editId="2AB6C9F6">
                <wp:extent cx="561975" cy="428625"/>
                <wp:effectExtent l="0" t="0" r="9525" b="9525"/>
                <wp:docPr id="12320878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5FAA" w14:paraId="549FDB50" w14:textId="77777777" w:rsidTr="00255FAA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A64488" w14:textId="77777777" w:rsidR="00255FAA" w:rsidRDefault="00255FAA" w:rsidP="00255FAA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13AD77F6" w14:textId="77777777" w:rsidR="00255FAA" w:rsidRDefault="00255FAA" w:rsidP="00255FAA">
    <w:pPr>
      <w:pStyle w:val="Nagwek"/>
      <w:jc w:val="center"/>
      <w:rPr>
        <w:rFonts w:asciiTheme="minorHAnsi" w:eastAsia="Times New Roman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6"/>
  </w:num>
  <w:num w:numId="3" w16cid:durableId="138885178">
    <w:abstractNumId w:val="9"/>
  </w:num>
  <w:num w:numId="4" w16cid:durableId="1864321586">
    <w:abstractNumId w:val="5"/>
  </w:num>
  <w:num w:numId="5" w16cid:durableId="1981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7"/>
  </w:num>
  <w:num w:numId="20" w16cid:durableId="614024541">
    <w:abstractNumId w:val="3"/>
  </w:num>
  <w:num w:numId="21" w16cid:durableId="713652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5"/>
  </w:num>
  <w:num w:numId="26" w16cid:durableId="21543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4"/>
  </w:num>
  <w:num w:numId="36" w16cid:durableId="1647662415">
    <w:abstractNumId w:val="0"/>
  </w:num>
  <w:num w:numId="37" w16cid:durableId="258225493">
    <w:abstractNumId w:val="2"/>
  </w:num>
  <w:num w:numId="38" w16cid:durableId="74869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9099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BF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5FAA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11B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AFE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586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044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5F61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69C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A4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62C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6589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828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D7F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BE5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44D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061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5BA9"/>
    <w:rsid w:val="009D60AA"/>
    <w:rsid w:val="009D7784"/>
    <w:rsid w:val="009D7861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6C3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078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985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9E6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67D0F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7BE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04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91C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297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A09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370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7178</Words>
  <Characters>43072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50150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29</cp:revision>
  <cp:lastPrinted>2020-12-14T12:30:00Z</cp:lastPrinted>
  <dcterms:created xsi:type="dcterms:W3CDTF">2023-03-30T13:08:00Z</dcterms:created>
  <dcterms:modified xsi:type="dcterms:W3CDTF">2023-07-28T06:28:00Z</dcterms:modified>
</cp:coreProperties>
</file>