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7DFA2922" w14:textId="2D746E69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D76EFB" w:rsidRPr="00D76E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530CC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serwer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76A7FB17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530CC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22.</w:t>
            </w:r>
            <w:r w:rsidR="00530CC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202</w:t>
            </w:r>
            <w:r w:rsidR="004A69B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</w:t>
            </w:r>
          </w:p>
        </w:tc>
      </w:tr>
    </w:tbl>
    <w:p w14:paraId="72CA9DE6" w14:textId="35B86AC5" w:rsidR="00102AA4" w:rsidRDefault="00102AA4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BE75F7" w14:textId="633BE8D4" w:rsidR="0094570C" w:rsidRDefault="0094570C" w:rsidP="0094570C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5FFC4A" w14:textId="595E4C3E" w:rsidR="00E52A0D" w:rsidRDefault="00E52A0D" w:rsidP="0094570C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9FCA8E" w14:textId="77777777" w:rsidR="00E52A0D" w:rsidRPr="00E054BA" w:rsidRDefault="00E52A0D" w:rsidP="0094570C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0A845A9" w14:textId="77777777" w:rsidR="004D0275" w:rsidRDefault="004D0275" w:rsidP="004D0275">
      <w:pPr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2853BC3" w14:textId="77777777" w:rsidR="004D0275" w:rsidRDefault="004D0275" w:rsidP="004D0275">
      <w:pPr>
        <w:spacing w:before="120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C32EB">
        <w:rPr>
          <w:rFonts w:eastAsia="Calibri" w:cs="Arial"/>
          <w:b/>
          <w:color w:val="222A35" w:themeColor="text2" w:themeShade="80"/>
          <w:szCs w:val="20"/>
          <w:lang w:eastAsia="pl-PL"/>
        </w:rPr>
        <w:t>dr Katarzyna Trynda, prof. UŚ</w:t>
      </w:r>
    </w:p>
    <w:p w14:paraId="3C5279BD" w14:textId="77777777" w:rsidR="004D0275" w:rsidRDefault="004D0275" w:rsidP="004D0275">
      <w:pPr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C32EB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Prorektor ds. kształcenia i studentów </w:t>
      </w:r>
    </w:p>
    <w:p w14:paraId="43150F97" w14:textId="77777777" w:rsidR="004D0275" w:rsidRPr="00EC32EB" w:rsidRDefault="004D0275" w:rsidP="004D0275">
      <w:pPr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C32EB">
        <w:rPr>
          <w:rFonts w:eastAsia="Calibri" w:cs="Arial"/>
          <w:b/>
          <w:color w:val="222A35" w:themeColor="text2" w:themeShade="80"/>
          <w:szCs w:val="20"/>
          <w:lang w:eastAsia="pl-PL"/>
        </w:rPr>
        <w:t>Uniwersytetu Śląskiego w Katowicach</w:t>
      </w:r>
    </w:p>
    <w:p w14:paraId="09128007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1B82FCF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00F7656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2804B6A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40C0D1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6F08C65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1546CCD8" w:rsidR="00102AA4" w:rsidRDefault="00561D23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Katowice, </w:t>
      </w:r>
      <w:r w:rsidR="00072CFF">
        <w:rPr>
          <w:rFonts w:eastAsia="Calibri" w:cs="Arial"/>
          <w:b/>
          <w:color w:val="222A35" w:themeColor="text2" w:themeShade="80"/>
          <w:szCs w:val="20"/>
          <w:lang w:eastAsia="pl-PL"/>
        </w:rPr>
        <w:t>lipiec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202</w:t>
      </w:r>
      <w:r w:rsidR="00072CFF">
        <w:rPr>
          <w:rFonts w:eastAsia="Calibri" w:cs="Arial"/>
          <w:b/>
          <w:color w:val="222A35" w:themeColor="text2" w:themeShade="80"/>
          <w:szCs w:val="20"/>
          <w:lang w:eastAsia="pl-PL"/>
        </w:rPr>
        <w:t>3</w:t>
      </w:r>
    </w:p>
    <w:p w14:paraId="582D3F40" w14:textId="77777777" w:rsidR="00E52A0D" w:rsidRDefault="00E52A0D" w:rsidP="00AF09DE">
      <w:pPr>
        <w:spacing w:before="480" w:after="120"/>
        <w:ind w:left="0" w:right="282" w:firstLine="0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BA54DF" w14:textId="745A89ED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t>Spis treści</w:t>
      </w:r>
    </w:p>
    <w:p w14:paraId="283BF312" w14:textId="5C581A8C" w:rsidR="0094570C" w:rsidRPr="0094570C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1577861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E8C1EC" w14:textId="037B63CF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264400B" w14:textId="0C709668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AF9C083" w14:textId="4B04F514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5B2541" w14:textId="4D1C2AC3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11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B0E2EA" w14:textId="1BB990E5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11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FDFC9A" w14:textId="270BF00B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1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_Toc115778621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14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D098BA" w14:textId="2B17CE5E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2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_Toc115778622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14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801048" w14:textId="4A82D2E2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3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_Toc115778623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17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FFD659B" w14:textId="0E8669F0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4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_Toc115778624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2FE824" w14:textId="392D7F71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E97815" w14:textId="302BB650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B090A6" w14:textId="20DE614D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AA1408" w14:textId="7AE44BBD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5CF6E0B" w14:textId="6BC07C75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BD6E7F" w14:textId="79124B33" w:rsidR="0094570C" w:rsidRPr="0094570C" w:rsidRDefault="00462D15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3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_Toc115778630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BD1181">
          <w:rPr>
            <w:rFonts w:ascii="Bahnschrift" w:hAnsi="Bahnschrift"/>
            <w:noProof/>
            <w:webHidden/>
            <w:sz w:val="20"/>
          </w:rPr>
          <w:t>27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0C6560B7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94570C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D4FFE">
        <w:rPr>
          <w:rFonts w:cs="Arial"/>
          <w:color w:val="222A35" w:themeColor="text2" w:themeShade="80"/>
          <w:szCs w:val="20"/>
        </w:rPr>
        <w:t>Formularz oferty (wzór)..................................................................................</w:t>
      </w:r>
      <w:r w:rsidR="00F9784B" w:rsidRPr="008D4FFE">
        <w:rPr>
          <w:rFonts w:cs="Arial"/>
          <w:color w:val="222A35" w:themeColor="text2" w:themeShade="80"/>
          <w:szCs w:val="20"/>
        </w:rPr>
        <w:t>.........</w:t>
      </w:r>
      <w:r w:rsidR="008E2163" w:rsidRPr="008D4FFE">
        <w:rPr>
          <w:rFonts w:cs="Arial"/>
          <w:color w:val="222A35" w:themeColor="text2" w:themeShade="80"/>
          <w:szCs w:val="20"/>
        </w:rPr>
        <w:t>......</w:t>
      </w:r>
      <w:r w:rsidRPr="008D4FFE">
        <w:rPr>
          <w:rFonts w:cs="Arial"/>
          <w:color w:val="222A35" w:themeColor="text2" w:themeShade="80"/>
          <w:szCs w:val="20"/>
        </w:rPr>
        <w:t>................................</w:t>
      </w:r>
      <w:r w:rsidRPr="00E054BA">
        <w:rPr>
          <w:rFonts w:cs="Arial"/>
          <w:color w:val="222A35" w:themeColor="text2" w:themeShade="80"/>
          <w:szCs w:val="20"/>
        </w:rPr>
        <w:t>załącznik nr 1A</w:t>
      </w:r>
    </w:p>
    <w:p w14:paraId="4FDA6F05" w14:textId="6E4354BE" w:rsidR="00844EF0" w:rsidRPr="00844EF0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1B1726D6" w:rsidR="00F85C46" w:rsidRPr="00E054BA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</w:t>
      </w:r>
      <w:r w:rsidR="00D76EFB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102AA4">
        <w:rPr>
          <w:rFonts w:cs="Arial"/>
          <w:color w:val="222A35" w:themeColor="text2" w:themeShade="80"/>
          <w:szCs w:val="20"/>
        </w:rPr>
        <w:t>……..</w:t>
      </w:r>
      <w:r w:rsidR="002D1BDD">
        <w:rPr>
          <w:rFonts w:cs="Arial"/>
          <w:color w:val="222A35" w:themeColor="text2" w:themeShade="80"/>
          <w:szCs w:val="20"/>
        </w:rPr>
        <w:t>...załącznik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08CEC6F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F776F5">
      <w:pPr>
        <w:pStyle w:val="Nagwek1"/>
      </w:pPr>
      <w:bookmarkStart w:id="3" w:name="_Toc115778615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139F9E6C" w:rsidR="00F85C46" w:rsidRPr="00382315" w:rsidRDefault="009F5C6B" w:rsidP="000560F0">
      <w:pPr>
        <w:pStyle w:val="Nagwek2"/>
        <w:keepNext w:val="0"/>
        <w:widowControl w:val="0"/>
        <w:spacing w:after="0" w:line="360" w:lineRule="auto"/>
        <w:contextualSpacing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F776F5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5753F8D3" w14:textId="3BE14D19" w:rsidR="00F85C46" w:rsidRPr="00103256" w:rsidRDefault="00402900" w:rsidP="00F04D75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ul. Bankowa 12, </w:t>
      </w:r>
      <w:r w:rsidR="00F85C46" w:rsidRPr="00103256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103256" w:rsidRDefault="009F5C6B" w:rsidP="00F776F5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</w:t>
      </w:r>
      <w:r w:rsidR="00402900">
        <w:rPr>
          <w:rFonts w:cs="Arial"/>
          <w:szCs w:val="20"/>
          <w:lang w:eastAsia="pl-PL"/>
        </w:rPr>
        <w:t>/</w:t>
      </w:r>
      <w:r w:rsidRPr="00103256">
        <w:rPr>
          <w:rFonts w:cs="Arial"/>
          <w:szCs w:val="20"/>
          <w:lang w:eastAsia="pl-PL"/>
        </w:rPr>
        <w:t xml:space="preserve"> 359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 xml:space="preserve"> 13 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>34</w:t>
      </w:r>
    </w:p>
    <w:p w14:paraId="4B7DA851" w14:textId="35D9558E" w:rsidR="00F85C46" w:rsidRPr="007E603B" w:rsidRDefault="00F85C46" w:rsidP="00F776F5">
      <w:pPr>
        <w:widowControl w:val="0"/>
        <w:tabs>
          <w:tab w:val="right" w:pos="9072"/>
        </w:tabs>
        <w:rPr>
          <w:rFonts w:cs="Arial"/>
          <w:color w:val="222A35" w:themeColor="text2" w:themeShade="80"/>
          <w:szCs w:val="20"/>
          <w:lang w:val="en-US" w:eastAsia="pl-PL"/>
        </w:rPr>
      </w:pPr>
      <w:r w:rsidRPr="007E603B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E603B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9F5C6B" w:rsidRPr="007E603B">
        <w:rPr>
          <w:rFonts w:cs="Arial"/>
          <w:color w:val="2E74B5" w:themeColor="accent5" w:themeShade="BF"/>
          <w:szCs w:val="20"/>
          <w:lang w:val="en-US" w:eastAsia="pl-PL"/>
        </w:rPr>
        <w:t xml:space="preserve"> </w:t>
      </w:r>
    </w:p>
    <w:p w14:paraId="712730DE" w14:textId="1786122A" w:rsidR="007736C6" w:rsidRDefault="00F85C46" w:rsidP="00F12822">
      <w:pPr>
        <w:widowControl w:val="0"/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F12822">
      <w:pPr>
        <w:widowControl w:val="0"/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1291E8C" w14:textId="4D579451" w:rsidR="00F85C46" w:rsidRPr="00103256" w:rsidRDefault="00F85C46" w:rsidP="00F12822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4E36F7">
        <w:rPr>
          <w:rFonts w:cs="Arial"/>
          <w:szCs w:val="20"/>
          <w:lang w:eastAsia="pl-PL"/>
        </w:rPr>
        <w:t xml:space="preserve">, </w:t>
      </w: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F12822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F12822">
      <w:pPr>
        <w:pStyle w:val="Nagwek2"/>
        <w:keepNext w:val="0"/>
        <w:widowControl w:val="0"/>
        <w:spacing w:before="0" w:after="0" w:line="360" w:lineRule="auto"/>
        <w:contextualSpacing w:val="0"/>
      </w:pPr>
      <w:r w:rsidRPr="00382315">
        <w:t>Tryb udzielenia zamówienia.</w:t>
      </w:r>
    </w:p>
    <w:p w14:paraId="5385CB41" w14:textId="3AA12FAC" w:rsidR="00384DA3" w:rsidRPr="00103256" w:rsidRDefault="00384DA3" w:rsidP="00F12822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234E63" w:rsidRPr="008D20BD">
        <w:rPr>
          <w:rFonts w:eastAsia="Calibri"/>
        </w:rPr>
        <w:t>Dz. U. 202</w:t>
      </w:r>
      <w:r w:rsidR="00D57BFA">
        <w:rPr>
          <w:rFonts w:eastAsia="Calibri"/>
        </w:rPr>
        <w:t>2</w:t>
      </w:r>
      <w:r w:rsidR="00234E63" w:rsidRPr="008D20BD">
        <w:rPr>
          <w:rFonts w:eastAsia="Calibri"/>
        </w:rPr>
        <w:t xml:space="preserve"> poz. </w:t>
      </w:r>
      <w:r w:rsidR="00D57BFA">
        <w:rPr>
          <w:rFonts w:eastAsia="Calibri"/>
        </w:rPr>
        <w:t>1710</w:t>
      </w:r>
      <w:r w:rsidR="00234E63">
        <w:rPr>
          <w:rFonts w:eastAsia="Calibri"/>
        </w:rPr>
        <w:t xml:space="preserve"> z późn. zm</w:t>
      </w:r>
      <w:r w:rsidRPr="00103256">
        <w:rPr>
          <w:rFonts w:eastAsia="Calibri"/>
        </w:rPr>
        <w:t>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6C81F04B" w:rsidR="00384DA3" w:rsidRPr="00103256" w:rsidRDefault="00384DA3" w:rsidP="00F12822">
      <w:pPr>
        <w:pStyle w:val="Nagwek3"/>
        <w:widowControl w:val="0"/>
        <w:ind w:left="851" w:hanging="284"/>
        <w:contextualSpacing w:val="0"/>
        <w:rPr>
          <w:rFonts w:eastAsia="Calibri"/>
          <w:b/>
        </w:rPr>
      </w:pPr>
      <w:r w:rsidRPr="00103256">
        <w:rPr>
          <w:lang w:eastAsia="pl-PL"/>
        </w:rPr>
        <w:t>Postępowanie jest prowadzone w trybie przetargu nieograniczonego o wartości zamówienia powyżej progu unijnego (powyżej 21</w:t>
      </w:r>
      <w:r w:rsidR="00921176">
        <w:rPr>
          <w:lang w:eastAsia="pl-PL"/>
        </w:rPr>
        <w:t>5</w:t>
      </w:r>
      <w:r w:rsidRPr="00103256">
        <w:rPr>
          <w:lang w:eastAsia="pl-PL"/>
        </w:rPr>
        <w:t> 000 euro)</w:t>
      </w:r>
      <w:r w:rsidR="00722392" w:rsidRPr="00103256">
        <w:rPr>
          <w:rFonts w:eastAsia="Calibri"/>
          <w:b/>
        </w:rPr>
        <w:t>;</w:t>
      </w:r>
    </w:p>
    <w:p w14:paraId="7EA922CD" w14:textId="7B659672" w:rsidR="00722392" w:rsidRPr="00103256" w:rsidRDefault="00722392" w:rsidP="00F12822">
      <w:pPr>
        <w:pStyle w:val="Nagwek3"/>
        <w:widowControl w:val="0"/>
        <w:ind w:left="851" w:hanging="284"/>
        <w:contextualSpacing w:val="0"/>
        <w:rPr>
          <w:rFonts w:eastAsia="Calibri"/>
          <w:b/>
        </w:rPr>
      </w:pPr>
      <w:r w:rsidRPr="00103256">
        <w:rPr>
          <w:rFonts w:eastAsia="Calibri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F12822">
      <w:pPr>
        <w:pStyle w:val="Nagwek2"/>
        <w:keepNext w:val="0"/>
        <w:widowControl w:val="0"/>
        <w:spacing w:before="0" w:after="0" w:line="360" w:lineRule="auto"/>
        <w:contextualSpacing w:val="0"/>
      </w:pPr>
      <w:r w:rsidRPr="00382315">
        <w:t>Oznaczenie postępowania.</w:t>
      </w:r>
    </w:p>
    <w:p w14:paraId="016662BD" w14:textId="4A8F396D" w:rsidR="00F85C46" w:rsidRPr="007E603B" w:rsidRDefault="00F85C46" w:rsidP="00F12822">
      <w:pPr>
        <w:pStyle w:val="Nagwek3"/>
        <w:widowControl w:val="0"/>
        <w:numPr>
          <w:ilvl w:val="0"/>
          <w:numId w:val="64"/>
        </w:numPr>
        <w:ind w:left="851" w:hanging="284"/>
        <w:contextualSpacing w:val="0"/>
        <w:rPr>
          <w:rFonts w:eastAsia="Calibri"/>
          <w:color w:val="222A35" w:themeColor="text2" w:themeShade="80"/>
          <w:szCs w:val="20"/>
        </w:rPr>
      </w:pPr>
      <w:r w:rsidRPr="007E603B">
        <w:rPr>
          <w:szCs w:val="20"/>
          <w:lang w:eastAsia="pl-PL"/>
        </w:rPr>
        <w:t>Nazwa zamówienia nadana przez Zamawiającego</w:t>
      </w:r>
      <w:r w:rsidRPr="007E603B">
        <w:rPr>
          <w:color w:val="222A35" w:themeColor="text2" w:themeShade="80"/>
          <w:szCs w:val="20"/>
          <w:lang w:eastAsia="pl-PL"/>
        </w:rPr>
        <w:t>: „</w:t>
      </w:r>
      <w:r w:rsidR="00D76EFB" w:rsidRPr="00D76EFB">
        <w:rPr>
          <w:b/>
          <w:color w:val="222A35" w:themeColor="text2" w:themeShade="80"/>
          <w:szCs w:val="20"/>
          <w:lang w:eastAsia="pl-PL"/>
        </w:rPr>
        <w:t xml:space="preserve">Dostawa </w:t>
      </w:r>
      <w:r w:rsidR="00530CC3">
        <w:rPr>
          <w:b/>
          <w:color w:val="222A35" w:themeColor="text2" w:themeShade="80"/>
          <w:szCs w:val="20"/>
          <w:lang w:eastAsia="pl-PL"/>
        </w:rPr>
        <w:t>serwer</w:t>
      </w:r>
      <w:r w:rsidR="00DF75D4">
        <w:rPr>
          <w:b/>
          <w:color w:val="222A35" w:themeColor="text2" w:themeShade="80"/>
          <w:szCs w:val="20"/>
          <w:lang w:eastAsia="pl-PL"/>
        </w:rPr>
        <w:t>ów</w:t>
      </w:r>
      <w:r w:rsidR="00103256" w:rsidRPr="007E603B">
        <w:rPr>
          <w:rFonts w:eastAsia="Calibri"/>
          <w:color w:val="222A35" w:themeColor="text2" w:themeShade="80"/>
          <w:szCs w:val="20"/>
        </w:rPr>
        <w:t>”;</w:t>
      </w:r>
    </w:p>
    <w:p w14:paraId="626E6FFD" w14:textId="08F6E6FF" w:rsidR="003B5F02" w:rsidRDefault="00F85C46" w:rsidP="00F12822">
      <w:pPr>
        <w:pStyle w:val="Nagwek3"/>
        <w:widowControl w:val="0"/>
        <w:ind w:left="851" w:hanging="284"/>
        <w:contextualSpacing w:val="0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226310" w:rsidRPr="009F3618">
        <w:rPr>
          <w:b/>
          <w:color w:val="222A35" w:themeColor="text2" w:themeShade="80"/>
          <w:lang w:eastAsia="pl-PL"/>
        </w:rPr>
        <w:t>DZP.38</w:t>
      </w:r>
      <w:r w:rsidR="00DF75D4">
        <w:rPr>
          <w:b/>
          <w:color w:val="222A35" w:themeColor="text2" w:themeShade="80"/>
          <w:lang w:eastAsia="pl-PL"/>
        </w:rPr>
        <w:t>2.2.22</w:t>
      </w:r>
      <w:r w:rsidR="00530CC3">
        <w:rPr>
          <w:b/>
          <w:color w:val="222A35" w:themeColor="text2" w:themeShade="80"/>
          <w:lang w:eastAsia="pl-PL"/>
        </w:rPr>
        <w:t>.202</w:t>
      </w:r>
      <w:r w:rsidR="00DF75D4">
        <w:rPr>
          <w:b/>
          <w:color w:val="222A35" w:themeColor="text2" w:themeShade="80"/>
          <w:lang w:eastAsia="pl-PL"/>
        </w:rPr>
        <w:t>3.</w:t>
      </w:r>
      <w:r w:rsidRPr="009F3618">
        <w:rPr>
          <w:color w:val="222A35" w:themeColor="text2" w:themeShade="80"/>
          <w:lang w:eastAsia="pl-PL"/>
        </w:rPr>
        <w:t xml:space="preserve"> </w:t>
      </w:r>
      <w:r w:rsidRPr="00103256">
        <w:rPr>
          <w:lang w:eastAsia="pl-PL"/>
        </w:rPr>
        <w:t xml:space="preserve">Wykonawcy </w:t>
      </w:r>
      <w:r w:rsidR="00561D23">
        <w:rPr>
          <w:lang w:eastAsia="pl-PL"/>
        </w:rPr>
        <w:t>po</w:t>
      </w:r>
      <w:r w:rsidRPr="00103256">
        <w:rPr>
          <w:lang w:eastAsia="pl-PL"/>
        </w:rPr>
        <w:t>winni w kontaktach z Zamawiającym powoływać się na ww. oznaczenie postępowania</w:t>
      </w:r>
      <w:r w:rsidR="003B5F02">
        <w:rPr>
          <w:lang w:eastAsia="pl-PL"/>
        </w:rPr>
        <w:t>.</w:t>
      </w:r>
    </w:p>
    <w:p w14:paraId="76736806" w14:textId="77777777" w:rsidR="00CA386A" w:rsidRPr="00434BB8" w:rsidRDefault="00CA386A" w:rsidP="00F12822">
      <w:pPr>
        <w:pStyle w:val="Nagwek3"/>
        <w:widowControl w:val="0"/>
        <w:ind w:left="851" w:hanging="284"/>
        <w:contextualSpacing w:val="0"/>
        <w:rPr>
          <w:lang w:eastAsia="pl-PL"/>
        </w:rPr>
      </w:pPr>
      <w:r w:rsidRPr="00434BB8">
        <w:t>Niniejsze postępowanie jest współfinansowane z projektu: „</w:t>
      </w:r>
      <w:r w:rsidRPr="00434BB8">
        <w:rPr>
          <w:b/>
        </w:rPr>
        <w:t>Jeden Uniwersytet – Wiele Możliwości. Program Zintegrowany</w:t>
      </w:r>
      <w:r w:rsidRPr="00434BB8">
        <w:t>”. Projekt, a tym samym przedmiot zamówienia jest współfinansowany ze środków Unii Europejskiej w ramach środków Europejskiego Funduszu Społecznego, Program Operacyjny Wiedza Edukacja Rozwój, Oś Priorytetowa III Szkolnictwo wyższe dla gospodarki i  rozwoju, Działanie 3.5. Kompleksowe programy szkół wyższych, o  numerze POWR.03.05.00-00-Z301/18, zwanego dalej Projektem.</w:t>
      </w:r>
    </w:p>
    <w:p w14:paraId="40AB1996" w14:textId="1C6752D2" w:rsidR="00F85C46" w:rsidRPr="00AF7FE4" w:rsidRDefault="00F85C46" w:rsidP="00F776F5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115778616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F12822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</w:pPr>
      <w:r w:rsidRPr="00382315">
        <w:t>Przedmiot zamówienia.</w:t>
      </w:r>
    </w:p>
    <w:p w14:paraId="05B63B5B" w14:textId="39F14952" w:rsidR="00B67954" w:rsidRPr="00B67954" w:rsidRDefault="00530CC3" w:rsidP="00F12822">
      <w:pPr>
        <w:widowControl w:val="0"/>
        <w:numPr>
          <w:ilvl w:val="0"/>
          <w:numId w:val="72"/>
        </w:numPr>
        <w:ind w:left="851" w:hanging="284"/>
        <w:rPr>
          <w:rFonts w:cs="Arial"/>
          <w:b/>
          <w:bCs/>
          <w:szCs w:val="20"/>
          <w:lang w:eastAsia="pl-PL"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Pr="007B378B">
        <w:rPr>
          <w:rFonts w:eastAsia="Calibri" w:cs="Arial"/>
          <w:b/>
          <w:szCs w:val="20"/>
        </w:rPr>
        <w:t>dostawa serwer</w:t>
      </w:r>
      <w:r w:rsidR="00B67954" w:rsidRPr="007B378B">
        <w:rPr>
          <w:rFonts w:eastAsia="Calibri" w:cs="Arial"/>
          <w:b/>
          <w:szCs w:val="20"/>
        </w:rPr>
        <w:t>ów</w:t>
      </w:r>
      <w:r w:rsidR="00B67954">
        <w:rPr>
          <w:rFonts w:eastAsia="Calibri" w:cs="Arial"/>
          <w:szCs w:val="20"/>
        </w:rPr>
        <w:t xml:space="preserve">, </w:t>
      </w:r>
      <w:r w:rsidRPr="009F1A4A">
        <w:rPr>
          <w:rFonts w:eastAsia="Calibri" w:cs="Arial"/>
          <w:szCs w:val="20"/>
        </w:rPr>
        <w:t>określon</w:t>
      </w:r>
      <w:r w:rsidR="00B67954">
        <w:rPr>
          <w:rFonts w:eastAsia="Calibri" w:cs="Arial"/>
          <w:szCs w:val="20"/>
        </w:rPr>
        <w:t>ych</w:t>
      </w:r>
      <w:r w:rsidRPr="009F1A4A">
        <w:rPr>
          <w:rFonts w:eastAsia="Calibri" w:cs="Arial"/>
          <w:szCs w:val="20"/>
        </w:rPr>
        <w:t xml:space="preserve"> w załączniku nr 2</w:t>
      </w:r>
      <w:r w:rsidR="00BE6872">
        <w:rPr>
          <w:rFonts w:eastAsia="Calibri" w:cs="Arial"/>
          <w:szCs w:val="20"/>
        </w:rPr>
        <w:t xml:space="preserve"> (A</w:t>
      </w:r>
      <w:r w:rsidR="007B378B">
        <w:rPr>
          <w:rFonts w:eastAsia="Calibri" w:cs="Arial"/>
          <w:szCs w:val="20"/>
        </w:rPr>
        <w:t>,</w:t>
      </w:r>
      <w:r w:rsidR="00BE6872">
        <w:rPr>
          <w:rFonts w:eastAsia="Calibri" w:cs="Arial"/>
          <w:szCs w:val="20"/>
        </w:rPr>
        <w:t>B)</w:t>
      </w:r>
      <w:r w:rsidRPr="009F1A4A">
        <w:rPr>
          <w:rFonts w:eastAsia="Calibri" w:cs="Arial"/>
          <w:szCs w:val="20"/>
        </w:rPr>
        <w:t xml:space="preserve"> do SWZ</w:t>
      </w:r>
      <w:r>
        <w:rPr>
          <w:rFonts w:eastAsia="Calibri" w:cs="Arial"/>
          <w:szCs w:val="20"/>
        </w:rPr>
        <w:t>, zwan</w:t>
      </w:r>
      <w:r w:rsidR="00B67954">
        <w:rPr>
          <w:rFonts w:eastAsia="Calibri" w:cs="Arial"/>
          <w:szCs w:val="20"/>
        </w:rPr>
        <w:t>ych</w:t>
      </w:r>
      <w:r>
        <w:rPr>
          <w:rFonts w:eastAsia="Calibri" w:cs="Arial"/>
          <w:szCs w:val="20"/>
        </w:rPr>
        <w:t xml:space="preserve"> dalej „sprzętem”.</w:t>
      </w:r>
      <w:r>
        <w:rPr>
          <w:rFonts w:eastAsia="Calibri" w:cs="Arial"/>
          <w:b/>
          <w:color w:val="222A35" w:themeColor="text2" w:themeShade="80"/>
          <w:szCs w:val="20"/>
        </w:rPr>
        <w:t xml:space="preserve"> </w:t>
      </w:r>
    </w:p>
    <w:p w14:paraId="70C7B7FA" w14:textId="46484293" w:rsidR="00224754" w:rsidRPr="003B4164" w:rsidRDefault="00530CC3" w:rsidP="00F12822">
      <w:pPr>
        <w:widowControl w:val="0"/>
        <w:numPr>
          <w:ilvl w:val="0"/>
          <w:numId w:val="72"/>
        </w:numPr>
        <w:ind w:left="851" w:hanging="284"/>
        <w:rPr>
          <w:rFonts w:cs="Arial"/>
          <w:b/>
          <w:bCs/>
          <w:szCs w:val="20"/>
          <w:lang w:eastAsia="pl-PL"/>
        </w:rPr>
      </w:pPr>
      <w:r>
        <w:rPr>
          <w:rFonts w:eastAsia="Calibri" w:cs="Arial"/>
          <w:szCs w:val="20"/>
        </w:rPr>
        <w:t xml:space="preserve">Oferowany sprzęt musi być fabrycznie nowy i nieużywany, pochodzić z bieżącej </w:t>
      </w:r>
      <w:r>
        <w:rPr>
          <w:noProof/>
        </w:rPr>
        <w:t xml:space="preserve">produkcji </w:t>
      </w:r>
      <w:bookmarkStart w:id="9" w:name="_Hlk62805908"/>
      <w:r w:rsidR="0065335E">
        <w:rPr>
          <w:noProof/>
        </w:rPr>
        <w:t xml:space="preserve">                        </w:t>
      </w:r>
      <w:r>
        <w:rPr>
          <w:noProof/>
        </w:rPr>
        <w:t xml:space="preserve">(rok produkcji: </w:t>
      </w:r>
      <w:r w:rsidR="00DE0E11">
        <w:rPr>
          <w:noProof/>
        </w:rPr>
        <w:t>nie sta</w:t>
      </w:r>
      <w:r w:rsidR="004D0D2E">
        <w:rPr>
          <w:noProof/>
        </w:rPr>
        <w:t>r</w:t>
      </w:r>
      <w:r w:rsidR="00DE0E11">
        <w:rPr>
          <w:noProof/>
        </w:rPr>
        <w:t xml:space="preserve">szy niż </w:t>
      </w:r>
      <w:r>
        <w:rPr>
          <w:noProof/>
        </w:rPr>
        <w:t>202</w:t>
      </w:r>
      <w:r w:rsidR="00B67954">
        <w:rPr>
          <w:noProof/>
        </w:rPr>
        <w:t>2</w:t>
      </w:r>
      <w:r>
        <w:rPr>
          <w:noProof/>
        </w:rPr>
        <w:t xml:space="preserve">), </w:t>
      </w:r>
      <w:r w:rsidR="005B735A" w:rsidRPr="005B735A">
        <w:rPr>
          <w:bCs/>
          <w:noProof/>
        </w:rPr>
        <w:t>mus</w:t>
      </w:r>
      <w:r w:rsidR="005B735A">
        <w:rPr>
          <w:bCs/>
          <w:noProof/>
        </w:rPr>
        <w:t>i</w:t>
      </w:r>
      <w:r w:rsidR="005B735A" w:rsidRPr="005B735A">
        <w:rPr>
          <w:bCs/>
          <w:noProof/>
        </w:rPr>
        <w:t xml:space="preserve"> być w aktualnej ofercie producenta na dzień składania ofert</w:t>
      </w:r>
      <w:r w:rsidR="005B735A">
        <w:rPr>
          <w:bCs/>
          <w:noProof/>
        </w:rPr>
        <w:t>,</w:t>
      </w:r>
      <w:r w:rsidR="005B735A" w:rsidRPr="005B735A">
        <w:rPr>
          <w:noProof/>
        </w:rPr>
        <w:t xml:space="preserve"> </w:t>
      </w:r>
      <w:r>
        <w:rPr>
          <w:noProof/>
        </w:rPr>
        <w:t>spełniać wymagane normy, posiadać stosowne</w:t>
      </w:r>
      <w:r w:rsidRPr="00D441FA">
        <w:t> </w:t>
      </w:r>
      <w:r w:rsidR="0065335E">
        <w:rPr>
          <w:noProof/>
        </w:rPr>
        <w:t xml:space="preserve"> </w:t>
      </w:r>
      <w:r>
        <w:rPr>
          <w:noProof/>
        </w:rPr>
        <w:t>certyfikaty, być dopuszczonym do sprzedaży i użytkowania na terenie RP.</w:t>
      </w:r>
      <w:bookmarkEnd w:id="9"/>
      <w:r>
        <w:rPr>
          <w:noProof/>
        </w:rPr>
        <w:t xml:space="preserve"> </w:t>
      </w:r>
    </w:p>
    <w:p w14:paraId="7FF80041" w14:textId="2202FA87" w:rsidR="00F0439A" w:rsidRDefault="00530CC3" w:rsidP="00F04D75">
      <w:pPr>
        <w:pStyle w:val="Akapitzlist"/>
        <w:widowControl w:val="0"/>
        <w:numPr>
          <w:ilvl w:val="0"/>
          <w:numId w:val="72"/>
        </w:numPr>
        <w:ind w:left="851" w:hanging="284"/>
        <w:contextualSpacing w:val="0"/>
        <w:rPr>
          <w:rFonts w:cs="Arial"/>
          <w:szCs w:val="20"/>
          <w:lang w:eastAsia="pl-PL"/>
        </w:rPr>
      </w:pPr>
      <w:r w:rsidRPr="00DB7175">
        <w:rPr>
          <w:rFonts w:eastAsia="Calibri" w:cs="Arial"/>
          <w:b/>
          <w:bCs/>
          <w:szCs w:val="20"/>
        </w:rPr>
        <w:lastRenderedPageBreak/>
        <w:t>Zakres zamówienia obejmuje</w:t>
      </w:r>
      <w:r w:rsidR="00DB7175">
        <w:rPr>
          <w:rFonts w:eastAsia="Calibri" w:cs="Arial"/>
          <w:bCs/>
          <w:szCs w:val="20"/>
        </w:rPr>
        <w:t xml:space="preserve">: zakup sprzętu wraz z jego </w:t>
      </w:r>
      <w:r w:rsidRPr="00DB7175">
        <w:rPr>
          <w:rFonts w:eastAsia="Calibri" w:cs="Arial"/>
          <w:bCs/>
          <w:szCs w:val="20"/>
        </w:rPr>
        <w:t>dost</w:t>
      </w:r>
      <w:r w:rsidR="00DB7175">
        <w:rPr>
          <w:rFonts w:eastAsia="Calibri" w:cs="Arial"/>
          <w:bCs/>
          <w:szCs w:val="20"/>
        </w:rPr>
        <w:t xml:space="preserve">awą, </w:t>
      </w:r>
      <w:r w:rsidRPr="00DB7175">
        <w:rPr>
          <w:rFonts w:eastAsia="Calibri" w:cs="Arial"/>
          <w:bCs/>
          <w:szCs w:val="20"/>
        </w:rPr>
        <w:t>rozładunkiem</w:t>
      </w:r>
      <w:r w:rsidR="00DB7175">
        <w:rPr>
          <w:rFonts w:eastAsia="Calibri" w:cs="Arial"/>
          <w:bCs/>
          <w:szCs w:val="20"/>
        </w:rPr>
        <w:t xml:space="preserve"> i </w:t>
      </w:r>
      <w:r w:rsidRPr="00DB7175">
        <w:rPr>
          <w:rFonts w:eastAsia="Calibri" w:cs="Arial"/>
          <w:bCs/>
          <w:szCs w:val="20"/>
        </w:rPr>
        <w:t>wniesieniem do miejsca wskazanego przez Zamawiającego</w:t>
      </w:r>
      <w:r w:rsidR="00224754" w:rsidRPr="00DB7175">
        <w:rPr>
          <w:rFonts w:cs="Arial"/>
          <w:szCs w:val="20"/>
          <w:lang w:eastAsia="pl-PL"/>
        </w:rPr>
        <w:t>.</w:t>
      </w:r>
      <w:r w:rsidR="005B735A" w:rsidRPr="005B735A">
        <w:t xml:space="preserve"> </w:t>
      </w:r>
      <w:r w:rsidR="005B735A" w:rsidRPr="00DB7175">
        <w:rPr>
          <w:rFonts w:cs="Arial"/>
          <w:szCs w:val="20"/>
          <w:lang w:eastAsia="pl-PL"/>
        </w:rPr>
        <w:t>Wykonawca zobowiązany jest zapewnić bezpłatny serwis gwarancyjny sprzętu</w:t>
      </w:r>
      <w:r w:rsidR="00F34A97">
        <w:rPr>
          <w:rFonts w:cs="Arial"/>
          <w:szCs w:val="20"/>
          <w:lang w:eastAsia="pl-PL"/>
        </w:rPr>
        <w:t>, a także</w:t>
      </w:r>
      <w:r w:rsidR="00445114">
        <w:rPr>
          <w:rFonts w:cs="Arial"/>
          <w:szCs w:val="20"/>
          <w:lang w:eastAsia="pl-PL"/>
        </w:rPr>
        <w:t>,</w:t>
      </w:r>
      <w:r w:rsidR="00F34A97">
        <w:rPr>
          <w:rFonts w:cs="Arial"/>
          <w:szCs w:val="20"/>
          <w:lang w:eastAsia="pl-PL"/>
        </w:rPr>
        <w:t xml:space="preserve"> dodatkowo </w:t>
      </w:r>
      <w:r w:rsidR="00F34A97" w:rsidRPr="00F34A97">
        <w:rPr>
          <w:rFonts w:cs="Arial"/>
          <w:b/>
          <w:bCs/>
          <w:szCs w:val="20"/>
          <w:lang w:eastAsia="pl-PL"/>
        </w:rPr>
        <w:t>w</w:t>
      </w:r>
      <w:r w:rsidR="000B48F2" w:rsidRPr="00F34A97">
        <w:rPr>
          <w:rFonts w:cs="Arial"/>
          <w:b/>
          <w:bCs/>
          <w:szCs w:val="20"/>
          <w:lang w:eastAsia="pl-PL"/>
        </w:rPr>
        <w:t xml:space="preserve"> zakresie części A</w:t>
      </w:r>
      <w:r w:rsidR="000B48F2" w:rsidRPr="00F34A97">
        <w:rPr>
          <w:rFonts w:cs="Arial"/>
          <w:szCs w:val="20"/>
          <w:lang w:eastAsia="pl-PL"/>
        </w:rPr>
        <w:t xml:space="preserve">: </w:t>
      </w:r>
    </w:p>
    <w:p w14:paraId="77630F37" w14:textId="49593FF9" w:rsidR="00224754" w:rsidRPr="00F34A97" w:rsidRDefault="00F34A97" w:rsidP="00F04D75">
      <w:pPr>
        <w:pStyle w:val="Akapitzlist"/>
        <w:widowControl w:val="0"/>
        <w:numPr>
          <w:ilvl w:val="0"/>
          <w:numId w:val="77"/>
        </w:numPr>
        <w:ind w:left="1134" w:hanging="283"/>
        <w:contextualSpacing w:val="0"/>
        <w:rPr>
          <w:rFonts w:cs="Arial"/>
          <w:szCs w:val="20"/>
          <w:lang w:eastAsia="pl-PL"/>
        </w:rPr>
      </w:pPr>
      <w:r w:rsidRPr="00F34A97">
        <w:rPr>
          <w:rFonts w:cs="Arial"/>
          <w:szCs w:val="20"/>
          <w:lang w:eastAsia="pl-PL"/>
        </w:rPr>
        <w:t xml:space="preserve">Zamawiający </w:t>
      </w:r>
      <w:r w:rsidR="000B48F2" w:rsidRPr="00F34A97">
        <w:rPr>
          <w:rFonts w:cs="Arial"/>
          <w:szCs w:val="20"/>
          <w:lang w:eastAsia="pl-PL"/>
        </w:rPr>
        <w:t>wymaga instalacji dostarczonych serwerów</w:t>
      </w:r>
      <w:r>
        <w:rPr>
          <w:rFonts w:cs="Arial"/>
          <w:szCs w:val="20"/>
          <w:lang w:eastAsia="pl-PL"/>
        </w:rPr>
        <w:t xml:space="preserve"> </w:t>
      </w:r>
      <w:r w:rsidR="000B48F2" w:rsidRPr="00F34A97">
        <w:rPr>
          <w:rFonts w:cs="Arial"/>
          <w:szCs w:val="20"/>
          <w:lang w:eastAsia="pl-PL"/>
        </w:rPr>
        <w:t xml:space="preserve">w szafach </w:t>
      </w:r>
      <w:proofErr w:type="spellStart"/>
      <w:r w:rsidR="000B48F2" w:rsidRPr="00F34A97">
        <w:rPr>
          <w:rFonts w:cs="Arial"/>
          <w:szCs w:val="20"/>
          <w:lang w:eastAsia="pl-PL"/>
        </w:rPr>
        <w:t>Rack</w:t>
      </w:r>
      <w:proofErr w:type="spellEnd"/>
      <w:r w:rsidR="000B48F2" w:rsidRPr="00F34A97">
        <w:rPr>
          <w:rFonts w:cs="Arial"/>
          <w:szCs w:val="20"/>
          <w:lang w:eastAsia="pl-PL"/>
        </w:rPr>
        <w:t xml:space="preserve"> 19" w serwerowni Zamawiającego oraz pierwszego uruchomienia. W trakcie odbioru pracownik Zamawiającego potwierdzi konfigurację dostarczonych urządzeń.</w:t>
      </w:r>
    </w:p>
    <w:p w14:paraId="4395B670" w14:textId="2E4BA845" w:rsidR="00404C44" w:rsidRPr="00224754" w:rsidRDefault="0055317F" w:rsidP="00F04D75">
      <w:pPr>
        <w:widowControl w:val="0"/>
        <w:numPr>
          <w:ilvl w:val="0"/>
          <w:numId w:val="72"/>
        </w:numPr>
        <w:ind w:left="851" w:hanging="284"/>
        <w:rPr>
          <w:rFonts w:cs="Arial"/>
          <w:szCs w:val="20"/>
          <w:lang w:eastAsia="pl-PL"/>
        </w:rPr>
      </w:pPr>
      <w:r w:rsidRPr="00224754">
        <w:rPr>
          <w:rFonts w:eastAsia="Calibri" w:cs="Arial"/>
          <w:bCs/>
          <w:szCs w:val="20"/>
        </w:rPr>
        <w:t xml:space="preserve">Rodzaj zamówienia: </w:t>
      </w:r>
      <w:r w:rsidRPr="00224754">
        <w:rPr>
          <w:rFonts w:cs="Arial"/>
          <w:b/>
          <w:bCs/>
          <w:szCs w:val="20"/>
          <w:lang w:eastAsia="pl-PL"/>
        </w:rPr>
        <w:t>dostawa</w:t>
      </w:r>
      <w:r w:rsidRPr="00224754">
        <w:rPr>
          <w:rFonts w:eastAsia="Calibri" w:cs="Arial"/>
          <w:bCs/>
          <w:szCs w:val="20"/>
        </w:rPr>
        <w:t>;</w:t>
      </w:r>
    </w:p>
    <w:p w14:paraId="4F264E48" w14:textId="13FFF099" w:rsidR="00530CC3" w:rsidRPr="0048357C" w:rsidRDefault="00224754" w:rsidP="00F04D75">
      <w:pPr>
        <w:pStyle w:val="Akapitzlist"/>
        <w:widowControl w:val="0"/>
        <w:numPr>
          <w:ilvl w:val="0"/>
          <w:numId w:val="72"/>
        </w:numPr>
        <w:tabs>
          <w:tab w:val="left" w:pos="709"/>
        </w:tabs>
        <w:ind w:left="851" w:hanging="284"/>
        <w:contextualSpacing w:val="0"/>
      </w:pPr>
      <w:r w:rsidRPr="00B03D29">
        <w:rPr>
          <w:b/>
        </w:rPr>
        <w:t>Nazwy i kody</w:t>
      </w:r>
      <w:r w:rsidRPr="00C0411E">
        <w:t xml:space="preserve"> dotyczące przedmiotu zamówienia zgodnie z nomenklaturą określoną we Wspólnym Słowniku Zamówień (CPV</w:t>
      </w:r>
      <w:r w:rsidRPr="00B21D7D">
        <w:rPr>
          <w:b/>
        </w:rPr>
        <w:t xml:space="preserve">): </w:t>
      </w:r>
      <w:r w:rsidR="00530CC3" w:rsidRPr="00B21D7D">
        <w:rPr>
          <w:rFonts w:cs="Arial"/>
          <w:b/>
          <w:szCs w:val="20"/>
          <w:lang w:eastAsia="pl-PL"/>
        </w:rPr>
        <w:t>48820000-2</w:t>
      </w:r>
      <w:r w:rsidR="00530CC3" w:rsidRPr="0048357C">
        <w:rPr>
          <w:rFonts w:cs="Arial"/>
          <w:szCs w:val="20"/>
          <w:lang w:eastAsia="pl-PL"/>
        </w:rPr>
        <w:t xml:space="preserve"> Serwery</w:t>
      </w:r>
      <w:r w:rsidR="00824722">
        <w:rPr>
          <w:rFonts w:cs="Arial"/>
          <w:szCs w:val="20"/>
          <w:lang w:eastAsia="pl-PL"/>
        </w:rPr>
        <w:t>.</w:t>
      </w:r>
    </w:p>
    <w:p w14:paraId="276985F9" w14:textId="41FCF48A" w:rsidR="00170642" w:rsidRPr="00224754" w:rsidRDefault="00170642" w:rsidP="00F04D75">
      <w:pPr>
        <w:pStyle w:val="Akapitzlist"/>
        <w:widowControl w:val="0"/>
        <w:numPr>
          <w:ilvl w:val="0"/>
          <w:numId w:val="72"/>
        </w:numPr>
        <w:tabs>
          <w:tab w:val="left" w:pos="709"/>
        </w:tabs>
        <w:ind w:left="851" w:hanging="284"/>
        <w:contextualSpacing w:val="0"/>
      </w:pPr>
      <w:r w:rsidRPr="00224754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63642951" w:rsidR="00F85C46" w:rsidRPr="00382315" w:rsidRDefault="00170642" w:rsidP="00F04D75">
      <w:pPr>
        <w:pStyle w:val="Nagwek4"/>
        <w:widowControl w:val="0"/>
        <w:spacing w:before="0" w:after="0"/>
        <w:ind w:left="1134" w:hanging="283"/>
        <w:contextualSpacing w:val="0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866A32">
        <w:rPr>
          <w:lang w:val="pl-PL"/>
        </w:rPr>
        <w:t>stanowi załącznik</w:t>
      </w:r>
      <w:r w:rsidR="00220150" w:rsidRPr="00220150">
        <w:rPr>
          <w:lang w:val="pl-PL"/>
        </w:rPr>
        <w:t xml:space="preserve"> nr </w:t>
      </w:r>
      <w:r w:rsidR="004602D3">
        <w:rPr>
          <w:lang w:val="pl-PL"/>
        </w:rPr>
        <w:t>2</w:t>
      </w:r>
      <w:r w:rsidR="0074391D">
        <w:rPr>
          <w:lang w:val="pl-PL"/>
        </w:rPr>
        <w:t xml:space="preserve"> </w:t>
      </w:r>
      <w:r w:rsidR="00B94DBD">
        <w:rPr>
          <w:lang w:val="pl-PL"/>
        </w:rPr>
        <w:t>(</w:t>
      </w:r>
      <w:r w:rsidR="0074391D">
        <w:rPr>
          <w:lang w:val="pl-PL"/>
        </w:rPr>
        <w:t>A</w:t>
      </w:r>
      <w:r w:rsidR="00221BE7">
        <w:rPr>
          <w:lang w:val="pl-PL"/>
        </w:rPr>
        <w:t>,</w:t>
      </w:r>
      <w:r w:rsidR="0074391D">
        <w:rPr>
          <w:lang w:val="pl-PL"/>
        </w:rPr>
        <w:t>B</w:t>
      </w:r>
      <w:r w:rsidR="00B94DBD">
        <w:rPr>
          <w:lang w:val="pl-PL"/>
        </w:rPr>
        <w:t>)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F04D75">
      <w:pPr>
        <w:pStyle w:val="Nagwek4"/>
        <w:widowControl w:val="0"/>
        <w:spacing w:before="0" w:after="0"/>
        <w:ind w:left="1134" w:hanging="283"/>
        <w:contextualSpacing w:val="0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525A31CB" w:rsidR="00C95B53" w:rsidRPr="00C95B53" w:rsidRDefault="00F85C46" w:rsidP="00F04D75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 xml:space="preserve">akim przypadku </w:t>
      </w:r>
      <w:r w:rsidR="00215437">
        <w:rPr>
          <w:lang w:val="pl-PL"/>
        </w:rPr>
        <w:t>W</w:t>
      </w:r>
      <w:r w:rsidR="00BB33A4">
        <w:t>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67995DEB" w:rsidR="00F85C46" w:rsidRDefault="00C95B53" w:rsidP="00F04D75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 xml:space="preserve">y </w:t>
      </w:r>
      <w:r w:rsidR="004E36F7" w:rsidRPr="004E36F7">
        <w:rPr>
          <w:rFonts w:eastAsia="Calibri"/>
          <w:lang w:val="pl-PL"/>
        </w:rPr>
        <w:t xml:space="preserve">oferowanego </w:t>
      </w:r>
      <w:r w:rsidR="00530CC3">
        <w:rPr>
          <w:rFonts w:eastAsia="Calibri"/>
          <w:lang w:val="pl-PL"/>
        </w:rPr>
        <w:t>sprzętu</w:t>
      </w:r>
      <w:r w:rsidR="004E36F7" w:rsidRPr="004E36F7">
        <w:rPr>
          <w:rFonts w:eastAsia="Calibri"/>
          <w:lang w:val="pl-PL"/>
        </w:rPr>
        <w:t xml:space="preserve"> </w:t>
      </w:r>
      <w:r w:rsidR="004E36F7">
        <w:rPr>
          <w:rFonts w:eastAsia="Calibri"/>
          <w:lang w:val="pl-PL"/>
        </w:rPr>
        <w:t>po</w:t>
      </w:r>
      <w:r w:rsidRPr="00382315">
        <w:rPr>
          <w:rFonts w:eastAsia="Calibri"/>
        </w:rPr>
        <w:t>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19BB3DC4" w14:textId="466628C9" w:rsidR="004E36F7" w:rsidRPr="004E36F7" w:rsidRDefault="00FB3F58" w:rsidP="00F04D75">
      <w:pPr>
        <w:pStyle w:val="Nagwek2"/>
        <w:keepNext w:val="0"/>
        <w:widowControl w:val="0"/>
        <w:numPr>
          <w:ilvl w:val="0"/>
          <w:numId w:val="8"/>
        </w:numPr>
        <w:spacing w:before="0" w:after="0" w:line="360" w:lineRule="auto"/>
        <w:ind w:left="567" w:hanging="283"/>
        <w:contextualSpacing w:val="0"/>
      </w:pPr>
      <w:r w:rsidRPr="00382315">
        <w:t>Opis części zamówienia. Oferty wariantowe.</w:t>
      </w:r>
    </w:p>
    <w:p w14:paraId="02A7EE15" w14:textId="77777777" w:rsidR="00C74E5A" w:rsidRPr="00E56DA1" w:rsidRDefault="00C74E5A" w:rsidP="00F04D75">
      <w:pPr>
        <w:widowControl w:val="0"/>
        <w:numPr>
          <w:ilvl w:val="0"/>
          <w:numId w:val="73"/>
        </w:numPr>
        <w:ind w:left="851" w:hanging="284"/>
        <w:rPr>
          <w:bCs/>
          <w:lang w:eastAsia="x-none"/>
        </w:rPr>
      </w:pPr>
      <w:r w:rsidRPr="00E56DA1">
        <w:rPr>
          <w:bCs/>
          <w:lang w:eastAsia="x-none"/>
        </w:rPr>
        <w:t>Zamawiający dopuszcza możliwość składania ofert częściowych, zgodnie z poniższym podziałem:</w:t>
      </w:r>
    </w:p>
    <w:p w14:paraId="7F654B48" w14:textId="49941494" w:rsidR="00C74E5A" w:rsidRPr="00E56DA1" w:rsidRDefault="00C74E5A" w:rsidP="00F04D75">
      <w:pPr>
        <w:widowControl w:val="0"/>
        <w:numPr>
          <w:ilvl w:val="0"/>
          <w:numId w:val="74"/>
        </w:numPr>
        <w:ind w:left="1134" w:hanging="283"/>
        <w:rPr>
          <w:bCs/>
          <w:lang w:eastAsia="x-none"/>
        </w:rPr>
      </w:pPr>
      <w:bookmarkStart w:id="10" w:name="_Hlk122085643"/>
      <w:r w:rsidRPr="00E56DA1">
        <w:rPr>
          <w:bCs/>
          <w:lang w:eastAsia="x-none"/>
        </w:rPr>
        <w:t xml:space="preserve">Część A- </w:t>
      </w:r>
      <w:bookmarkStart w:id="11" w:name="_Hlk132187582"/>
      <w:r>
        <w:rPr>
          <w:b/>
          <w:bCs/>
          <w:lang w:eastAsia="x-none"/>
        </w:rPr>
        <w:t>serwery- 12 sztuk;</w:t>
      </w:r>
    </w:p>
    <w:bookmarkEnd w:id="11"/>
    <w:p w14:paraId="6C05F713" w14:textId="01852406" w:rsidR="00C74E5A" w:rsidRPr="00E56DA1" w:rsidRDefault="00C74E5A" w:rsidP="00F04D75">
      <w:pPr>
        <w:widowControl w:val="0"/>
        <w:numPr>
          <w:ilvl w:val="0"/>
          <w:numId w:val="74"/>
        </w:numPr>
        <w:ind w:left="1134" w:hanging="283"/>
        <w:rPr>
          <w:bCs/>
          <w:lang w:eastAsia="x-none"/>
        </w:rPr>
      </w:pPr>
      <w:r w:rsidRPr="00E56DA1">
        <w:rPr>
          <w:bCs/>
          <w:lang w:eastAsia="x-none"/>
        </w:rPr>
        <w:t xml:space="preserve">Część B- </w:t>
      </w:r>
      <w:r>
        <w:rPr>
          <w:b/>
          <w:bCs/>
          <w:lang w:eastAsia="x-none"/>
        </w:rPr>
        <w:t>serwery NAS- 2 szt.</w:t>
      </w:r>
    </w:p>
    <w:bookmarkEnd w:id="10"/>
    <w:p w14:paraId="7D948E85" w14:textId="022C88CE" w:rsidR="00C74E5A" w:rsidRDefault="00C74E5A" w:rsidP="00F04D75">
      <w:pPr>
        <w:widowControl w:val="0"/>
        <w:numPr>
          <w:ilvl w:val="0"/>
          <w:numId w:val="73"/>
        </w:numPr>
        <w:ind w:left="851" w:hanging="283"/>
        <w:rPr>
          <w:bCs/>
          <w:iCs/>
          <w:lang w:eastAsia="x-none"/>
        </w:rPr>
      </w:pPr>
      <w:r w:rsidRPr="00E56DA1">
        <w:rPr>
          <w:bCs/>
          <w:iCs/>
          <w:lang w:eastAsia="x-none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06B24EDB" w14:textId="1C166DBC" w:rsidR="0007678F" w:rsidRPr="00F25795" w:rsidRDefault="00F776F5" w:rsidP="00F04D75">
      <w:pPr>
        <w:pStyle w:val="Akapitzlist"/>
        <w:widowControl w:val="0"/>
        <w:numPr>
          <w:ilvl w:val="0"/>
          <w:numId w:val="73"/>
        </w:numPr>
        <w:ind w:left="851" w:hanging="284"/>
        <w:contextualSpacing w:val="0"/>
        <w:rPr>
          <w:bCs/>
          <w:iCs/>
          <w:lang w:eastAsia="x-none"/>
        </w:rPr>
      </w:pPr>
      <w:r w:rsidRPr="00F776F5">
        <w:rPr>
          <w:bCs/>
          <w:iCs/>
          <w:lang w:eastAsia="x-none"/>
        </w:rPr>
        <w:t>Zamawiający nie przewiduje możliwości składania ofert wariantowych.</w:t>
      </w:r>
    </w:p>
    <w:p w14:paraId="3FB04035" w14:textId="174A68FA" w:rsidR="000518A0" w:rsidRPr="00382315" w:rsidRDefault="00AF7FE4" w:rsidP="00F04D75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382315">
        <w:lastRenderedPageBreak/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379F3DF0" w14:textId="06155547" w:rsidR="009B3235" w:rsidRPr="00382315" w:rsidRDefault="00F0343C" w:rsidP="00F04D75">
      <w:pPr>
        <w:widowControl w:val="0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0216AE8" w14:textId="1252D77B" w:rsidR="004C1E84" w:rsidRPr="000D5852" w:rsidRDefault="00F0343C" w:rsidP="00203A18">
      <w:pPr>
        <w:pStyle w:val="Nagwek2"/>
        <w:keepNext w:val="0"/>
        <w:widowControl w:val="0"/>
        <w:spacing w:after="0" w:line="360" w:lineRule="auto"/>
        <w:ind w:left="567" w:hanging="283"/>
        <w:contextualSpacing w:val="0"/>
      </w:pPr>
      <w:r w:rsidRPr="00382315">
        <w:t>Termin realizacji zamówienia</w:t>
      </w:r>
      <w:r w:rsidR="008337DE">
        <w:t xml:space="preserve">: </w:t>
      </w:r>
      <w:r w:rsidR="00530CC3" w:rsidRPr="00382315">
        <w:t xml:space="preserve">do </w:t>
      </w:r>
      <w:r w:rsidR="00530CC3">
        <w:t xml:space="preserve">21 dni </w:t>
      </w:r>
      <w:r w:rsidR="00530CC3" w:rsidRPr="00382315">
        <w:t xml:space="preserve">od daty </w:t>
      </w:r>
      <w:r w:rsidR="00530CC3">
        <w:t>otrzymania zamówienia</w:t>
      </w:r>
      <w:r w:rsidR="004C1E84" w:rsidRPr="000D5852">
        <w:t>.</w:t>
      </w:r>
    </w:p>
    <w:p w14:paraId="7BEEE217" w14:textId="75466B88" w:rsidR="00F85C46" w:rsidRPr="00A65397" w:rsidRDefault="00F0343C" w:rsidP="00F04D75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rFonts w:eastAsia="Calibri"/>
        </w:rPr>
      </w:pPr>
      <w:r w:rsidRPr="00A65397">
        <w:rPr>
          <w:rFonts w:eastAsia="Calibri"/>
        </w:rPr>
        <w:t>Wykonawca może skrócić termin realizacji w stosunku do</w:t>
      </w:r>
      <w:r w:rsidR="00B61F3A" w:rsidRPr="00A65397">
        <w:rPr>
          <w:rFonts w:eastAsia="Calibri"/>
        </w:rPr>
        <w:t xml:space="preserve"> wymaganego</w:t>
      </w:r>
      <w:r w:rsidRPr="00A65397">
        <w:rPr>
          <w:rFonts w:eastAsia="Calibri"/>
        </w:rPr>
        <w:t xml:space="preserve"> terminu wskazanego powyżej. Oferta przewidująca skrócenie terminu realizacji otrzyma punkty w ramach oceny</w:t>
      </w:r>
      <w:r w:rsidR="00B61F3A" w:rsidRPr="00A65397">
        <w:rPr>
          <w:rFonts w:eastAsia="Calibri"/>
        </w:rPr>
        <w:t xml:space="preserve"> ofert z zastosowaniem kryterium</w:t>
      </w:r>
      <w:r w:rsidRPr="00A65397">
        <w:rPr>
          <w:rFonts w:eastAsia="Calibri"/>
        </w:rPr>
        <w:t xml:space="preserve"> wyboru oferty najkorzystniejszej</w:t>
      </w:r>
      <w:r w:rsidR="00B61F3A" w:rsidRPr="00A65397">
        <w:rPr>
          <w:rFonts w:eastAsia="Calibri"/>
        </w:rPr>
        <w:t>.</w:t>
      </w:r>
    </w:p>
    <w:p w14:paraId="21F074F7" w14:textId="74A32776" w:rsidR="00F0343C" w:rsidRPr="00382315" w:rsidRDefault="00B61F3A" w:rsidP="009341F2">
      <w:pPr>
        <w:pStyle w:val="Nagwek2"/>
        <w:keepNext w:val="0"/>
        <w:widowControl w:val="0"/>
        <w:spacing w:after="0" w:line="360" w:lineRule="auto"/>
        <w:ind w:left="567" w:hanging="283"/>
        <w:contextualSpacing w:val="0"/>
      </w:pPr>
      <w:r w:rsidRPr="00382315">
        <w:t xml:space="preserve">Warunki realizacji zamówienia, termin gwarancji, warunki płatności. </w:t>
      </w:r>
    </w:p>
    <w:p w14:paraId="04208703" w14:textId="70E7AC17" w:rsidR="004E36F7" w:rsidRDefault="00F85C46" w:rsidP="00F04D75">
      <w:pPr>
        <w:pStyle w:val="Nagwek3"/>
        <w:widowControl w:val="0"/>
        <w:numPr>
          <w:ilvl w:val="0"/>
          <w:numId w:val="65"/>
        </w:numPr>
        <w:ind w:left="851" w:hanging="284"/>
        <w:contextualSpacing w:val="0"/>
        <w:rPr>
          <w:b/>
          <w:color w:val="222A35" w:themeColor="text2" w:themeShade="80"/>
        </w:rPr>
      </w:pPr>
      <w:r w:rsidRPr="00E84E95">
        <w:rPr>
          <w:b/>
        </w:rPr>
        <w:t>Adres dostawy</w:t>
      </w:r>
      <w:r w:rsidRPr="00382315">
        <w:t xml:space="preserve">: </w:t>
      </w:r>
    </w:p>
    <w:p w14:paraId="2DF8B9E9" w14:textId="5B7B90C5" w:rsidR="0007678F" w:rsidRPr="0007678F" w:rsidRDefault="0007678F" w:rsidP="00F04D75">
      <w:pPr>
        <w:pStyle w:val="Nagwek3"/>
        <w:widowControl w:val="0"/>
        <w:numPr>
          <w:ilvl w:val="0"/>
          <w:numId w:val="75"/>
        </w:numPr>
        <w:ind w:left="1134" w:hanging="283"/>
        <w:contextualSpacing w:val="0"/>
      </w:pPr>
      <w:r w:rsidRPr="0007678F">
        <w:t xml:space="preserve">Część A- </w:t>
      </w:r>
      <w:r w:rsidR="00CE3CDD" w:rsidRPr="00CE3CDD">
        <w:t xml:space="preserve">Dział Administracji Sieci i Usług Sieciowych, ul. Bankowa 14, </w:t>
      </w:r>
      <w:r w:rsidR="00CE3CDD">
        <w:t xml:space="preserve"> </w:t>
      </w:r>
      <w:r w:rsidR="00CE3CDD" w:rsidRPr="00CE3CDD">
        <w:t>40-007 Katowice</w:t>
      </w:r>
      <w:r w:rsidR="00CE3CDD">
        <w:t>;</w:t>
      </w:r>
    </w:p>
    <w:p w14:paraId="2477399E" w14:textId="77777777" w:rsidR="00A8304E" w:rsidRDefault="0007678F" w:rsidP="00F04D75">
      <w:pPr>
        <w:pStyle w:val="Akapitzlist"/>
        <w:widowControl w:val="0"/>
        <w:numPr>
          <w:ilvl w:val="0"/>
          <w:numId w:val="75"/>
        </w:numPr>
        <w:ind w:left="1134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CE3CDD">
        <w:rPr>
          <w:bCs/>
          <w:lang w:eastAsia="x-none"/>
        </w:rPr>
        <w:t xml:space="preserve">Część B- </w:t>
      </w:r>
      <w:r w:rsidR="00CE3CDD" w:rsidRPr="00CE3CDD">
        <w:rPr>
          <w:rFonts w:eastAsia="Times New Roman" w:cs="Times New Roman"/>
          <w:bCs/>
          <w:szCs w:val="26"/>
          <w:lang w:eastAsia="x-none"/>
        </w:rPr>
        <w:t xml:space="preserve">Zespół Infrastruktury Informatycznej Kampusu Katowickiego, ul. Jagiellońska 28, </w:t>
      </w:r>
    </w:p>
    <w:p w14:paraId="02C1DD7A" w14:textId="0CEA2A55" w:rsidR="007F0F89" w:rsidRPr="00A8304E" w:rsidRDefault="00CE3CDD" w:rsidP="00F04D75">
      <w:pPr>
        <w:pStyle w:val="Akapitzlist"/>
        <w:widowControl w:val="0"/>
        <w:ind w:left="1134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CE3CDD">
        <w:rPr>
          <w:rFonts w:eastAsia="Times New Roman" w:cs="Times New Roman"/>
          <w:bCs/>
          <w:szCs w:val="26"/>
          <w:lang w:eastAsia="x-none"/>
        </w:rPr>
        <w:t>40-032 Katowice</w:t>
      </w:r>
    </w:p>
    <w:p w14:paraId="6808E034" w14:textId="2D440DA2" w:rsidR="007575A9" w:rsidRDefault="00687243" w:rsidP="009341F2">
      <w:pPr>
        <w:pStyle w:val="Nagwek3"/>
        <w:widowControl w:val="0"/>
        <w:numPr>
          <w:ilvl w:val="0"/>
          <w:numId w:val="65"/>
        </w:numPr>
        <w:spacing w:before="120"/>
        <w:ind w:left="851" w:hanging="284"/>
        <w:contextualSpacing w:val="0"/>
      </w:pPr>
      <w:r w:rsidRPr="004E36F7">
        <w:rPr>
          <w:b/>
        </w:rPr>
        <w:t>Wymagany minimalny termin gwarancj</w:t>
      </w:r>
      <w:r w:rsidRPr="00D74D99">
        <w:rPr>
          <w:b/>
        </w:rPr>
        <w:t>i</w:t>
      </w:r>
      <w:r w:rsidR="00A404FA" w:rsidRPr="00D74D99">
        <w:t>:</w:t>
      </w:r>
      <w:r w:rsidR="002536D1" w:rsidRPr="00D74D99">
        <w:t xml:space="preserve"> </w:t>
      </w:r>
    </w:p>
    <w:p w14:paraId="6B2DF605" w14:textId="5B0A87B3" w:rsidR="00905570" w:rsidRPr="00D64A19" w:rsidRDefault="00B542C0" w:rsidP="00F04D75">
      <w:pPr>
        <w:pStyle w:val="Nagwek3"/>
        <w:widowControl w:val="0"/>
        <w:numPr>
          <w:ilvl w:val="0"/>
          <w:numId w:val="76"/>
        </w:numPr>
        <w:ind w:left="1134" w:hanging="283"/>
        <w:contextualSpacing w:val="0"/>
        <w:rPr>
          <w:color w:val="00B050"/>
        </w:rPr>
      </w:pPr>
      <w:r w:rsidRPr="00E0771B">
        <w:t xml:space="preserve">Część A- </w:t>
      </w:r>
      <w:r w:rsidR="00E0771B" w:rsidRPr="00E0771B">
        <w:t>min. 60 m-cy</w:t>
      </w:r>
      <w:r w:rsidR="00E0771B" w:rsidRPr="00B64B67">
        <w:t>.</w:t>
      </w:r>
      <w:r w:rsidR="006408A8" w:rsidRPr="00B64B67">
        <w:t xml:space="preserve"> (gwarancja typu on-</w:t>
      </w:r>
      <w:proofErr w:type="spellStart"/>
      <w:r w:rsidR="006408A8" w:rsidRPr="00B64B67">
        <w:t>site</w:t>
      </w:r>
      <w:proofErr w:type="spellEnd"/>
      <w:r w:rsidR="006408A8" w:rsidRPr="00B64B67">
        <w:t xml:space="preserve"> w trybie  NBD)</w:t>
      </w:r>
    </w:p>
    <w:p w14:paraId="1A4CE70F" w14:textId="2CF21B1E" w:rsidR="00B542C0" w:rsidRPr="00B542C0" w:rsidRDefault="00B542C0" w:rsidP="00F04D75">
      <w:pPr>
        <w:pStyle w:val="Nagwek3"/>
        <w:widowControl w:val="0"/>
        <w:numPr>
          <w:ilvl w:val="0"/>
          <w:numId w:val="76"/>
        </w:numPr>
        <w:ind w:left="1134" w:hanging="283"/>
        <w:contextualSpacing w:val="0"/>
      </w:pPr>
      <w:r w:rsidRPr="00B542C0">
        <w:t>Część B- min. 60 m-cy.</w:t>
      </w:r>
    </w:p>
    <w:p w14:paraId="440E065C" w14:textId="29AF07DE" w:rsidR="00F85C46" w:rsidRPr="00382315" w:rsidRDefault="00F85C46" w:rsidP="009341F2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</w:t>
      </w:r>
      <w:r w:rsidR="002536D1">
        <w:rPr>
          <w:rFonts w:eastAsia="Calibri"/>
          <w:noProof/>
        </w:rPr>
        <w:t>ó</w:t>
      </w:r>
      <w:r w:rsidR="00A404FA">
        <w:rPr>
          <w:rFonts w:eastAsia="Calibri"/>
          <w:noProof/>
        </w:rPr>
        <w:t>r</w:t>
      </w:r>
      <w:r w:rsidRPr="00382315">
        <w:rPr>
          <w:rFonts w:eastAsia="Calibri"/>
          <w:noProof/>
        </w:rPr>
        <w:t xml:space="preserve"> umowy</w:t>
      </w:r>
      <w:r w:rsidR="000A2883" w:rsidRPr="00382315">
        <w:rPr>
          <w:rFonts w:eastAsia="Calibri"/>
        </w:rPr>
        <w:t xml:space="preserve"> stanowiąc</w:t>
      </w:r>
      <w:r w:rsidR="002536D1">
        <w:rPr>
          <w:rFonts w:eastAsia="Calibri"/>
        </w:rPr>
        <w:t xml:space="preserve">y </w:t>
      </w:r>
      <w:r w:rsidR="00A404FA" w:rsidRPr="00A404FA">
        <w:rPr>
          <w:rFonts w:eastAsia="Calibri"/>
        </w:rPr>
        <w:t xml:space="preserve">załącznik nr 3 do </w:t>
      </w:r>
      <w:r w:rsidR="000A2883" w:rsidRPr="00382315">
        <w:rPr>
          <w:rFonts w:eastAsia="Calibri"/>
        </w:rPr>
        <w:t>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9341F2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1E220CB" w:rsidR="00586657" w:rsidRDefault="003B3416" w:rsidP="00F04D75">
      <w:pPr>
        <w:pStyle w:val="Nagwek3"/>
        <w:widowControl w:val="0"/>
        <w:numPr>
          <w:ilvl w:val="0"/>
          <w:numId w:val="5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 xml:space="preserve">poufnego charakteru informacji przekazanych </w:t>
      </w:r>
      <w:r w:rsidR="00F02D6B">
        <w:rPr>
          <w:rFonts w:eastAsia="Calibri"/>
        </w:rPr>
        <w:t>W</w:t>
      </w:r>
      <w:r w:rsidR="00586657" w:rsidRPr="00586657">
        <w:rPr>
          <w:rFonts w:eastAsia="Calibri"/>
        </w:rPr>
        <w:t>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F04D75">
      <w:pPr>
        <w:pStyle w:val="Nagwek3"/>
        <w:widowControl w:val="0"/>
        <w:numPr>
          <w:ilvl w:val="0"/>
          <w:numId w:val="5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48887BDE" w:rsidR="00CF6A08" w:rsidRDefault="00586657" w:rsidP="00F04D75">
      <w:pPr>
        <w:pStyle w:val="Nagwek3"/>
        <w:widowControl w:val="0"/>
        <w:numPr>
          <w:ilvl w:val="0"/>
          <w:numId w:val="5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0A3E5B96" w:rsidR="00AF756E" w:rsidRDefault="00AF756E" w:rsidP="009341F2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4D295C">
        <w:rPr>
          <w:rFonts w:eastAsia="Calibri"/>
        </w:rPr>
        <w:t>W</w:t>
      </w:r>
      <w:r w:rsidRPr="00AF756E">
        <w:rPr>
          <w:rFonts w:eastAsia="Calibri"/>
        </w:rPr>
        <w:t>ykonawcę kluczowych zadań</w:t>
      </w:r>
      <w:r>
        <w:rPr>
          <w:rFonts w:eastAsia="Calibri"/>
        </w:rPr>
        <w:t>.</w:t>
      </w:r>
    </w:p>
    <w:p w14:paraId="0CCB0C40" w14:textId="2F6108A1" w:rsidR="00AF756E" w:rsidRPr="00AF756E" w:rsidRDefault="00AF756E" w:rsidP="009341F2">
      <w:pPr>
        <w:widowControl w:val="0"/>
        <w:spacing w:after="1560"/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 xml:space="preserve">z poszczególnych </w:t>
      </w:r>
      <w:r w:rsidR="009A24C0">
        <w:rPr>
          <w:lang w:eastAsia="x-none"/>
        </w:rPr>
        <w:t>W</w:t>
      </w:r>
      <w:r>
        <w:rPr>
          <w:lang w:eastAsia="x-none"/>
        </w:rPr>
        <w:t>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AE4955">
      <w:pPr>
        <w:pStyle w:val="Nagwek1"/>
        <w:spacing w:before="0"/>
      </w:pPr>
      <w:bookmarkStart w:id="12" w:name="_Toc115778617"/>
      <w:r>
        <w:lastRenderedPageBreak/>
        <w:t>Przedmiotowe środki dowodowe.</w:t>
      </w:r>
      <w:bookmarkEnd w:id="12"/>
    </w:p>
    <w:p w14:paraId="5A92E1C0" w14:textId="6D515A4A" w:rsidR="00F65A36" w:rsidRDefault="00F65A36" w:rsidP="005F22BB">
      <w:pPr>
        <w:pStyle w:val="Nagwek2"/>
        <w:keepNext w:val="0"/>
        <w:widowControl w:val="0"/>
        <w:numPr>
          <w:ilvl w:val="0"/>
          <w:numId w:val="17"/>
        </w:numPr>
        <w:spacing w:after="0" w:line="360" w:lineRule="auto"/>
        <w:ind w:left="567" w:hanging="283"/>
        <w:contextualSpacing w:val="0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A2C9713" w:rsidR="00473D30" w:rsidRDefault="00B3055B" w:rsidP="00AE4955">
      <w:pPr>
        <w:widowControl w:val="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</w:t>
      </w:r>
      <w:r w:rsidR="004205CE">
        <w:t>W</w:t>
      </w:r>
      <w:r>
        <w:t xml:space="preserve">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AE4955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AE4955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3FC1BE1F" w:rsidR="00BA73CA" w:rsidRPr="00315240" w:rsidRDefault="00BA73CA" w:rsidP="00AE4955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</w:t>
            </w:r>
            <w:r w:rsidR="00530CC3">
              <w:rPr>
                <w:b w:val="0"/>
                <w:sz w:val="18"/>
                <w:szCs w:val="18"/>
              </w:rPr>
              <w:t>sprzętu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określonymi w opisie przed</w:t>
            </w:r>
            <w:r w:rsidR="007D02AB">
              <w:rPr>
                <w:b w:val="0"/>
                <w:sz w:val="18"/>
                <w:szCs w:val="18"/>
              </w:rPr>
              <w:t>miotu zamówienia (załącznik</w:t>
            </w:r>
            <w:r w:rsidR="004602D3">
              <w:rPr>
                <w:b w:val="0"/>
                <w:sz w:val="18"/>
                <w:szCs w:val="18"/>
              </w:rPr>
              <w:t xml:space="preserve"> 2</w:t>
            </w:r>
            <w:r w:rsidR="0016681E">
              <w:rPr>
                <w:b w:val="0"/>
                <w:sz w:val="18"/>
                <w:szCs w:val="18"/>
              </w:rPr>
              <w:t xml:space="preserve"> A-B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AE4955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Default="00C25340" w:rsidP="00AE4955">
      <w:pPr>
        <w:pStyle w:val="Nagwek2"/>
        <w:keepNext w:val="0"/>
        <w:widowControl w:val="0"/>
        <w:spacing w:after="0" w:line="360" w:lineRule="auto"/>
        <w:ind w:left="568" w:hanging="284"/>
        <w:contextualSpacing w:val="0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0DB4E61" w:rsidR="00C25340" w:rsidRDefault="00C325E2" w:rsidP="00AE4955">
      <w:pPr>
        <w:widowControl w:val="0"/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F776F5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115778618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5F22BB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1C53DA60" w:rsidR="00A867B7" w:rsidRDefault="006A1250" w:rsidP="00AE4955">
      <w:pPr>
        <w:widowControl w:val="0"/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5F22BB">
      <w:pPr>
        <w:pStyle w:val="Nagwek3"/>
        <w:widowControl w:val="0"/>
        <w:numPr>
          <w:ilvl w:val="0"/>
          <w:numId w:val="11"/>
        </w:numPr>
        <w:ind w:left="851" w:hanging="284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9E3803">
      <w:pPr>
        <w:pStyle w:val="Nagwek4"/>
        <w:widowControl w:val="0"/>
        <w:numPr>
          <w:ilvl w:val="0"/>
          <w:numId w:val="12"/>
        </w:numPr>
        <w:spacing w:before="0" w:after="0"/>
        <w:ind w:left="1135" w:hanging="284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9E3803">
      <w:pPr>
        <w:pStyle w:val="Nagwek4"/>
        <w:widowControl w:val="0"/>
        <w:spacing w:before="0" w:after="0"/>
        <w:ind w:left="1135" w:hanging="284"/>
        <w:contextualSpacing w:val="0"/>
      </w:pPr>
      <w:r w:rsidRPr="00876189">
        <w:t>handlu ludźmi, o którym mowa w art. 189a Kodeksu karnego,</w:t>
      </w:r>
    </w:p>
    <w:p w14:paraId="0B0CB9E6" w14:textId="0B77C2DD" w:rsidR="007405D7" w:rsidRPr="007405D7" w:rsidRDefault="00771EE8" w:rsidP="009E3803">
      <w:pPr>
        <w:pStyle w:val="Nagwek4"/>
        <w:widowControl w:val="0"/>
        <w:spacing w:before="0" w:after="0"/>
        <w:ind w:left="1135" w:hanging="284"/>
        <w:contextualSpacing w:val="0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>(Dz. U. z 202</w:t>
      </w:r>
      <w:r w:rsidR="00530CC3">
        <w:rPr>
          <w:bCs w:val="0"/>
          <w:iCs w:val="0"/>
          <w:lang w:val="pl-PL"/>
        </w:rPr>
        <w:t>2</w:t>
      </w:r>
      <w:r>
        <w:rPr>
          <w:bCs w:val="0"/>
          <w:iCs w:val="0"/>
        </w:rPr>
        <w:t xml:space="preserve"> r. poz. </w:t>
      </w:r>
      <w:r w:rsidR="00530CC3">
        <w:rPr>
          <w:bCs w:val="0"/>
          <w:iCs w:val="0"/>
          <w:lang w:val="pl-PL"/>
        </w:rPr>
        <w:t>1599</w:t>
      </w:r>
      <w:r>
        <w:rPr>
          <w:bCs w:val="0"/>
          <w:iCs w:val="0"/>
        </w:rPr>
        <w:t xml:space="preserve"> </w:t>
      </w:r>
      <w:r>
        <w:rPr>
          <w:bCs w:val="0"/>
          <w:iCs w:val="0"/>
          <w:lang w:val="pl-PL"/>
        </w:rPr>
        <w:t xml:space="preserve">ze zm.)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r w:rsidR="009721D4" w:rsidRPr="009721D4">
        <w:rPr>
          <w:bCs w:val="0"/>
          <w:iCs w:val="0"/>
        </w:rPr>
        <w:t>Dz.U. 2022 poz. 2555 ze zm</w:t>
      </w:r>
      <w:r>
        <w:rPr>
          <w:bCs w:val="0"/>
          <w:iCs w:val="0"/>
          <w:lang w:val="pl-PL"/>
        </w:rPr>
        <w:t>.)</w:t>
      </w:r>
      <w:r w:rsidR="007405D7" w:rsidRPr="009664F4">
        <w:t>,</w:t>
      </w:r>
    </w:p>
    <w:p w14:paraId="7165BEC8" w14:textId="7C5F8C67" w:rsidR="00876189" w:rsidRDefault="00876189" w:rsidP="009E3803">
      <w:pPr>
        <w:pStyle w:val="Nagwek4"/>
        <w:spacing w:before="0" w:after="0"/>
        <w:ind w:left="1135" w:hanging="284"/>
        <w:contextualSpacing w:val="0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lastRenderedPageBreak/>
        <w:t>o charakterze terrorystycznym, o którym mowa w art. 115 § 20 Kodeksu karnego, lub mające na celu popełnienie tego przestępstwa,</w:t>
      </w:r>
    </w:p>
    <w:p w14:paraId="57A68689" w14:textId="2F067821" w:rsidR="00DB261B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B07CB2" w:rsidRPr="00B07CB2">
        <w:t>Dz.U. 2021 poz. 1745</w:t>
      </w:r>
      <w:r w:rsidRPr="00781509">
        <w:t>),</w:t>
      </w:r>
    </w:p>
    <w:p w14:paraId="4B57FBCC" w14:textId="49F9FA2C" w:rsidR="00781509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9B18A7">
      <w:pPr>
        <w:pStyle w:val="Nagwek4"/>
        <w:spacing w:before="0" w:after="0"/>
        <w:ind w:left="1134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9B18A7">
      <w:pPr>
        <w:pStyle w:val="Nagwek4"/>
        <w:numPr>
          <w:ilvl w:val="0"/>
          <w:numId w:val="0"/>
        </w:numPr>
        <w:spacing w:before="0" w:after="0"/>
        <w:ind w:left="1068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9B18A7">
      <w:pPr>
        <w:pStyle w:val="Nagwek3"/>
        <w:ind w:left="851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4839511F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prawomocnie orzeczono zakaz ubiegania się o zamówienia publiczne;</w:t>
      </w:r>
    </w:p>
    <w:p w14:paraId="2C90CD81" w14:textId="35BE8BA8" w:rsidR="002B6782" w:rsidRDefault="002B6782" w:rsidP="009B18A7">
      <w:pPr>
        <w:pStyle w:val="Nagwek3"/>
        <w:ind w:left="851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3286BD64" w:rsidR="002B6782" w:rsidRDefault="002B6782" w:rsidP="009B18A7">
      <w:pPr>
        <w:pStyle w:val="Nagwek3"/>
        <w:ind w:left="851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>ykonawcy lub podmiotu, który należy z</w:t>
      </w:r>
      <w:r>
        <w:t> </w:t>
      </w:r>
      <w:r w:rsidR="008C0D41">
        <w:t>W</w:t>
      </w:r>
      <w:r w:rsidRPr="002B6782">
        <w:t>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 xml:space="preserve">konsumentów, chyba że spowodowane tym zakłócenie konkurencji może być wyeliminowane w inny sposób niż przez wykluczenie </w:t>
      </w:r>
      <w:r w:rsidR="008C0D41">
        <w:t>W</w:t>
      </w:r>
      <w:r w:rsidRPr="002B6782">
        <w:t>ykonawcy z udziału w postępowaniu o</w:t>
      </w:r>
      <w:r>
        <w:t> </w:t>
      </w:r>
      <w:r w:rsidRPr="002B6782">
        <w:t>udzielenie zamówienia.</w:t>
      </w:r>
    </w:p>
    <w:p w14:paraId="12FCED1B" w14:textId="7B4F7EC8" w:rsidR="00A62353" w:rsidRPr="00A62353" w:rsidRDefault="00F85C46" w:rsidP="009B18A7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2F56CF">
        <w:rPr>
          <w:rFonts w:eastAsia="Calibri"/>
        </w:rPr>
        <w:lastRenderedPageBreak/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162D545B" w:rsidR="00F85C46" w:rsidRDefault="00A62353" w:rsidP="009B18A7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 xml:space="preserve">ykluczy z postępowania </w:t>
      </w:r>
      <w:r w:rsidR="006B60CC">
        <w:t>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1A9275AC" w:rsidR="002F56CF" w:rsidRPr="00ED6871" w:rsidRDefault="00A62DD6" w:rsidP="005F22BB">
      <w:pPr>
        <w:pStyle w:val="Nagwek3"/>
        <w:numPr>
          <w:ilvl w:val="0"/>
          <w:numId w:val="21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który w sposób zawiniony poważnie naruszył obowiązki zawodowe, co podważa jego uczciwość, w szczególności gdy </w:t>
      </w:r>
      <w:r w:rsidR="001E1D5E">
        <w:rPr>
          <w:rFonts w:eastAsia="Calibri"/>
        </w:rPr>
        <w:t>W</w:t>
      </w:r>
      <w:r w:rsidRPr="00ED6871">
        <w:rPr>
          <w:rFonts w:eastAsia="Calibri"/>
        </w:rPr>
        <w:t>ykonawca w wyniku zamierzonego działania lub rażącego niedbalstwa nie wykonał lub nienależycie wykonał zamówienie, co</w:t>
      </w:r>
      <w:r w:rsidR="001E1D5E">
        <w:rPr>
          <w:rFonts w:eastAsia="Calibri"/>
        </w:rPr>
        <w:t xml:space="preserve"> Z</w:t>
      </w:r>
      <w:r w:rsidRPr="00ED6871">
        <w:rPr>
          <w:rFonts w:eastAsia="Calibri"/>
        </w:rPr>
        <w:t>amawiający jest w stanie wykazać za pomocą stosownych dowodów;</w:t>
      </w:r>
    </w:p>
    <w:p w14:paraId="4405B349" w14:textId="095A4F9B" w:rsidR="00A62DD6" w:rsidRPr="00A62DD6" w:rsidRDefault="00A62DD6" w:rsidP="009B18A7">
      <w:pPr>
        <w:pStyle w:val="Nagwek3"/>
        <w:ind w:left="851" w:hanging="284"/>
        <w:contextualSpacing w:val="0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702B1651" w:rsidR="007E1600" w:rsidRPr="00ED6871" w:rsidRDefault="000433CC" w:rsidP="005F22BB">
      <w:pPr>
        <w:pStyle w:val="Nagwek3"/>
        <w:numPr>
          <w:ilvl w:val="0"/>
          <w:numId w:val="13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5F22BB">
      <w:pPr>
        <w:pStyle w:val="Nagwek4"/>
        <w:numPr>
          <w:ilvl w:val="0"/>
          <w:numId w:val="14"/>
        </w:numPr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Default="007E1600" w:rsidP="009B18A7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 xml:space="preserve">spowodowanymi przez nie szkodami, aktywnie współpracując odpowiednio z właściwymi organami, w tym organami ścigania, lub </w:t>
      </w:r>
      <w:r w:rsidR="000433CC">
        <w:rPr>
          <w:rFonts w:eastAsia="Calibri"/>
          <w:lang w:val="pl-PL"/>
        </w:rPr>
        <w:t>Z</w:t>
      </w:r>
      <w:r w:rsidR="00A62353" w:rsidRPr="00A62353">
        <w:rPr>
          <w:rFonts w:eastAsia="Calibri"/>
          <w:lang w:val="pl-PL"/>
        </w:rPr>
        <w:t>amawiającym;</w:t>
      </w:r>
    </w:p>
    <w:p w14:paraId="64CB6E67" w14:textId="2FB3518A" w:rsidR="00A62353" w:rsidRPr="00642C54" w:rsidRDefault="00A62353" w:rsidP="009B18A7">
      <w:pPr>
        <w:pStyle w:val="Nagwek3"/>
        <w:ind w:left="851" w:hanging="284"/>
        <w:contextualSpacing w:val="0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3B228A81" w:rsidR="00A62353" w:rsidRPr="00642C54" w:rsidRDefault="00A62353" w:rsidP="005F22BB">
      <w:pPr>
        <w:pStyle w:val="Nagwek4"/>
        <w:numPr>
          <w:ilvl w:val="0"/>
          <w:numId w:val="15"/>
        </w:numPr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642C54">
        <w:rPr>
          <w:rFonts w:eastAsia="Calibri"/>
        </w:rPr>
        <w:t xml:space="preserve">zerwał wszelkie powiązania z osobami lub podmiotami odpowiedzialnymi za nieprawidłowe postępowanie </w:t>
      </w:r>
      <w:r w:rsidR="000C0F8D">
        <w:rPr>
          <w:rFonts w:eastAsia="Calibri"/>
          <w:lang w:val="pl-PL"/>
        </w:rPr>
        <w:t>W</w:t>
      </w:r>
      <w:r w:rsidRPr="00642C54">
        <w:rPr>
          <w:rFonts w:eastAsia="Calibri"/>
        </w:rPr>
        <w:t>ykonawcy,</w:t>
      </w:r>
    </w:p>
    <w:p w14:paraId="0DFA2EF4" w14:textId="38FE9BB8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0433CC" w:rsidRDefault="00A62353" w:rsidP="00971430">
      <w:pPr>
        <w:pStyle w:val="Nagwek4"/>
        <w:tabs>
          <w:tab w:val="left" w:pos="1134"/>
        </w:tabs>
        <w:spacing w:before="0" w:after="132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lastRenderedPageBreak/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1B520E3F" w:rsidR="009E4BCB" w:rsidRPr="00ED6871" w:rsidRDefault="009E4BCB" w:rsidP="005F22BB">
      <w:pPr>
        <w:pStyle w:val="Nagwek3"/>
        <w:numPr>
          <w:ilvl w:val="0"/>
          <w:numId w:val="16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Zamawiający oceni, czy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ykonawcy. Jeżeli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>ykonawcę;</w:t>
      </w:r>
    </w:p>
    <w:p w14:paraId="609B3AEF" w14:textId="3507560B" w:rsid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 xml:space="preserve">ć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7C2C0EF8" w:rsidR="009E4BCB" w:rsidRP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235A5">
        <w:rPr>
          <w:rFonts w:eastAsia="Calibri"/>
        </w:rPr>
        <w:t>W</w:t>
      </w:r>
      <w:r w:rsidR="00B66BD4">
        <w:rPr>
          <w:rFonts w:eastAsia="Calibri"/>
        </w:rPr>
        <w:t>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66AB27A5" w:rsidR="00D83EC3" w:rsidRDefault="00D83EC3" w:rsidP="009B18A7">
      <w:pPr>
        <w:pStyle w:val="Nagwek3"/>
        <w:ind w:left="851" w:hanging="284"/>
        <w:contextualSpacing w:val="0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</w:t>
      </w:r>
      <w:r w:rsidR="006235A5">
        <w:rPr>
          <w:rFonts w:eastAsia="Calibri"/>
        </w:rPr>
        <w:t>W</w:t>
      </w:r>
      <w:r>
        <w:rPr>
          <w:rFonts w:eastAsia="Calibri"/>
        </w:rPr>
        <w:t xml:space="preserve">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1D6CA31F" w14:textId="77777777" w:rsidR="00DB5849" w:rsidRPr="00DB5849" w:rsidRDefault="00DB5849" w:rsidP="005F22BB">
      <w:pPr>
        <w:numPr>
          <w:ilvl w:val="0"/>
          <w:numId w:val="66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77777777" w:rsidR="00DB5849" w:rsidRPr="00DB5849" w:rsidRDefault="00DB5849" w:rsidP="005F22BB">
      <w:pPr>
        <w:numPr>
          <w:ilvl w:val="0"/>
          <w:numId w:val="66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Zgodnie z treścią przepisu, o którym mowa w ust. 5, zakazuje się udzielania lub dalszego wykonywania wszelkich zamówień publicznych lub koncesji objętych zakresem dyrektyw                     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lastRenderedPageBreak/>
        <w:t>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B26315" w14:textId="77777777" w:rsidR="00DB5849" w:rsidRPr="00DB5849" w:rsidRDefault="00DB5849" w:rsidP="005F22BB">
      <w:pPr>
        <w:numPr>
          <w:ilvl w:val="0"/>
          <w:numId w:val="67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5F22BB">
      <w:pPr>
        <w:numPr>
          <w:ilvl w:val="0"/>
          <w:numId w:val="67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5F22BB">
      <w:pPr>
        <w:numPr>
          <w:ilvl w:val="0"/>
          <w:numId w:val="67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73BA0582" w:rsidR="00DB5849" w:rsidRPr="00DB5849" w:rsidRDefault="00DB5849" w:rsidP="005F22BB">
      <w:pPr>
        <w:numPr>
          <w:ilvl w:val="0"/>
          <w:numId w:val="68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</w:t>
      </w:r>
      <w:r w:rsidR="00106170" w:rsidRPr="00106170">
        <w:rPr>
          <w:rFonts w:eastAsia="Calibri" w:cs="Times New Roman"/>
          <w:bCs/>
          <w:noProof/>
          <w:szCs w:val="26"/>
          <w:lang w:eastAsia="x-none"/>
        </w:rPr>
        <w:t>Dz.U. 2023 poz. 129 ze zm.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77777777" w:rsidR="00DB5849" w:rsidRPr="00DB5849" w:rsidRDefault="00DB5849" w:rsidP="005F22BB">
      <w:pPr>
        <w:numPr>
          <w:ilvl w:val="0"/>
          <w:numId w:val="70"/>
        </w:numPr>
        <w:ind w:left="851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          i niezależność Ukrainy lub im zagrażających (Dz. Urz. UE L 78 z 17.03.2014, str. 6, z późn. zm.) – „rozporządzenie 269/2014” albo wpisanego na listę na podstawie decyzji  w sprawie wpisu na listę rozstrzygającej o zastosowaniu środka, o którym mowa w art. 1 pkt 3 Ustawy;</w:t>
      </w:r>
    </w:p>
    <w:p w14:paraId="5C52DF0B" w14:textId="77777777" w:rsidR="00DB5849" w:rsidRPr="00DB5849" w:rsidRDefault="00DB5849" w:rsidP="005F22BB">
      <w:pPr>
        <w:numPr>
          <w:ilvl w:val="0"/>
          <w:numId w:val="70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 dnia 1 marca 2018 r. o przeciwdziałaniu praniu pieniędzy oraz finansowaniu terroryzmu (Dz. U. z 2022 r. poz. 593 i 655)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15CD79C8" w:rsidR="00DB5849" w:rsidRPr="00DB5849" w:rsidRDefault="00DB5849" w:rsidP="005F22BB">
      <w:pPr>
        <w:numPr>
          <w:ilvl w:val="0"/>
          <w:numId w:val="70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5528C" w:rsidRPr="00F5528C">
        <w:rPr>
          <w:rFonts w:eastAsia="Times New Roman" w:cs="Times New Roman"/>
          <w:szCs w:val="20"/>
          <w:lang w:eastAsia="x-none"/>
        </w:rPr>
        <w:t>Dz.U. 2023 poz. 120 ze zm.</w:t>
      </w:r>
      <w:r w:rsidRPr="00DB5849">
        <w:rPr>
          <w:rFonts w:eastAsia="Times New Roman" w:cs="Times New Roman"/>
          <w:szCs w:val="20"/>
          <w:lang w:eastAsia="x-none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4861A37" w14:textId="77777777" w:rsidR="00DB5849" w:rsidRPr="00DB5849" w:rsidRDefault="00DB5849" w:rsidP="005F22BB">
      <w:pPr>
        <w:widowControl w:val="0"/>
        <w:numPr>
          <w:ilvl w:val="0"/>
          <w:numId w:val="69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lastRenderedPageBreak/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77777777" w:rsidR="00DB5849" w:rsidRPr="00DB5849" w:rsidRDefault="00DB5849" w:rsidP="005F22BB">
      <w:pPr>
        <w:widowControl w:val="0"/>
        <w:numPr>
          <w:ilvl w:val="0"/>
          <w:numId w:val="69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377C01B" w14:textId="77777777" w:rsidR="00DB5849" w:rsidRPr="00DB5849" w:rsidRDefault="00DB5849" w:rsidP="005F22BB">
      <w:pPr>
        <w:widowControl w:val="0"/>
        <w:numPr>
          <w:ilvl w:val="0"/>
          <w:numId w:val="69"/>
        </w:numPr>
        <w:spacing w:after="120"/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6150BB">
      <w:pPr>
        <w:pStyle w:val="Nagwek1"/>
        <w:spacing w:before="0"/>
      </w:pPr>
      <w:bookmarkStart w:id="17" w:name="_Toc115778619"/>
      <w:r>
        <w:t>Kwalifikacja podmiotowa – warunki udziału w postępowaniu.</w:t>
      </w:r>
      <w:bookmarkEnd w:id="17"/>
    </w:p>
    <w:p w14:paraId="1B4ABB7F" w14:textId="737567E4" w:rsidR="00CA4B1E" w:rsidRPr="003E5B10" w:rsidRDefault="009331BE" w:rsidP="006150BB">
      <w:pPr>
        <w:pStyle w:val="Nagwek2"/>
        <w:keepNext w:val="0"/>
        <w:widowControl w:val="0"/>
        <w:numPr>
          <w:ilvl w:val="0"/>
          <w:numId w:val="0"/>
        </w:numPr>
        <w:spacing w:after="120" w:line="360" w:lineRule="auto"/>
        <w:ind w:left="567"/>
        <w:contextualSpacing w:val="0"/>
        <w:rPr>
          <w:rFonts w:eastAsia="Calibri"/>
          <w:b w:val="0"/>
          <w:color w:val="auto"/>
        </w:rPr>
      </w:pPr>
      <w:r w:rsidRPr="003E5B10">
        <w:rPr>
          <w:rFonts w:eastAsia="Calibri"/>
          <w:b w:val="0"/>
          <w:color w:val="auto"/>
        </w:rPr>
        <w:t xml:space="preserve">Zgodnie z przepisem art. 112 ust. 1 w zw. z art. 57 pkt 2 ustawy Pzp, </w:t>
      </w:r>
      <w:r w:rsidRPr="003E5B10">
        <w:rPr>
          <w:rFonts w:eastAsia="Calibri" w:cs="Arial"/>
          <w:b w:val="0"/>
          <w:color w:val="auto"/>
          <w:szCs w:val="20"/>
          <w:lang w:eastAsia="pl-PL"/>
        </w:rPr>
        <w:t>nie określa warunków udziału w przedmiotowym postępowaniu.</w:t>
      </w:r>
    </w:p>
    <w:p w14:paraId="3E643AB9" w14:textId="44A1632C" w:rsidR="00990E43" w:rsidRPr="00E054BA" w:rsidRDefault="0001285D" w:rsidP="006150BB">
      <w:pPr>
        <w:pStyle w:val="Nagwek1"/>
        <w:spacing w:before="0"/>
        <w:rPr>
          <w:noProof/>
        </w:rPr>
      </w:pPr>
      <w:bookmarkStart w:id="18" w:name="_Toc115778620"/>
      <w:r>
        <w:rPr>
          <w:noProof/>
        </w:rPr>
        <w:t>Oświadczenie wstępne, podmiotowe środki dowodowe oraz inne dokumenty.</w:t>
      </w:r>
      <w:bookmarkEnd w:id="18"/>
    </w:p>
    <w:p w14:paraId="22CBC4F0" w14:textId="173F2CBF" w:rsidR="00F85C46" w:rsidRDefault="00B376D2" w:rsidP="005F22BB">
      <w:pPr>
        <w:pStyle w:val="Nagwek2"/>
        <w:keepNext w:val="0"/>
        <w:widowControl w:val="0"/>
        <w:numPr>
          <w:ilvl w:val="0"/>
          <w:numId w:val="18"/>
        </w:numPr>
        <w:spacing w:after="0" w:line="360" w:lineRule="auto"/>
        <w:ind w:left="567" w:hanging="283"/>
        <w:contextualSpacing w:val="0"/>
      </w:pPr>
      <w:r>
        <w:t>Oświadczenie wstępne, o którym mowa w art. 125 ust. 1 ustawy Pzp (JEDZ).</w:t>
      </w:r>
    </w:p>
    <w:p w14:paraId="123BB1FD" w14:textId="64DA00B2" w:rsidR="00402900" w:rsidRPr="00402900" w:rsidRDefault="00C812CA" w:rsidP="005F22BB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536"/>
        <w:gridCol w:w="4359"/>
      </w:tblGrid>
      <w:tr w:rsidR="00C8603B" w14:paraId="45CD50A3" w14:textId="77777777" w:rsidTr="00382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6150BB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9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359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6150BB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382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6150BB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59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6150BB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9"/>
    <w:p w14:paraId="0772857D" w14:textId="78F9DA8D" w:rsidR="00C243F8" w:rsidRDefault="00C243F8" w:rsidP="00971430">
      <w:pPr>
        <w:pStyle w:val="Nagwek3"/>
        <w:widowControl w:val="0"/>
        <w:spacing w:before="120"/>
        <w:ind w:left="851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27490FBD" w:rsidR="00021C6F" w:rsidRDefault="00021C6F" w:rsidP="00F04D75">
      <w:pPr>
        <w:pStyle w:val="Nagwek3"/>
        <w:ind w:left="851" w:hanging="284"/>
        <w:contextualSpacing w:val="0"/>
      </w:pPr>
      <w:r w:rsidRPr="00021C6F">
        <w:lastRenderedPageBreak/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5F573513" w:rsidR="00021C6F" w:rsidRDefault="00197CBB" w:rsidP="00F04D7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63D5E08B" w:rsidR="0012335E" w:rsidRPr="000A7A05" w:rsidRDefault="00A2561E" w:rsidP="00F04D75">
      <w:pPr>
        <w:pStyle w:val="Nagwek3"/>
        <w:numPr>
          <w:ilvl w:val="0"/>
          <w:numId w:val="20"/>
        </w:numPr>
        <w:ind w:left="851" w:hanging="284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011C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6150BB">
            <w:pPr>
              <w:widowControl w:val="0"/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D16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6150BB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0AAB2132" w14:textId="3ABD9674" w:rsidR="003C6FE1" w:rsidRDefault="003C6FE1" w:rsidP="00D969F1">
      <w:pPr>
        <w:pStyle w:val="Nagwek3"/>
        <w:spacing w:before="100" w:beforeAutospacing="1"/>
        <w:ind w:left="851" w:hanging="284"/>
        <w:contextualSpacing w:val="0"/>
        <w:rPr>
          <w:noProof/>
        </w:rPr>
      </w:pPr>
      <w:r w:rsidRPr="003C6FE1">
        <w:rPr>
          <w:noProof/>
        </w:rPr>
        <w:lastRenderedPageBreak/>
        <w:t xml:space="preserve">Jeżeli </w:t>
      </w:r>
      <w:r w:rsidR="009642F1">
        <w:rPr>
          <w:noProof/>
        </w:rPr>
        <w:t>W</w:t>
      </w:r>
      <w:r w:rsidRPr="003C6FE1">
        <w:rPr>
          <w:noProof/>
        </w:rPr>
        <w:t>ykonawca ma siedzibę lub miejsce zamieszkania poza granicami Rze</w:t>
      </w:r>
      <w:r w:rsidR="00475AAC">
        <w:rPr>
          <w:noProof/>
        </w:rPr>
        <w:t xml:space="preserve">czypospolitej Polskiej, zamiast </w:t>
      </w:r>
      <w:r w:rsidR="00475AAC" w:rsidRPr="00475AAC">
        <w:rPr>
          <w:noProof/>
        </w:rPr>
        <w:t xml:space="preserve">informacji z Krajowego Rejestru Karnego, o której mowa w pkt 1 lit. a – składa informację z odpowiedniego rejestru, takiego jak rejestr sądowy, albo, w przypadku braku takiego rejestru, inny równoważny dokument wydany przez właściwy organ sądowy lub administracyjny kraju, w którym </w:t>
      </w:r>
      <w:r w:rsidR="009642F1">
        <w:rPr>
          <w:noProof/>
        </w:rPr>
        <w:t>W</w:t>
      </w:r>
      <w:r w:rsidR="00475AAC" w:rsidRPr="00475AAC">
        <w:rPr>
          <w:noProof/>
        </w:rPr>
        <w:t>ykonawca ma siedzibę lub</w:t>
      </w:r>
      <w:r w:rsidR="00673F0B">
        <w:rPr>
          <w:noProof/>
        </w:rPr>
        <w:t xml:space="preserve"> </w:t>
      </w:r>
      <w:r w:rsidR="00673F0B" w:rsidRPr="00673F0B">
        <w:rPr>
          <w:noProof/>
        </w:rPr>
        <w:t>miejsce zamieszkania, w zakresie, o którym mowa w</w:t>
      </w:r>
      <w:r w:rsidR="00673F0B">
        <w:rPr>
          <w:noProof/>
        </w:rPr>
        <w:t> </w:t>
      </w:r>
      <w:r w:rsidR="00673F0B" w:rsidRPr="00673F0B">
        <w:rPr>
          <w:noProof/>
        </w:rPr>
        <w:t>pkt 1 lit. a (dokument powinien być wystawiony nie wcześniej niż 6 miesięcy przed jego złożeniem);</w:t>
      </w:r>
    </w:p>
    <w:p w14:paraId="6175C548" w14:textId="2FAE3358" w:rsidR="003C6FE1" w:rsidRDefault="004C0E1D" w:rsidP="00887DD3">
      <w:pPr>
        <w:pStyle w:val="Nagwek3"/>
        <w:ind w:left="851" w:hanging="284"/>
        <w:contextualSpacing w:val="0"/>
        <w:rPr>
          <w:noProof/>
        </w:rPr>
      </w:pPr>
      <w:r w:rsidRPr="004C0E1D">
        <w:rPr>
          <w:noProof/>
        </w:rPr>
        <w:t xml:space="preserve">Jeżeli w kraju, w którym </w:t>
      </w:r>
      <w:r w:rsidR="009642F1">
        <w:rPr>
          <w:noProof/>
        </w:rPr>
        <w:t>W</w:t>
      </w:r>
      <w:r w:rsidRPr="004C0E1D">
        <w:rPr>
          <w:noProof/>
        </w:rPr>
        <w:t>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 xml:space="preserve">du na siedzibę lub miejsce zamieszkania </w:t>
      </w:r>
      <w:r w:rsidR="009642F1">
        <w:rPr>
          <w:noProof/>
        </w:rPr>
        <w:t>W</w:t>
      </w:r>
      <w:r w:rsidRPr="004C0E1D">
        <w:rPr>
          <w:noProof/>
        </w:rPr>
        <w:t>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887DD3">
      <w:pPr>
        <w:pStyle w:val="Nagwek3"/>
        <w:ind w:left="851"/>
        <w:contextualSpacing w:val="0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486CBF">
      <w:pPr>
        <w:pStyle w:val="Nagwek2"/>
        <w:keepNext w:val="0"/>
        <w:spacing w:after="0" w:line="360" w:lineRule="auto"/>
        <w:ind w:left="567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5F22BB">
      <w:pPr>
        <w:pStyle w:val="Nagwek3"/>
        <w:numPr>
          <w:ilvl w:val="0"/>
          <w:numId w:val="62"/>
        </w:numPr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61DB1D67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Oryginał w formie elektronicznej lub kopia w</w:t>
            </w:r>
            <w:r w:rsidR="0048357C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45AC4447" w:rsidR="00912E09" w:rsidRPr="00912E09" w:rsidRDefault="00815FE8" w:rsidP="004A1FF6">
      <w:pPr>
        <w:pStyle w:val="Nagwek3"/>
        <w:widowControl w:val="0"/>
        <w:spacing w:before="120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lastRenderedPageBreak/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A1FF6">
            <w:pPr>
              <w:pStyle w:val="Nagwek3"/>
              <w:widowControl w:val="0"/>
              <w:numPr>
                <w:ilvl w:val="0"/>
                <w:numId w:val="0"/>
              </w:numPr>
              <w:spacing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4A1FF6">
      <w:pPr>
        <w:pStyle w:val="Nagwek2"/>
        <w:keepNext w:val="0"/>
        <w:widowControl w:val="0"/>
        <w:spacing w:after="0" w:line="360" w:lineRule="auto"/>
        <w:ind w:left="499" w:hanging="215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09EEE9D9" w:rsidR="00957C4D" w:rsidRPr="00957C4D" w:rsidRDefault="00957C4D" w:rsidP="005F22BB">
      <w:pPr>
        <w:pStyle w:val="Akapitzlist"/>
        <w:widowControl w:val="0"/>
        <w:numPr>
          <w:ilvl w:val="0"/>
          <w:numId w:val="63"/>
        </w:numPr>
        <w:ind w:left="851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</w:p>
    <w:p w14:paraId="67162656" w14:textId="656EFA43" w:rsidR="00F85C46" w:rsidRPr="002B20B0" w:rsidRDefault="00F85C46" w:rsidP="005F22BB">
      <w:pPr>
        <w:pStyle w:val="Akapitzlist"/>
        <w:widowControl w:val="0"/>
        <w:numPr>
          <w:ilvl w:val="0"/>
          <w:numId w:val="63"/>
        </w:numPr>
        <w:spacing w:after="120"/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</w:t>
      </w:r>
      <w:r w:rsidR="008E4775">
        <w:t xml:space="preserve">   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FA197E">
      <w:pPr>
        <w:pStyle w:val="Nagwek1"/>
        <w:spacing w:before="0"/>
      </w:pPr>
      <w:bookmarkStart w:id="20" w:name="_Toc115778621"/>
      <w:r w:rsidRPr="00E054BA">
        <w:t>Wymagania dotyczące wadium.</w:t>
      </w:r>
      <w:bookmarkStart w:id="21" w:name="OLE_LINK1"/>
      <w:bookmarkEnd w:id="20"/>
      <w:r w:rsidRPr="00E054BA">
        <w:t xml:space="preserve"> </w:t>
      </w:r>
    </w:p>
    <w:p w14:paraId="4C85B9F4" w14:textId="38FF2120" w:rsidR="00021026" w:rsidRPr="001858B3" w:rsidRDefault="004602D3" w:rsidP="00FA197E">
      <w:pPr>
        <w:widowControl w:val="0"/>
        <w:spacing w:before="120" w:after="120"/>
        <w:outlineLvl w:val="2"/>
        <w:rPr>
          <w:rFonts w:eastAsia="Times New Roman" w:cs="Times New Roman"/>
          <w:bCs/>
          <w:szCs w:val="26"/>
        </w:rPr>
      </w:pPr>
      <w:bookmarkStart w:id="22" w:name="_Hlk71105721"/>
      <w:bookmarkEnd w:id="21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23D7B950" w:rsidR="00F85C46" w:rsidRPr="00E054BA" w:rsidRDefault="004B4CE9" w:rsidP="00FA197E">
      <w:pPr>
        <w:pStyle w:val="Nagwek1"/>
        <w:spacing w:before="0"/>
      </w:pPr>
      <w:bookmarkStart w:id="23" w:name="_Toc115778622"/>
      <w:bookmarkEnd w:id="22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5F22BB">
      <w:pPr>
        <w:pStyle w:val="Nagwek2"/>
        <w:keepNext w:val="0"/>
        <w:widowControl w:val="0"/>
        <w:numPr>
          <w:ilvl w:val="0"/>
          <w:numId w:val="22"/>
        </w:numPr>
        <w:spacing w:after="0" w:line="360" w:lineRule="auto"/>
        <w:ind w:left="567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5F22BB">
      <w:pPr>
        <w:pStyle w:val="Nagwek3"/>
        <w:widowControl w:val="0"/>
        <w:numPr>
          <w:ilvl w:val="0"/>
          <w:numId w:val="55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52446A73" w:rsidR="00D05F0F" w:rsidRPr="00ED6871" w:rsidRDefault="00D05F0F" w:rsidP="005F22BB">
      <w:pPr>
        <w:pStyle w:val="Nagwek3"/>
        <w:widowControl w:val="0"/>
        <w:numPr>
          <w:ilvl w:val="0"/>
          <w:numId w:val="23"/>
        </w:numPr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4041F8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0B6E9981" w:rsidR="00D05F0F" w:rsidRPr="00D05F0F" w:rsidRDefault="00D05F0F" w:rsidP="004A1FF6">
      <w:pPr>
        <w:pStyle w:val="Nagwek3"/>
        <w:widowControl w:val="0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lastRenderedPageBreak/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5839ED92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68949721" w:rsidR="00907E2D" w:rsidRDefault="006D6009" w:rsidP="003D17E1">
      <w:pPr>
        <w:pStyle w:val="Nagwek3"/>
        <w:spacing w:after="240"/>
        <w:ind w:left="851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5E1241">
        <w:rPr>
          <w:b/>
          <w:color w:val="222A35" w:themeColor="text2" w:themeShade="80"/>
          <w:lang w:val="pl"/>
        </w:rPr>
        <w:t>mgr Damian Ludwikowski, mgr Justyna Rutkowska – Zawada, mgr 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5F22BB">
      <w:pPr>
        <w:pStyle w:val="Nagwek3"/>
        <w:numPr>
          <w:ilvl w:val="0"/>
          <w:numId w:val="24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5F22BB">
      <w:pPr>
        <w:pStyle w:val="Nagwek4"/>
        <w:numPr>
          <w:ilvl w:val="0"/>
          <w:numId w:val="25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6C2AED">
      <w:pPr>
        <w:pStyle w:val="Nagwek3"/>
        <w:ind w:left="851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35175F7" w:rsidR="00D05F0F" w:rsidRPr="00D05F0F" w:rsidRDefault="00D05F0F" w:rsidP="005F22BB">
      <w:pPr>
        <w:pStyle w:val="Nagwek4"/>
        <w:numPr>
          <w:ilvl w:val="0"/>
          <w:numId w:val="26"/>
        </w:numPr>
        <w:spacing w:before="0" w:after="0"/>
        <w:ind w:left="1134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65D7B8D3" w:rsidR="00D05F0F" w:rsidRDefault="00D05F0F" w:rsidP="006C2AED">
      <w:pPr>
        <w:pStyle w:val="Nagwek4"/>
        <w:spacing w:before="0" w:after="0"/>
        <w:ind w:left="1134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6C2AED">
      <w:pPr>
        <w:pStyle w:val="Nagwek3"/>
        <w:ind w:left="851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462D15" w:rsidP="006C2AED">
      <w:pPr>
        <w:pStyle w:val="Nagwek3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190E419E" w:rsidR="003439DD" w:rsidRDefault="003439DD" w:rsidP="005F22BB">
      <w:pPr>
        <w:pStyle w:val="Nagwek3"/>
        <w:widowControl w:val="0"/>
        <w:numPr>
          <w:ilvl w:val="0"/>
          <w:numId w:val="27"/>
        </w:numPr>
        <w:ind w:left="851" w:hanging="284"/>
        <w:contextualSpacing w:val="0"/>
      </w:pPr>
      <w:bookmarkStart w:id="24" w:name="_wp2umuqo1p7z" w:colFirst="0" w:colLast="0"/>
      <w:bookmarkEnd w:id="24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4271BC">
      <w:pPr>
        <w:pStyle w:val="Nagwek4"/>
        <w:widowControl w:val="0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4271BC">
      <w:pPr>
        <w:pStyle w:val="Nagwek4"/>
        <w:widowControl w:val="0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4271BC">
      <w:pPr>
        <w:pStyle w:val="Nagwek3"/>
        <w:widowControl w:val="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Default="00D05F0F" w:rsidP="004271BC">
      <w:pPr>
        <w:pStyle w:val="Nagwek3"/>
        <w:widowControl w:val="0"/>
        <w:spacing w:after="12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4271BC">
      <w:pPr>
        <w:pStyle w:val="Nagwek1"/>
        <w:spacing w:before="0"/>
      </w:pPr>
      <w:bookmarkStart w:id="25" w:name="_Toc115778623"/>
      <w:r>
        <w:t xml:space="preserve">Opis sposobu przygotowania </w:t>
      </w:r>
      <w:r w:rsidRPr="00430ADD">
        <w:t>ofert</w:t>
      </w:r>
      <w:r>
        <w:t>.</w:t>
      </w:r>
      <w:bookmarkEnd w:id="25"/>
    </w:p>
    <w:p w14:paraId="5F379EB3" w14:textId="44C82CE4" w:rsidR="00C540B8" w:rsidRDefault="00C540B8" w:rsidP="005F22BB">
      <w:pPr>
        <w:pStyle w:val="Nagwek2"/>
        <w:keepNext w:val="0"/>
        <w:widowControl w:val="0"/>
        <w:numPr>
          <w:ilvl w:val="0"/>
          <w:numId w:val="28"/>
        </w:numPr>
        <w:spacing w:after="0" w:line="360" w:lineRule="auto"/>
        <w:ind w:left="567" w:hanging="283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21CA6244" w:rsidR="00C540B8" w:rsidRDefault="00C540B8" w:rsidP="005F22BB">
      <w:pPr>
        <w:pStyle w:val="Nagwek3"/>
        <w:widowControl w:val="0"/>
        <w:numPr>
          <w:ilvl w:val="0"/>
          <w:numId w:val="29"/>
        </w:numPr>
        <w:spacing w:after="240"/>
        <w:ind w:left="851" w:hanging="284"/>
        <w:contextualSpacing w:val="0"/>
      </w:pPr>
      <w:r w:rsidRPr="00C540B8">
        <w:t>Wykonawca może złożyć tylko jedną ofertę</w:t>
      </w:r>
      <w:r w:rsidR="009155DF">
        <w:t xml:space="preserve">, w </w:t>
      </w:r>
      <w:r w:rsidR="002D3A3B">
        <w:t xml:space="preserve">zakresie danej części, w </w:t>
      </w:r>
      <w:r w:rsidR="004602D3">
        <w:t>niniejszym</w:t>
      </w:r>
      <w:r>
        <w:t xml:space="preserve"> postępowani</w:t>
      </w:r>
      <w:r w:rsidR="004602D3">
        <w:t>u</w:t>
      </w:r>
      <w:r>
        <w:t>;</w:t>
      </w:r>
    </w:p>
    <w:p w14:paraId="4849800E" w14:textId="2F760383" w:rsidR="008B0002" w:rsidRDefault="008B0002" w:rsidP="004271BC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lastRenderedPageBreak/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5B4A8B4" w:rsidR="00A57F79" w:rsidRPr="00A57F79" w:rsidRDefault="00A57F79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4041F8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6C2AED">
      <w:pPr>
        <w:pStyle w:val="Nagwek3"/>
        <w:ind w:left="851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4BABDFCF" w:rsidR="00297EB3" w:rsidRPr="00297EB3" w:rsidRDefault="00297EB3" w:rsidP="006C2AED">
      <w:pPr>
        <w:pStyle w:val="Nagwek3"/>
        <w:ind w:left="851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6C2AED">
      <w:pPr>
        <w:pStyle w:val="Nagwek3"/>
        <w:ind w:left="851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5F22BB">
      <w:pPr>
        <w:pStyle w:val="Nagwek4"/>
        <w:numPr>
          <w:ilvl w:val="0"/>
          <w:numId w:val="30"/>
        </w:numPr>
        <w:spacing w:before="0" w:after="0"/>
        <w:ind w:left="1134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 xml:space="preserve">ykonawca wspólnie ubiegający się o udzielenie </w:t>
      </w:r>
      <w:r>
        <w:lastRenderedPageBreak/>
        <w:t>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6C2AED">
      <w:pPr>
        <w:pStyle w:val="Nagwek4"/>
        <w:spacing w:before="0" w:after="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1B30D76B" w:rsidR="00002F1C" w:rsidRDefault="007213C6" w:rsidP="006C2AED">
      <w:pPr>
        <w:pStyle w:val="Nagwek3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6C2AED">
      <w:pPr>
        <w:pStyle w:val="Nagwek3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6C2AED">
      <w:pPr>
        <w:pStyle w:val="Nagwek3"/>
        <w:ind w:left="851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6C2AED">
      <w:pPr>
        <w:pStyle w:val="Nagwek3"/>
        <w:ind w:left="851" w:hanging="284"/>
        <w:contextualSpacing w:val="0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6C2AED">
      <w:pPr>
        <w:pStyle w:val="Nagwek3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0E474F85" w:rsidR="00EE444D" w:rsidRPr="0098225D" w:rsidRDefault="00002F1C" w:rsidP="006C2AED">
      <w:pPr>
        <w:pStyle w:val="Nagwek3"/>
        <w:ind w:left="851" w:hanging="284"/>
        <w:contextualSpacing w:val="0"/>
      </w:pPr>
      <w:r w:rsidRPr="003757FD">
        <w:rPr>
          <w:b/>
        </w:rPr>
        <w:t>Oferta powinna być</w:t>
      </w:r>
      <w:r w:rsidRPr="0098225D">
        <w:t xml:space="preserve"> złożona z</w:t>
      </w:r>
      <w:r w:rsidR="00EE444D" w:rsidRPr="0098225D">
        <w:t xml:space="preserve">godnie z treścią formularza oferty, stanowiącego załącznik nr 1A do niniejszej specyfikacji (Zamawiający dopuszcza odtworzenie tekstu formularza) </w:t>
      </w:r>
      <w:r w:rsidR="009B18A7" w:rsidRPr="0098225D">
        <w:t>podaniem</w:t>
      </w:r>
      <w:r w:rsidR="003757FD">
        <w:t>:</w:t>
      </w:r>
      <w:r w:rsidR="009B18A7" w:rsidRPr="0098225D">
        <w:t xml:space="preserve"> </w:t>
      </w:r>
      <w:r w:rsidR="002B15BF" w:rsidRPr="002B15BF">
        <w:rPr>
          <w:b/>
        </w:rPr>
        <w:t>cen jednostkowych netto,</w:t>
      </w:r>
      <w:r w:rsidR="002B15BF">
        <w:t xml:space="preserve"> </w:t>
      </w:r>
      <w:r w:rsidR="009B18A7" w:rsidRPr="003757FD">
        <w:rPr>
          <w:b/>
        </w:rPr>
        <w:t>ceny netto, stawki i doliczonej wartości podatku VAT, ceny brutto za przedmiot zamówienia</w:t>
      </w:r>
      <w:r w:rsidR="009B18A7" w:rsidRPr="0098225D">
        <w:t>, a także terminu</w:t>
      </w:r>
      <w:r w:rsidR="003757FD">
        <w:t xml:space="preserve"> realizacji zamówienia</w:t>
      </w:r>
      <w:r w:rsidR="002A2C08">
        <w:t xml:space="preserve">, </w:t>
      </w:r>
      <w:r w:rsidR="009B18A7" w:rsidRPr="0098225D">
        <w:t>okresu gwarancji</w:t>
      </w:r>
      <w:r w:rsidR="00656C22">
        <w:t>.</w:t>
      </w:r>
    </w:p>
    <w:p w14:paraId="5EF5C307" w14:textId="59E207F7" w:rsidR="00EE444D" w:rsidRPr="00EE444D" w:rsidRDefault="002A1A73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</w:t>
      </w:r>
      <w:r w:rsidR="00EE444D" w:rsidRPr="00D92CA4">
        <w:rPr>
          <w:rFonts w:eastAsia="Arial Unicode MS"/>
        </w:rPr>
        <w:t>kres gwarancji</w:t>
      </w:r>
      <w:r>
        <w:rPr>
          <w:rFonts w:eastAsia="Arial Unicode MS"/>
        </w:rPr>
        <w:t xml:space="preserve"> oraz </w:t>
      </w:r>
      <w:r w:rsidR="00EE444D" w:rsidRPr="00D92CA4">
        <w:rPr>
          <w:rFonts w:eastAsia="Arial Unicode MS"/>
        </w:rPr>
        <w:t>term</w:t>
      </w:r>
      <w:r w:rsidR="008B0002" w:rsidRPr="00D92CA4">
        <w:rPr>
          <w:rFonts w:eastAsia="Arial Unicode MS"/>
        </w:rPr>
        <w:t>in realizacji</w:t>
      </w:r>
      <w:r w:rsidR="008B0002">
        <w:rPr>
          <w:rFonts w:eastAsia="Arial Unicode MS"/>
        </w:rPr>
        <w:t xml:space="preserve">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2513454A" w:rsidR="00EE444D" w:rsidRDefault="00EE444D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2258D1">
        <w:rPr>
          <w:rFonts w:eastAsia="Arial Unicode MS"/>
        </w:rPr>
        <w:t>y</w:t>
      </w:r>
      <w:r w:rsidRPr="00EE444D">
        <w:rPr>
          <w:rFonts w:eastAsia="Arial Unicode MS"/>
        </w:rPr>
        <w:t xml:space="preserve"> </w:t>
      </w:r>
      <w:r w:rsidR="002258D1">
        <w:rPr>
          <w:rFonts w:eastAsia="Arial Unicode MS"/>
        </w:rPr>
        <w:t>sprzęt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Pr="00077106" w:rsidRDefault="00915A9C" w:rsidP="006C2AED">
      <w:pPr>
        <w:pStyle w:val="Nagwek3"/>
        <w:ind w:left="851" w:hanging="284"/>
        <w:contextualSpacing w:val="0"/>
      </w:pPr>
      <w:r w:rsidRPr="00077106">
        <w:lastRenderedPageBreak/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Default="00CE7E76" w:rsidP="006C2AED">
      <w:pPr>
        <w:pStyle w:val="Nagwek3"/>
        <w:ind w:left="851" w:hanging="284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 ustawy Pzp</w:t>
      </w:r>
      <w:r w:rsidRPr="00CE7E76">
        <w:t>;</w:t>
      </w:r>
    </w:p>
    <w:p w14:paraId="4DF2C4B9" w14:textId="1939732F" w:rsidR="00A57F79" w:rsidRPr="00A57F79" w:rsidRDefault="00A57F79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A57F79">
        <w:t>Opi</w:t>
      </w:r>
      <w:r>
        <w:t>s sposobu obliczenia ceny.</w:t>
      </w:r>
    </w:p>
    <w:p w14:paraId="79586CF7" w14:textId="439423AC" w:rsidR="00A57F79" w:rsidRPr="00A57F79" w:rsidRDefault="00A57F79" w:rsidP="005F22BB">
      <w:pPr>
        <w:pStyle w:val="Nagwek3"/>
        <w:numPr>
          <w:ilvl w:val="0"/>
          <w:numId w:val="31"/>
        </w:numPr>
        <w:ind w:left="851" w:hanging="284"/>
        <w:contextualSpacing w:val="0"/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bookmarkStart w:id="26" w:name="_Hlk140218736"/>
      <w:r w:rsidR="006C2AED" w:rsidRPr="00B4743F">
        <w:rPr>
          <w:b/>
        </w:rPr>
        <w:t xml:space="preserve">koszt </w:t>
      </w:r>
      <w:r w:rsidR="00530CC3" w:rsidRPr="00B4743F">
        <w:rPr>
          <w:b/>
        </w:rPr>
        <w:t>sprzętu</w:t>
      </w:r>
      <w:r w:rsidR="006C2AED" w:rsidRPr="00B4743F">
        <w:rPr>
          <w:b/>
        </w:rPr>
        <w:t xml:space="preserve"> wraz z dost</w:t>
      </w:r>
      <w:r w:rsidR="00B4743F">
        <w:rPr>
          <w:b/>
        </w:rPr>
        <w:t>awą</w:t>
      </w:r>
      <w:r w:rsidR="006C2AED" w:rsidRPr="00B4743F">
        <w:rPr>
          <w:b/>
        </w:rPr>
        <w:t>, rozładun</w:t>
      </w:r>
      <w:r w:rsidR="00B4743F">
        <w:rPr>
          <w:b/>
        </w:rPr>
        <w:t>kiem</w:t>
      </w:r>
      <w:r w:rsidR="006C2AED" w:rsidRPr="00B4743F">
        <w:rPr>
          <w:b/>
        </w:rPr>
        <w:t xml:space="preserve"> i wniesienia w miejsce wskazane przez Zamawiającego, koszt zapewnienia bezpłatnego serwisu technicznego</w:t>
      </w:r>
      <w:r w:rsidR="00B4743F">
        <w:rPr>
          <w:b/>
        </w:rPr>
        <w:t xml:space="preserve"> </w:t>
      </w:r>
      <w:r w:rsidR="006C2AED" w:rsidRPr="00B4743F">
        <w:rPr>
          <w:b/>
        </w:rPr>
        <w:t>w okresie gwarancyjnym</w:t>
      </w:r>
      <w:r w:rsidR="0053685B" w:rsidRPr="00B4743F">
        <w:rPr>
          <w:b/>
        </w:rPr>
        <w:t>, a także</w:t>
      </w:r>
      <w:r w:rsidR="00B4743F">
        <w:rPr>
          <w:b/>
        </w:rPr>
        <w:t xml:space="preserve"> w zakresie części A: koszt instalacji i uruchomienia sprzętu, </w:t>
      </w:r>
      <w:r w:rsidR="0053685B">
        <w:t xml:space="preserve"> </w:t>
      </w:r>
      <w:r w:rsidR="0053685B" w:rsidRPr="0053685B">
        <w:rPr>
          <w:b/>
        </w:rPr>
        <w:t xml:space="preserve">zgodnie </w:t>
      </w:r>
      <w:r w:rsidR="00B4743F">
        <w:rPr>
          <w:b/>
        </w:rPr>
        <w:t xml:space="preserve">                   </w:t>
      </w:r>
      <w:r w:rsidR="0053685B" w:rsidRPr="0053685B">
        <w:rPr>
          <w:b/>
        </w:rPr>
        <w:t>z opisem przedmiotu zamówieni</w:t>
      </w:r>
      <w:r w:rsidR="0053685B">
        <w:rPr>
          <w:b/>
        </w:rPr>
        <w:t>a</w:t>
      </w:r>
      <w:bookmarkEnd w:id="26"/>
      <w:r w:rsidR="0053685B">
        <w:rPr>
          <w:b/>
        </w:rPr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6C2AED">
      <w:pPr>
        <w:pStyle w:val="Nagwek3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3B9B9518" w:rsidR="00A57F79" w:rsidRPr="00E054BA" w:rsidRDefault="00473F6B" w:rsidP="006C2AED">
      <w:pPr>
        <w:pStyle w:val="Nagwek3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6C2AED">
      <w:pPr>
        <w:pStyle w:val="Nagwek3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4C312483" w14:textId="19AE5FA2" w:rsidR="00530CC3" w:rsidRPr="00221BE7" w:rsidRDefault="00530CC3" w:rsidP="00530CC3">
      <w:pPr>
        <w:pStyle w:val="Nagwek3"/>
        <w:ind w:left="851" w:hanging="284"/>
        <w:rPr>
          <w:b/>
        </w:rPr>
      </w:pPr>
      <w:r w:rsidRPr="00221BE7">
        <w:rPr>
          <w:b/>
        </w:rPr>
        <w:t xml:space="preserve">Jeżeli, po zawarciu umowy Zamawiający uzyska potwierdzenie przez </w:t>
      </w:r>
      <w:proofErr w:type="spellStart"/>
      <w:r w:rsidRPr="00221BE7">
        <w:rPr>
          <w:b/>
        </w:rPr>
        <w:t>MEiN</w:t>
      </w:r>
      <w:proofErr w:type="spellEnd"/>
      <w:r w:rsidRPr="00221BE7">
        <w:rPr>
          <w:b/>
        </w:rPr>
        <w:t xml:space="preserve"> (Ministerstwo Edukacji i Nauki), iż </w:t>
      </w:r>
      <w:r w:rsidR="002258D1" w:rsidRPr="00221BE7">
        <w:rPr>
          <w:b/>
        </w:rPr>
        <w:t>sprzęt</w:t>
      </w:r>
      <w:r w:rsidRPr="00221BE7">
        <w:rPr>
          <w:b/>
        </w:rPr>
        <w:t xml:space="preserve"> będąc</w:t>
      </w:r>
      <w:r w:rsidR="002258D1" w:rsidRPr="00221BE7">
        <w:rPr>
          <w:b/>
        </w:rPr>
        <w:t>y</w:t>
      </w:r>
      <w:r w:rsidRPr="00221BE7">
        <w:rPr>
          <w:b/>
        </w:rPr>
        <w:t xml:space="preserve"> przedmiotem umowy </w:t>
      </w:r>
      <w:r w:rsidR="002258D1" w:rsidRPr="00221BE7">
        <w:rPr>
          <w:b/>
        </w:rPr>
        <w:t>jest</w:t>
      </w:r>
      <w:r w:rsidRPr="00221BE7">
        <w:rPr>
          <w:b/>
        </w:rPr>
        <w:t xml:space="preserve"> przeznaczon</w:t>
      </w:r>
      <w:r w:rsidR="002258D1" w:rsidRPr="00221BE7">
        <w:rPr>
          <w:b/>
        </w:rPr>
        <w:t>y</w:t>
      </w:r>
      <w:r w:rsidRPr="00221BE7">
        <w:rPr>
          <w:b/>
        </w:rPr>
        <w:t xml:space="preserve"> dla placówki oświatowej, Wykonawca będzie miał prawo do zastosowania stawki podatku VAT w wysokości 0%.</w:t>
      </w:r>
    </w:p>
    <w:p w14:paraId="7C5D0C1B" w14:textId="6A375148" w:rsidR="00A57F79" w:rsidRDefault="00473F6B" w:rsidP="006C2AED">
      <w:pPr>
        <w:pStyle w:val="Nagwek3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</w:t>
      </w:r>
      <w:r w:rsidR="00A57F79" w:rsidRPr="00E054BA">
        <w:lastRenderedPageBreak/>
        <w:t>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Tajemnica przedsiębiorstwa.</w:t>
      </w:r>
    </w:p>
    <w:p w14:paraId="348E823F" w14:textId="28421A39" w:rsidR="007667C8" w:rsidRDefault="00CF4850" w:rsidP="005F22BB">
      <w:pPr>
        <w:pStyle w:val="Nagwek3"/>
        <w:numPr>
          <w:ilvl w:val="0"/>
          <w:numId w:val="32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6C2AED">
      <w:pPr>
        <w:pStyle w:val="Nagwek3"/>
        <w:ind w:left="851" w:hanging="284"/>
        <w:contextualSpacing w:val="0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D2272AD" w:rsidR="00197885" w:rsidRDefault="00197885" w:rsidP="006C2AED">
      <w:pPr>
        <w:pStyle w:val="Nagwek3"/>
        <w:ind w:left="851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F776F5">
      <w:pPr>
        <w:pStyle w:val="Nagwek1"/>
      </w:pPr>
      <w:bookmarkStart w:id="27" w:name="_Toc115778624"/>
      <w:r>
        <w:t>Sposób oraz termin składania ofert.</w:t>
      </w:r>
      <w:bookmarkEnd w:id="27"/>
    </w:p>
    <w:p w14:paraId="3FE1B093" w14:textId="7502386F" w:rsidR="0031115A" w:rsidRPr="00ED6871" w:rsidRDefault="0031115A" w:rsidP="005F22BB">
      <w:pPr>
        <w:pStyle w:val="Nagwek2"/>
        <w:keepNext w:val="0"/>
        <w:numPr>
          <w:ilvl w:val="0"/>
          <w:numId w:val="33"/>
        </w:numPr>
        <w:spacing w:before="240"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3B3B8DD8" w:rsidR="0031115A" w:rsidRDefault="0031115A" w:rsidP="0069639F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1F2E7A" w:rsidRPr="00462D15">
        <w:rPr>
          <w:b/>
        </w:rPr>
        <w:t>28.08.2023</w:t>
      </w:r>
      <w:r w:rsidR="00061F2F" w:rsidRPr="00462D15">
        <w:rPr>
          <w:b/>
        </w:rPr>
        <w:t xml:space="preserve"> r</w:t>
      </w:r>
      <w:r w:rsidR="00061F2F" w:rsidRPr="00D92CA4">
        <w:t>.</w:t>
      </w:r>
      <w:r w:rsidRPr="00D92CA4">
        <w:t xml:space="preserve"> do godziny </w:t>
      </w:r>
      <w:r w:rsidR="00B64B67" w:rsidRPr="00462D15">
        <w:rPr>
          <w:b/>
        </w:rPr>
        <w:t>09</w:t>
      </w:r>
      <w:r w:rsidR="00D92CA4" w:rsidRPr="00462D15">
        <w:rPr>
          <w:b/>
        </w:rPr>
        <w:t>:</w:t>
      </w:r>
      <w:r w:rsidR="00B64B67" w:rsidRPr="00462D15">
        <w:rPr>
          <w:b/>
        </w:rPr>
        <w:t>30</w:t>
      </w:r>
      <w:r w:rsidR="00D92CA4" w:rsidRPr="00462D15">
        <w:rPr>
          <w:b/>
        </w:rPr>
        <w:t>.</w:t>
      </w:r>
      <w:r w:rsidR="00D92CA4" w:rsidRPr="00D92CA4">
        <w:t xml:space="preserve"> </w:t>
      </w:r>
      <w:r w:rsidRPr="00D92CA4">
        <w:t>Oferty</w:t>
      </w:r>
      <w:r>
        <w:rPr>
          <w:lang w:eastAsia="x-none"/>
        </w:rPr>
        <w:t xml:space="preserve"> złożone po terminie będą podlegać odrzuceniu na podstawie przepisu art. 226 ust. 1 pkt 1 ustawy Pzp.</w:t>
      </w:r>
    </w:p>
    <w:p w14:paraId="6B72825F" w14:textId="384A0D69" w:rsidR="00B173C4" w:rsidRPr="0031115A" w:rsidRDefault="00B173C4" w:rsidP="0069639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5F22BB">
      <w:pPr>
        <w:pStyle w:val="Nagwek3"/>
        <w:numPr>
          <w:ilvl w:val="0"/>
          <w:numId w:val="34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lastRenderedPageBreak/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7728349A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C76F6CC" w:rsidR="0031115A" w:rsidRPr="0031115A" w:rsidRDefault="0031115A" w:rsidP="0069639F">
      <w:pPr>
        <w:pStyle w:val="Nagwek3"/>
        <w:spacing w:after="24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F776F5">
      <w:pPr>
        <w:pStyle w:val="Nagwek1"/>
      </w:pPr>
      <w:bookmarkStart w:id="28" w:name="_Toc115778625"/>
      <w:r w:rsidRPr="00E054BA">
        <w:t>Termin i tryb otwarcia ofert.</w:t>
      </w:r>
      <w:bookmarkEnd w:id="28"/>
    </w:p>
    <w:p w14:paraId="7D3146F9" w14:textId="4946C3EC" w:rsidR="0003593D" w:rsidRPr="00ED6871" w:rsidRDefault="0003593D" w:rsidP="005F22BB">
      <w:pPr>
        <w:pStyle w:val="Nagwek2"/>
        <w:keepNext w:val="0"/>
        <w:numPr>
          <w:ilvl w:val="0"/>
          <w:numId w:val="35"/>
        </w:numPr>
        <w:spacing w:before="240" w:after="0" w:line="360" w:lineRule="auto"/>
        <w:ind w:left="568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0DCE648E" w:rsidR="0003593D" w:rsidRPr="00462D15" w:rsidRDefault="0003593D" w:rsidP="005F22BB">
      <w:pPr>
        <w:pStyle w:val="Nagwek3"/>
        <w:numPr>
          <w:ilvl w:val="0"/>
          <w:numId w:val="36"/>
        </w:numPr>
        <w:ind w:left="851" w:hanging="284"/>
        <w:contextualSpacing w:val="0"/>
        <w:rPr>
          <w:rFonts w:eastAsia="Calibri"/>
          <w:b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1F2E7A" w:rsidRPr="00462D15">
        <w:rPr>
          <w:rFonts w:eastAsia="Calibri"/>
          <w:b/>
        </w:rPr>
        <w:t xml:space="preserve">28.08.2023 r </w:t>
      </w:r>
      <w:r w:rsidR="009A7AB0" w:rsidRPr="00462D15">
        <w:rPr>
          <w:rFonts w:eastAsia="Calibri"/>
          <w:b/>
        </w:rPr>
        <w:t xml:space="preserve">o godz. </w:t>
      </w:r>
      <w:r w:rsidR="00A832F1" w:rsidRPr="00462D15">
        <w:rPr>
          <w:rFonts w:eastAsia="Calibri"/>
          <w:b/>
        </w:rPr>
        <w:t>10:</w:t>
      </w:r>
      <w:r w:rsidR="00B64B67" w:rsidRPr="00462D15">
        <w:rPr>
          <w:rFonts w:eastAsia="Calibri"/>
          <w:b/>
        </w:rPr>
        <w:t>00</w:t>
      </w:r>
      <w:r w:rsidR="00A832F1" w:rsidRPr="00462D15">
        <w:rPr>
          <w:rFonts w:eastAsia="Calibri"/>
          <w:b/>
        </w:rPr>
        <w:t>;</w:t>
      </w:r>
    </w:p>
    <w:p w14:paraId="31305ACC" w14:textId="6A4122A8" w:rsidR="009A7AB0" w:rsidRPr="009A7AB0" w:rsidRDefault="009A7AB0" w:rsidP="0069639F">
      <w:pPr>
        <w:pStyle w:val="Nagwek3"/>
        <w:ind w:left="851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69639F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574F2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5F22BB">
      <w:pPr>
        <w:pStyle w:val="Nagwek3"/>
        <w:numPr>
          <w:ilvl w:val="0"/>
          <w:numId w:val="37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5F22BB">
      <w:pPr>
        <w:pStyle w:val="Nagwek4"/>
        <w:numPr>
          <w:ilvl w:val="0"/>
          <w:numId w:val="56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C128A9">
      <w:pPr>
        <w:pStyle w:val="Nagwek4"/>
        <w:spacing w:before="0" w:after="36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C128A9">
      <w:pPr>
        <w:pStyle w:val="Nagwek3"/>
        <w:widowControl w:val="0"/>
        <w:spacing w:after="120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lastRenderedPageBreak/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C128A9">
      <w:pPr>
        <w:pStyle w:val="Nagwek1"/>
        <w:spacing w:before="0"/>
      </w:pPr>
      <w:bookmarkStart w:id="29" w:name="_Toc115778626"/>
      <w:r>
        <w:t>Termin związania ofertą.</w:t>
      </w:r>
      <w:bookmarkEnd w:id="29"/>
      <w:r>
        <w:t xml:space="preserve"> </w:t>
      </w:r>
    </w:p>
    <w:p w14:paraId="2B839405" w14:textId="0FA7F6F1" w:rsidR="00D06776" w:rsidRDefault="00D06776" w:rsidP="005F22BB">
      <w:pPr>
        <w:pStyle w:val="Nagwek2"/>
        <w:keepNext w:val="0"/>
        <w:widowControl w:val="0"/>
        <w:numPr>
          <w:ilvl w:val="0"/>
          <w:numId w:val="38"/>
        </w:numPr>
        <w:spacing w:after="0" w:line="360" w:lineRule="auto"/>
        <w:ind w:left="567" w:hanging="283"/>
        <w:contextualSpacing w:val="0"/>
      </w:pPr>
      <w:r>
        <w:t>Określenie terminu związania ofertą.</w:t>
      </w:r>
    </w:p>
    <w:p w14:paraId="39B93014" w14:textId="5D95A5BE" w:rsidR="00D06776" w:rsidRPr="00462D15" w:rsidRDefault="00D06776" w:rsidP="00C128A9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b/>
        </w:rPr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bookmarkStart w:id="30" w:name="_GoBack"/>
      <w:r w:rsidR="001F2E7A" w:rsidRPr="00462D15">
        <w:rPr>
          <w:b/>
        </w:rPr>
        <w:t>25.11.2023</w:t>
      </w:r>
      <w:r w:rsidR="00F07A20" w:rsidRPr="00462D15">
        <w:rPr>
          <w:b/>
        </w:rPr>
        <w:t xml:space="preserve"> </w:t>
      </w:r>
      <w:r w:rsidR="00061F2F" w:rsidRPr="00462D15">
        <w:rPr>
          <w:b/>
        </w:rPr>
        <w:t>r.</w:t>
      </w:r>
    </w:p>
    <w:bookmarkEnd w:id="30"/>
    <w:p w14:paraId="2A2BB542" w14:textId="5D40E593" w:rsidR="00782008" w:rsidRDefault="00782008" w:rsidP="00C128A9">
      <w:pPr>
        <w:pStyle w:val="Nagwek2"/>
        <w:keepNext w:val="0"/>
        <w:widowControl w:val="0"/>
        <w:spacing w:before="0" w:after="0" w:line="360" w:lineRule="auto"/>
        <w:contextualSpacing w:val="0"/>
      </w:pPr>
      <w:r>
        <w:t>Przedłużenie terminu związania ofertą.</w:t>
      </w:r>
    </w:p>
    <w:p w14:paraId="1DB40FB2" w14:textId="4422905F" w:rsidR="00782008" w:rsidRDefault="00782008" w:rsidP="005F22BB">
      <w:pPr>
        <w:pStyle w:val="Nagwek3"/>
        <w:widowControl w:val="0"/>
        <w:numPr>
          <w:ilvl w:val="0"/>
          <w:numId w:val="39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C128A9">
      <w:pPr>
        <w:pStyle w:val="Nagwek3"/>
        <w:widowControl w:val="0"/>
        <w:ind w:left="851" w:hanging="284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6F1D0F95" w:rsidR="003636A2" w:rsidRPr="003636A2" w:rsidRDefault="003636A2" w:rsidP="003702E5">
      <w:pPr>
        <w:pStyle w:val="Nagwek3"/>
        <w:widowControl w:val="0"/>
        <w:spacing w:after="240"/>
        <w:ind w:left="851" w:hanging="284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C128A9">
      <w:pPr>
        <w:pStyle w:val="Nagwek1"/>
        <w:spacing w:before="0"/>
      </w:pPr>
      <w:bookmarkStart w:id="31" w:name="_Toc11577862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1"/>
    </w:p>
    <w:p w14:paraId="60A11A2F" w14:textId="1EF2A4B7" w:rsidR="00F85C46" w:rsidRPr="00E054BA" w:rsidRDefault="00D00A2F" w:rsidP="00C128A9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0FE24606" w14:textId="678C2DAF" w:rsidR="00C128A9" w:rsidRPr="003702E5" w:rsidRDefault="003C094D" w:rsidP="00D941FA">
      <w:pPr>
        <w:pStyle w:val="Nagwek3"/>
        <w:widowControl w:val="0"/>
        <w:numPr>
          <w:ilvl w:val="0"/>
          <w:numId w:val="79"/>
        </w:numPr>
        <w:spacing w:before="120"/>
        <w:ind w:left="851" w:hanging="283"/>
        <w:contextualSpacing w:val="0"/>
      </w:pPr>
      <w:r>
        <w:t>Z</w:t>
      </w:r>
      <w:r w:rsidR="00F85C46" w:rsidRPr="00E054BA">
        <w:t>a ofertę najkorzystniejszą</w:t>
      </w:r>
      <w:r w:rsidR="009155DF">
        <w:t>,</w:t>
      </w:r>
      <w:r w:rsidR="009155DF" w:rsidRPr="00C128A9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9155DF" w:rsidRPr="009155DF">
        <w:t xml:space="preserve">w zakresie </w:t>
      </w:r>
      <w:r w:rsidR="00C128A9">
        <w:t xml:space="preserve">danej części, </w:t>
      </w:r>
      <w:r w:rsidR="004041F8">
        <w:t xml:space="preserve">niniejszego </w:t>
      </w:r>
      <w:r w:rsidR="00F85C46" w:rsidRPr="00E054BA">
        <w:t>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4A1317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4A1317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4A1317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4A1317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4A1317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25D5A8BD" w:rsidR="003A0D55" w:rsidRPr="00957C9F" w:rsidRDefault="003702E5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A0D5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5AF0B783" w:rsidR="003A0D55" w:rsidRPr="00957C9F" w:rsidRDefault="003702E5" w:rsidP="004A1317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5CAA6027" w14:textId="32CA962D" w:rsidR="006967CD" w:rsidRPr="008A18F0" w:rsidRDefault="006967CD" w:rsidP="004A1317">
      <w:pPr>
        <w:pStyle w:val="Nagwek3"/>
        <w:widowControl w:val="0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4A1317">
      <w:pPr>
        <w:widowControl w:val="0"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4A1317">
      <w:pPr>
        <w:widowControl w:val="0"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4A1317">
      <w:pPr>
        <w:widowControl w:val="0"/>
        <w:rPr>
          <w:rFonts w:cs="Arial"/>
          <w:b/>
          <w:szCs w:val="20"/>
          <w:lang w:eastAsia="pl-PL"/>
        </w:rPr>
      </w:pPr>
    </w:p>
    <w:p w14:paraId="33675FEC" w14:textId="77777777" w:rsidR="00B94EA2" w:rsidRDefault="00B94EA2" w:rsidP="004A1317">
      <w:pPr>
        <w:pStyle w:val="Nagwek3"/>
        <w:widowControl w:val="0"/>
        <w:numPr>
          <w:ilvl w:val="0"/>
          <w:numId w:val="0"/>
        </w:numPr>
        <w:ind w:left="850"/>
        <w:contextualSpacing w:val="0"/>
      </w:pPr>
    </w:p>
    <w:p w14:paraId="29F2E8A9" w14:textId="54206F38" w:rsidR="00F85C46" w:rsidRPr="00E054BA" w:rsidRDefault="003C094D" w:rsidP="005F22BB">
      <w:pPr>
        <w:pStyle w:val="Nagwek3"/>
        <w:widowControl w:val="0"/>
        <w:ind w:left="850" w:hanging="283"/>
        <w:contextualSpacing w:val="0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3702E5">
      <w:pPr>
        <w:pStyle w:val="Nagwek4"/>
        <w:widowControl w:val="0"/>
        <w:numPr>
          <w:ilvl w:val="0"/>
          <w:numId w:val="42"/>
        </w:numPr>
        <w:spacing w:before="120" w:after="0"/>
        <w:ind w:left="1134" w:hanging="284"/>
        <w:contextualSpacing w:val="0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3702E5">
      <w:pPr>
        <w:pStyle w:val="Akapitzlist"/>
        <w:widowControl w:val="0"/>
        <w:numPr>
          <w:ilvl w:val="0"/>
          <w:numId w:val="41"/>
        </w:numPr>
        <w:spacing w:after="480"/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AB52AE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w:lastRenderedPageBreak/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5F22BB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5F22BB">
      <w:pPr>
        <w:pStyle w:val="Akapitzlist"/>
        <w:widowControl w:val="0"/>
        <w:numPr>
          <w:ilvl w:val="0"/>
          <w:numId w:val="41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1DF7DBA6" w14:textId="375C685F" w:rsidR="006C2AED" w:rsidRPr="006C2AED" w:rsidRDefault="006C2AED" w:rsidP="00AB52AE">
      <w:pPr>
        <w:widowControl w:val="0"/>
        <w:spacing w:before="120"/>
        <w:ind w:firstLine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>
        <w:rPr>
          <w:rFonts w:eastAsia="Times New Roman" w:cs="Times New Roman"/>
          <w:bCs/>
          <w:iCs/>
          <w:szCs w:val="20"/>
          <w:lang w:eastAsia="x-none"/>
        </w:rPr>
        <w:t xml:space="preserve">b)  </w:t>
      </w:r>
      <w:r w:rsidRPr="006C2AED">
        <w:rPr>
          <w:rFonts w:eastAsia="Times New Roman" w:cs="Times New Roman"/>
          <w:bCs/>
          <w:iCs/>
          <w:szCs w:val="20"/>
          <w:lang w:val="x-none" w:eastAsia="x-none"/>
        </w:rPr>
        <w:t>Zasady przyznawania punktów w kryterium „</w:t>
      </w:r>
      <w:r w:rsidRPr="006C2AED">
        <w:rPr>
          <w:rFonts w:eastAsia="Times New Roman" w:cs="Times New Roman"/>
          <w:b/>
          <w:bCs/>
          <w:iCs/>
          <w:szCs w:val="20"/>
          <w:lang w:val="x-none" w:eastAsia="x-none"/>
        </w:rPr>
        <w:t>Termin realizacji</w:t>
      </w:r>
      <w:r w:rsidR="00C809C3">
        <w:rPr>
          <w:rFonts w:eastAsia="Times New Roman" w:cs="Times New Roman"/>
          <w:b/>
          <w:bCs/>
          <w:iCs/>
          <w:szCs w:val="20"/>
          <w:lang w:eastAsia="x-none"/>
        </w:rPr>
        <w:t xml:space="preserve"> zamówienia</w:t>
      </w:r>
      <w:r w:rsidRPr="006C2AED">
        <w:rPr>
          <w:rFonts w:eastAsia="Times New Roman" w:cs="Times New Roman"/>
          <w:bCs/>
          <w:iCs/>
          <w:szCs w:val="20"/>
          <w:lang w:val="x-none" w:eastAsia="x-none"/>
        </w:rPr>
        <w:t xml:space="preserve">”: </w:t>
      </w:r>
    </w:p>
    <w:p w14:paraId="0522C896" w14:textId="77777777" w:rsidR="00270275" w:rsidRDefault="00C809C3" w:rsidP="00AB52A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</w:rPr>
      </w:pPr>
      <w:r w:rsidRPr="00573A48">
        <w:rPr>
          <w:rFonts w:ascii="Bahnschrift" w:hAnsi="Bahnschrift" w:cs="Arial"/>
          <w:szCs w:val="20"/>
        </w:rPr>
        <w:t>Zgodnie z warunkami SWZ, maksymalny wymagany termin realizacji zamówienia wynosi:</w:t>
      </w:r>
    </w:p>
    <w:p w14:paraId="1B6AF61E" w14:textId="77777777" w:rsidR="00270275" w:rsidRDefault="00C809C3" w:rsidP="00AB52A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</w:rPr>
      </w:pPr>
      <w:r w:rsidRPr="00573A48">
        <w:rPr>
          <w:rFonts w:ascii="Bahnschrift" w:hAnsi="Bahnschrift" w:cs="Arial"/>
          <w:szCs w:val="20"/>
        </w:rPr>
        <w:t xml:space="preserve"> </w:t>
      </w:r>
      <w:r w:rsidRPr="00D239DE">
        <w:rPr>
          <w:rFonts w:ascii="Bahnschrift" w:hAnsi="Bahnschrift" w:cs="Arial"/>
          <w:szCs w:val="20"/>
        </w:rPr>
        <w:t xml:space="preserve">do </w:t>
      </w:r>
      <w:r>
        <w:rPr>
          <w:rFonts w:ascii="Bahnschrift" w:hAnsi="Bahnschrift" w:cs="Arial"/>
          <w:szCs w:val="20"/>
          <w:lang w:val="pl-PL"/>
        </w:rPr>
        <w:t>21</w:t>
      </w:r>
      <w:r w:rsidRPr="00D239DE">
        <w:rPr>
          <w:rFonts w:ascii="Bahnschrift" w:hAnsi="Bahnschrift" w:cs="Arial"/>
          <w:szCs w:val="20"/>
        </w:rPr>
        <w:t xml:space="preserve"> dni </w:t>
      </w:r>
      <w:r w:rsidRPr="009A1213">
        <w:rPr>
          <w:rFonts w:ascii="Bahnschrift" w:hAnsi="Bahnschrift" w:cs="Arial"/>
          <w:szCs w:val="20"/>
          <w:lang w:val="pl-PL"/>
        </w:rPr>
        <w:t xml:space="preserve">od daty </w:t>
      </w:r>
      <w:r>
        <w:rPr>
          <w:rFonts w:ascii="Bahnschrift" w:hAnsi="Bahnschrift" w:cs="Arial"/>
          <w:szCs w:val="20"/>
          <w:lang w:val="pl-PL"/>
        </w:rPr>
        <w:t>otrzymania zamówienia</w:t>
      </w:r>
      <w:r w:rsidRPr="00573A48">
        <w:rPr>
          <w:rFonts w:ascii="Bahnschrift" w:hAnsi="Bahnschrift" w:cs="Arial"/>
          <w:szCs w:val="20"/>
        </w:rPr>
        <w:t xml:space="preserve">. </w:t>
      </w:r>
    </w:p>
    <w:p w14:paraId="70F06496" w14:textId="2275C749" w:rsidR="00C809C3" w:rsidRPr="000418CC" w:rsidRDefault="00C809C3" w:rsidP="00AB52AE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6034B5DF" w14:textId="4D12FCEC" w:rsidR="00875993" w:rsidRPr="0098099F" w:rsidRDefault="00875993" w:rsidP="005F22BB">
      <w:pPr>
        <w:pStyle w:val="Akapitzlist"/>
        <w:widowControl w:val="0"/>
        <w:numPr>
          <w:ilvl w:val="0"/>
          <w:numId w:val="80"/>
        </w:numPr>
        <w:ind w:left="1701" w:hanging="283"/>
        <w:contextualSpacing w:val="0"/>
        <w:rPr>
          <w:rFonts w:cs="Arial"/>
          <w:szCs w:val="20"/>
        </w:rPr>
      </w:pPr>
      <w:r w:rsidRPr="0098099F">
        <w:rPr>
          <w:rFonts w:cs="Arial"/>
          <w:szCs w:val="20"/>
        </w:rPr>
        <w:t>Zamawiający w ramach tego kryterium przyzna maksymalnie 40 pkt</w:t>
      </w:r>
      <w:r w:rsidR="0018496F" w:rsidRPr="0098099F">
        <w:rPr>
          <w:rFonts w:cs="Arial"/>
          <w:szCs w:val="20"/>
        </w:rPr>
        <w:t>.</w:t>
      </w:r>
    </w:p>
    <w:p w14:paraId="435C2139" w14:textId="732C5BD5" w:rsidR="0018496F" w:rsidRPr="0098099F" w:rsidRDefault="00C809C3" w:rsidP="005F22BB">
      <w:pPr>
        <w:pStyle w:val="Akapitzlist"/>
        <w:widowControl w:val="0"/>
        <w:numPr>
          <w:ilvl w:val="0"/>
          <w:numId w:val="80"/>
        </w:numPr>
        <w:ind w:left="1701" w:hanging="283"/>
        <w:contextualSpacing w:val="0"/>
        <w:rPr>
          <w:rFonts w:cs="Arial"/>
          <w:szCs w:val="20"/>
          <w:lang w:eastAsia="pl-PL"/>
        </w:rPr>
      </w:pPr>
      <w:r w:rsidRPr="0098099F">
        <w:rPr>
          <w:rFonts w:cs="Arial"/>
          <w:szCs w:val="20"/>
          <w:lang w:eastAsia="pl-PL"/>
        </w:rPr>
        <w:t xml:space="preserve">za każdy dzień poniżej 21 dni Zamawiający przyzna </w:t>
      </w:r>
      <w:r w:rsidR="00875993" w:rsidRPr="0098099F">
        <w:rPr>
          <w:rFonts w:cs="Arial"/>
          <w:szCs w:val="20"/>
          <w:lang w:eastAsia="pl-PL"/>
        </w:rPr>
        <w:t>2</w:t>
      </w:r>
      <w:r w:rsidRPr="0098099F">
        <w:rPr>
          <w:rFonts w:cs="Arial"/>
          <w:szCs w:val="20"/>
          <w:lang w:eastAsia="pl-PL"/>
        </w:rPr>
        <w:t xml:space="preserve"> pkt, tj.: </w:t>
      </w:r>
      <w:r w:rsidR="0018496F" w:rsidRPr="0098099F">
        <w:rPr>
          <w:rFonts w:cs="Arial"/>
          <w:b/>
          <w:szCs w:val="20"/>
          <w:lang w:eastAsia="pl-PL"/>
        </w:rPr>
        <w:t xml:space="preserve">21 dni – 0 pkt, </w:t>
      </w:r>
      <w:r w:rsidR="0018496F" w:rsidRPr="0098099F">
        <w:rPr>
          <w:rFonts w:cs="Arial"/>
          <w:szCs w:val="20"/>
          <w:lang w:eastAsia="pl-PL"/>
        </w:rPr>
        <w:t>(20 dni – 2 pkt; 19 dni – 4 pkt; … ; 2 dni – 38 pkt),</w:t>
      </w:r>
      <w:r w:rsidR="0018496F" w:rsidRPr="0098099F">
        <w:rPr>
          <w:rFonts w:cs="Arial"/>
          <w:b/>
          <w:szCs w:val="20"/>
          <w:lang w:eastAsia="pl-PL"/>
        </w:rPr>
        <w:t xml:space="preserve"> 1 dzień  – 40 pkt;</w:t>
      </w:r>
    </w:p>
    <w:p w14:paraId="36284596" w14:textId="6E69BCE8" w:rsidR="0018496F" w:rsidRPr="00270275" w:rsidRDefault="0018496F" w:rsidP="005F22BB">
      <w:pPr>
        <w:widowControl w:val="0"/>
        <w:numPr>
          <w:ilvl w:val="0"/>
          <w:numId w:val="71"/>
        </w:numPr>
        <w:ind w:left="1701" w:hanging="283"/>
        <w:rPr>
          <w:rFonts w:cs="Arial"/>
          <w:szCs w:val="20"/>
          <w:lang w:eastAsia="pl-PL"/>
        </w:rPr>
      </w:pPr>
      <w:r w:rsidRPr="00573A48">
        <w:rPr>
          <w:rFonts w:cs="Arial"/>
          <w:szCs w:val="20"/>
          <w:lang w:eastAsia="pl-PL"/>
        </w:rPr>
        <w:t xml:space="preserve">zaoferowanie terminu krótszego niż </w:t>
      </w:r>
      <w:r>
        <w:rPr>
          <w:rFonts w:cs="Arial"/>
          <w:szCs w:val="20"/>
          <w:lang w:eastAsia="pl-PL"/>
        </w:rPr>
        <w:t xml:space="preserve">1 dzień </w:t>
      </w:r>
      <w:r w:rsidRPr="00573A48">
        <w:rPr>
          <w:rFonts w:cs="Arial"/>
          <w:szCs w:val="20"/>
          <w:lang w:eastAsia="pl-PL"/>
        </w:rPr>
        <w:t xml:space="preserve">nie spowoduje otrzymania większej ilości punktów niż </w:t>
      </w:r>
      <w:r>
        <w:rPr>
          <w:rFonts w:cs="Arial"/>
          <w:szCs w:val="20"/>
          <w:lang w:eastAsia="pl-PL"/>
        </w:rPr>
        <w:t>40;</w:t>
      </w:r>
    </w:p>
    <w:p w14:paraId="130553A4" w14:textId="5B69CFDD" w:rsidR="00875993" w:rsidRDefault="00875993" w:rsidP="005F22BB">
      <w:pPr>
        <w:pStyle w:val="Akapitzlist"/>
        <w:widowControl w:val="0"/>
        <w:numPr>
          <w:ilvl w:val="0"/>
          <w:numId w:val="77"/>
        </w:numPr>
        <w:ind w:left="1418" w:hanging="283"/>
        <w:contextualSpacing w:val="0"/>
        <w:rPr>
          <w:rFonts w:cs="Arial"/>
          <w:szCs w:val="20"/>
        </w:rPr>
      </w:pPr>
      <w:r w:rsidRPr="0098099F">
        <w:rPr>
          <w:rFonts w:cs="Arial"/>
          <w:szCs w:val="20"/>
        </w:rPr>
        <w:t xml:space="preserve">ocena </w:t>
      </w:r>
      <w:r w:rsidRPr="0098099F">
        <w:rPr>
          <w:rFonts w:cs="Arial"/>
          <w:szCs w:val="20"/>
          <w:lang w:eastAsia="pl-PL"/>
        </w:rPr>
        <w:t>dla tego kryterium będzie obliczana na podstawie złożonego przez Wykonawcę oświadczenia  w formularzu oferty;</w:t>
      </w:r>
    </w:p>
    <w:p w14:paraId="2601D3B1" w14:textId="77777777" w:rsidR="00C809C3" w:rsidRPr="0098099F" w:rsidRDefault="00C809C3" w:rsidP="005F22BB">
      <w:pPr>
        <w:pStyle w:val="Akapitzlist"/>
        <w:widowControl w:val="0"/>
        <w:numPr>
          <w:ilvl w:val="0"/>
          <w:numId w:val="77"/>
        </w:numPr>
        <w:contextualSpacing w:val="0"/>
        <w:rPr>
          <w:rFonts w:cs="Arial"/>
          <w:szCs w:val="20"/>
        </w:rPr>
      </w:pPr>
      <w:r w:rsidRPr="0098099F">
        <w:rPr>
          <w:rFonts w:cs="Arial"/>
          <w:b/>
          <w:szCs w:val="20"/>
        </w:rPr>
        <w:t>brak oświadczenia</w:t>
      </w:r>
      <w:r w:rsidRPr="0098099F">
        <w:rPr>
          <w:rFonts w:cs="Arial"/>
          <w:szCs w:val="20"/>
        </w:rPr>
        <w:t xml:space="preserve"> </w:t>
      </w:r>
      <w:r w:rsidRPr="0098099F">
        <w:rPr>
          <w:rFonts w:cs="Arial"/>
          <w:b/>
          <w:szCs w:val="20"/>
        </w:rPr>
        <w:t>lub dłuższy termin realizacji</w:t>
      </w:r>
      <w:r w:rsidRPr="0098099F">
        <w:rPr>
          <w:rFonts w:cs="Arial"/>
          <w:szCs w:val="20"/>
        </w:rPr>
        <w:t xml:space="preserve"> (tj. &gt;21 dni) </w:t>
      </w:r>
      <w:r w:rsidRPr="0098099F">
        <w:rPr>
          <w:rFonts w:cs="Arial"/>
          <w:b/>
          <w:szCs w:val="20"/>
        </w:rPr>
        <w:t>– oferta zostanie odrzucona</w:t>
      </w:r>
      <w:r w:rsidRPr="0098099F">
        <w:rPr>
          <w:rFonts w:cs="Arial"/>
          <w:szCs w:val="20"/>
        </w:rPr>
        <w:t>, jako niezgodna z warunkami zamówienia na podstawie art. 226 ust. 1 pkt 5 ustawy Pzp.</w:t>
      </w:r>
    </w:p>
    <w:p w14:paraId="0BF18DB1" w14:textId="61CBEE1D" w:rsidR="0098099F" w:rsidRDefault="0098099F" w:rsidP="005F22BB">
      <w:pPr>
        <w:pStyle w:val="Akapitzlist"/>
        <w:widowControl w:val="0"/>
        <w:numPr>
          <w:ilvl w:val="0"/>
          <w:numId w:val="77"/>
        </w:numPr>
        <w:contextualSpacing w:val="0"/>
        <w:rPr>
          <w:rFonts w:cs="Arial"/>
          <w:szCs w:val="20"/>
          <w:lang w:eastAsia="pl-PL"/>
        </w:rPr>
      </w:pPr>
      <w:r w:rsidRPr="0098099F">
        <w:rPr>
          <w:rFonts w:cs="Arial"/>
          <w:szCs w:val="20"/>
          <w:lang w:eastAsia="pl-PL"/>
        </w:rPr>
        <w:t>termin realizacji należy podać liczbowo i słownie</w:t>
      </w:r>
      <w:r>
        <w:rPr>
          <w:rFonts w:cs="Arial"/>
          <w:szCs w:val="20"/>
          <w:lang w:eastAsia="pl-PL"/>
        </w:rPr>
        <w:t xml:space="preserve">- </w:t>
      </w:r>
      <w:r w:rsidRPr="0098099F">
        <w:rPr>
          <w:rFonts w:cs="Arial"/>
          <w:szCs w:val="20"/>
          <w:lang w:eastAsia="pl-PL"/>
        </w:rPr>
        <w:t>w przypadku rozbieżności w zakresie terminu realizacji podanego liczbowo i słownie, Zamawiający za obowiązujący uzna termin realizacji podany słownie;</w:t>
      </w:r>
    </w:p>
    <w:p w14:paraId="17826E3D" w14:textId="407308E0" w:rsidR="00AB52AE" w:rsidRPr="00AB52AE" w:rsidRDefault="00AB52AE" w:rsidP="005F22BB">
      <w:pPr>
        <w:pStyle w:val="Akapitzlist"/>
        <w:widowControl w:val="0"/>
        <w:numPr>
          <w:ilvl w:val="0"/>
          <w:numId w:val="77"/>
        </w:numPr>
        <w:rPr>
          <w:rFonts w:cs="Arial"/>
          <w:szCs w:val="20"/>
          <w:lang w:eastAsia="pl-PL"/>
        </w:rPr>
      </w:pPr>
      <w:r w:rsidRPr="00AB52AE">
        <w:rPr>
          <w:rFonts w:cs="Arial"/>
          <w:szCs w:val="20"/>
        </w:rPr>
        <w:t>Wykonawca podając termin</w:t>
      </w:r>
      <w:r w:rsidRPr="00AB52AE">
        <w:rPr>
          <w:rFonts w:cs="Arial"/>
          <w:szCs w:val="20"/>
          <w:lang w:eastAsia="pl-PL"/>
        </w:rPr>
        <w:t xml:space="preserve"> realizacji zamówienia po</w:t>
      </w:r>
      <w:r w:rsidRPr="00AB52AE">
        <w:rPr>
          <w:rFonts w:cs="Arial"/>
          <w:szCs w:val="20"/>
        </w:rPr>
        <w:t xml:space="preserve">winien określić pełne dni kalendarzowe potrzebne na zrealizowanie zamówienia, licząc od </w:t>
      </w:r>
      <w:r>
        <w:rPr>
          <w:rFonts w:cs="Arial"/>
          <w:szCs w:val="20"/>
        </w:rPr>
        <w:t>zamówienia</w:t>
      </w:r>
      <w:r w:rsidRPr="00AB52AE">
        <w:rPr>
          <w:rFonts w:cs="Arial"/>
          <w:szCs w:val="20"/>
        </w:rPr>
        <w:t>.</w:t>
      </w:r>
    </w:p>
    <w:p w14:paraId="01CBC912" w14:textId="77777777" w:rsidR="00AB52AE" w:rsidRPr="003A5E0B" w:rsidRDefault="00AB52AE" w:rsidP="00AB52AE">
      <w:pPr>
        <w:widowControl w:val="0"/>
        <w:ind w:left="1560" w:firstLine="0"/>
        <w:rPr>
          <w:rFonts w:cs="Arial"/>
          <w:szCs w:val="20"/>
        </w:rPr>
      </w:pPr>
      <w:r w:rsidRPr="003A5E0B">
        <w:rPr>
          <w:rFonts w:cs="Arial"/>
          <w:szCs w:val="20"/>
        </w:rPr>
        <w:t>W przypadku podania terminu w niepełnych dniach np. 16,5 dnia, Zamawiający do celów punktacji zaokrągli podany termin w górę do pełnych dni (np. podanie terminu 16,5 dni – Zamawiający zaokrągli termin w górę do 17 dni);</w:t>
      </w:r>
    </w:p>
    <w:p w14:paraId="329AAE53" w14:textId="777F1CE3" w:rsidR="00F85C46" w:rsidRPr="00E054BA" w:rsidRDefault="000A37EA" w:rsidP="00BE36F0">
      <w:pPr>
        <w:pStyle w:val="Nagwek3"/>
        <w:spacing w:before="120"/>
        <w:ind w:left="851" w:hanging="284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DF0571">
        <w:t xml:space="preserve">             </w:t>
      </w:r>
      <w:r w:rsidR="00F0220D">
        <w:t xml:space="preserve">cena i </w:t>
      </w:r>
      <w:r w:rsidR="002F0627" w:rsidRPr="002F0627">
        <w:t>termin realizacji</w:t>
      </w:r>
      <w:r w:rsidR="00674EAC" w:rsidRPr="00674EAC">
        <w:rPr>
          <w:rFonts w:cs="Arial"/>
          <w:color w:val="222A35" w:themeColor="text2" w:themeShade="80"/>
          <w:szCs w:val="20"/>
          <w:lang w:eastAsia="pl-PL"/>
        </w:rPr>
        <w:t xml:space="preserve"> </w:t>
      </w:r>
      <w:r w:rsidR="00674EAC" w:rsidRPr="00674EAC">
        <w:t>zamówienia</w:t>
      </w:r>
      <w:r w:rsidR="00102399">
        <w:t>;</w:t>
      </w:r>
    </w:p>
    <w:p w14:paraId="731E762C" w14:textId="6064B48C" w:rsidR="00F85C46" w:rsidRPr="00E054BA" w:rsidRDefault="000A37EA" w:rsidP="00D250E3">
      <w:pPr>
        <w:pStyle w:val="Nagwek3"/>
        <w:widowControl w:val="0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0BC478D3" w:rsidR="00F85C46" w:rsidRPr="000A37EA" w:rsidRDefault="000A37EA" w:rsidP="003A0D55">
      <w:pPr>
        <w:pStyle w:val="Nagwek3"/>
        <w:ind w:left="851" w:hanging="284"/>
        <w:contextualSpacing w:val="0"/>
      </w:pPr>
      <w:r w:rsidRPr="000A37EA">
        <w:t>Z</w:t>
      </w:r>
      <w:r w:rsidR="00F85C46" w:rsidRPr="000A37EA">
        <w:t>a ofertę najkorzystniejszą</w:t>
      </w:r>
      <w:r w:rsidR="003626F5">
        <w:t>,</w:t>
      </w:r>
      <w:r w:rsidR="003626F5" w:rsidRPr="003626F5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3626F5" w:rsidRPr="003626F5">
        <w:t xml:space="preserve">w zakresie </w:t>
      </w:r>
      <w:r w:rsidR="004041F8">
        <w:t xml:space="preserve">niniejszego </w:t>
      </w:r>
      <w:r w:rsidR="00F85C46" w:rsidRPr="000A37EA">
        <w:t>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3A0D55">
      <w:pPr>
        <w:pStyle w:val="Nagwek3"/>
        <w:ind w:left="851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A0D55">
      <w:pPr>
        <w:pStyle w:val="Nagwek3"/>
        <w:ind w:left="851" w:hanging="284"/>
        <w:contextualSpacing w:val="0"/>
      </w:pPr>
      <w:r>
        <w:lastRenderedPageBreak/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53E56567" w:rsidR="00F85C46" w:rsidRPr="00E054BA" w:rsidRDefault="000A37EA" w:rsidP="003A0D55">
      <w:pPr>
        <w:pStyle w:val="Nagwek3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8A18F0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5F22BB">
      <w:pPr>
        <w:pStyle w:val="Nagwek2"/>
        <w:keepNext w:val="0"/>
        <w:numPr>
          <w:ilvl w:val="0"/>
          <w:numId w:val="44"/>
        </w:numPr>
        <w:spacing w:before="0" w:after="0" w:line="360" w:lineRule="auto"/>
        <w:ind w:left="567" w:hanging="283"/>
        <w:contextualSpacing w:val="0"/>
      </w:pPr>
      <w:r w:rsidRPr="00E054BA">
        <w:t>Zawiadomienie o wyborze najkorzystniejszej oferty.</w:t>
      </w:r>
    </w:p>
    <w:p w14:paraId="37CCE3CB" w14:textId="0631A6EB" w:rsidR="003636A2" w:rsidRPr="003636A2" w:rsidRDefault="003636A2" w:rsidP="005F22BB">
      <w:pPr>
        <w:pStyle w:val="Nagwek3"/>
        <w:numPr>
          <w:ilvl w:val="0"/>
          <w:numId w:val="45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5F22BB">
      <w:pPr>
        <w:pStyle w:val="Nagwek4"/>
        <w:numPr>
          <w:ilvl w:val="0"/>
          <w:numId w:val="57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0C0F8D">
      <w:pPr>
        <w:pStyle w:val="Nagwek4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0C0F8D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5ED7A211" w:rsidR="009331BE" w:rsidRDefault="00F85C46" w:rsidP="000C0F8D">
      <w:pPr>
        <w:pStyle w:val="Nagwek3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F776F5">
      <w:pPr>
        <w:pStyle w:val="Nagwek1"/>
      </w:pPr>
      <w:bookmarkStart w:id="32" w:name="_Toc11577862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2"/>
      <w:r w:rsidRPr="00E054BA">
        <w:t xml:space="preserve"> </w:t>
      </w:r>
    </w:p>
    <w:p w14:paraId="694895E2" w14:textId="3A5A6690" w:rsidR="00ED6871" w:rsidRDefault="00ED6871" w:rsidP="00785B0E">
      <w:pPr>
        <w:pStyle w:val="Nagwek2"/>
        <w:keepNext w:val="0"/>
        <w:numPr>
          <w:ilvl w:val="0"/>
          <w:numId w:val="46"/>
        </w:numPr>
        <w:spacing w:after="0" w:line="360" w:lineRule="auto"/>
        <w:ind w:left="567" w:hanging="283"/>
        <w:contextualSpacing w:val="0"/>
      </w:pPr>
      <w:r>
        <w:t>Formalności niezbędne przed zawarciem umowy.</w:t>
      </w:r>
    </w:p>
    <w:p w14:paraId="2365E6A8" w14:textId="16F35C00" w:rsidR="00F85C46" w:rsidRPr="00ED6871" w:rsidRDefault="00ED6871" w:rsidP="005F22BB">
      <w:pPr>
        <w:pStyle w:val="Nagwek3"/>
        <w:numPr>
          <w:ilvl w:val="0"/>
          <w:numId w:val="47"/>
        </w:numPr>
        <w:ind w:left="851" w:hanging="284"/>
        <w:contextualSpacing w:val="0"/>
      </w:pPr>
      <w:r>
        <w:t xml:space="preserve">Z </w:t>
      </w:r>
      <w:r w:rsidR="00AA7615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</w:t>
      </w:r>
      <w:r w:rsidR="004041F8">
        <w:t xml:space="preserve"> najkorzystniejszą</w:t>
      </w:r>
      <w:r w:rsidR="00C27556">
        <w:t>,</w:t>
      </w:r>
      <w:r w:rsidR="00052289">
        <w:t xml:space="preserve">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0C0F8D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0117DE40" w:rsidR="00F85C46" w:rsidRPr="00B76598" w:rsidRDefault="00F85C46" w:rsidP="005F22BB">
      <w:pPr>
        <w:pStyle w:val="Nagwek3"/>
        <w:numPr>
          <w:ilvl w:val="0"/>
          <w:numId w:val="47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0C0F8D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38ACEEFC" w14:textId="50BFD70B" w:rsidR="00F85C46" w:rsidRPr="00ED6871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AA7615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AA7615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5EC6D6E5" w:rsidR="00F85C46" w:rsidRDefault="00F85C46" w:rsidP="002368D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0C0F8D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 xml:space="preserve">wy regulującej współpracę tych </w:t>
      </w:r>
      <w:r w:rsidR="00AA7615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2368D1">
      <w:pPr>
        <w:pStyle w:val="Nagwek3"/>
        <w:widowControl w:val="0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2368D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lastRenderedPageBreak/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2368D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664EA821" w14:textId="4BA236AD" w:rsidR="00C809C3" w:rsidRPr="002368D1" w:rsidRDefault="00F85C46" w:rsidP="002368D1">
      <w:pPr>
        <w:pStyle w:val="Nagwek3"/>
        <w:widowControl w:val="0"/>
        <w:numPr>
          <w:ilvl w:val="0"/>
          <w:numId w:val="0"/>
        </w:numPr>
        <w:spacing w:after="120"/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  <w:bookmarkStart w:id="33" w:name="_Toc115778629"/>
    </w:p>
    <w:p w14:paraId="384B0ABA" w14:textId="696BC417" w:rsidR="00F85C46" w:rsidRPr="00E054BA" w:rsidRDefault="00F85C46" w:rsidP="002368D1">
      <w:pPr>
        <w:pStyle w:val="Nagwek1"/>
        <w:spacing w:before="0"/>
      </w:pPr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3"/>
    </w:p>
    <w:p w14:paraId="3BC5A71B" w14:textId="6B0D4612" w:rsidR="003E05AE" w:rsidRDefault="003E05AE" w:rsidP="002368D1">
      <w:pPr>
        <w:pStyle w:val="Nagwek2"/>
        <w:keepNext w:val="0"/>
        <w:widowControl w:val="0"/>
        <w:numPr>
          <w:ilvl w:val="0"/>
          <w:numId w:val="48"/>
        </w:numPr>
        <w:spacing w:after="0" w:line="360" w:lineRule="auto"/>
        <w:ind w:left="567" w:hanging="283"/>
        <w:contextualSpacing w:val="0"/>
      </w:pPr>
      <w:r>
        <w:t>Środki ochrony prawnej.</w:t>
      </w:r>
    </w:p>
    <w:p w14:paraId="14B0310D" w14:textId="7450ABCA" w:rsidR="00F85C46" w:rsidRPr="00E054BA" w:rsidRDefault="00F85C46" w:rsidP="002368D1">
      <w:pPr>
        <w:pStyle w:val="Nagwek3"/>
        <w:widowControl w:val="0"/>
        <w:numPr>
          <w:ilvl w:val="0"/>
          <w:numId w:val="49"/>
        </w:numPr>
        <w:ind w:left="851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2368D1">
      <w:pPr>
        <w:pStyle w:val="Nagwek3"/>
        <w:widowControl w:val="0"/>
        <w:ind w:left="851" w:hanging="284"/>
        <w:contextualSpacing w:val="0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2368D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>Odwołanie.</w:t>
      </w:r>
    </w:p>
    <w:p w14:paraId="25ED8D92" w14:textId="53F4FF8B" w:rsidR="00EE14B3" w:rsidRPr="00EE14B3" w:rsidRDefault="00EE14B3" w:rsidP="002368D1">
      <w:pPr>
        <w:pStyle w:val="Nagwek3"/>
        <w:widowControl w:val="0"/>
        <w:numPr>
          <w:ilvl w:val="0"/>
          <w:numId w:val="50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2368D1">
      <w:pPr>
        <w:pStyle w:val="Nagwek4"/>
        <w:widowControl w:val="0"/>
        <w:numPr>
          <w:ilvl w:val="0"/>
          <w:numId w:val="58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2368D1">
      <w:pPr>
        <w:pStyle w:val="Nagwek4"/>
        <w:widowControl w:val="0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2368D1">
      <w:pPr>
        <w:pStyle w:val="Nagwek3"/>
        <w:widowControl w:val="0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2368D1">
      <w:pPr>
        <w:pStyle w:val="Nagwek3"/>
        <w:widowControl w:val="0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2368D1">
      <w:pPr>
        <w:pStyle w:val="Nagwek3"/>
        <w:widowControl w:val="0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2368D1">
      <w:pPr>
        <w:pStyle w:val="Nagwek4"/>
        <w:widowControl w:val="0"/>
        <w:numPr>
          <w:ilvl w:val="0"/>
          <w:numId w:val="59"/>
        </w:numPr>
        <w:spacing w:before="0" w:after="0"/>
        <w:ind w:left="1134" w:hanging="284"/>
        <w:contextualSpacing w:val="0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2368D1">
      <w:pPr>
        <w:pStyle w:val="Nagwek4"/>
        <w:widowControl w:val="0"/>
        <w:spacing w:before="0" w:after="0"/>
        <w:ind w:left="1134" w:hanging="284"/>
        <w:contextualSpacing w:val="0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E83E12">
      <w:pPr>
        <w:pStyle w:val="Nagwek4"/>
        <w:widowControl w:val="0"/>
        <w:spacing w:before="0" w:after="960"/>
        <w:ind w:left="1134" w:hanging="284"/>
        <w:contextualSpacing w:val="0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120DA9">
      <w:pPr>
        <w:pStyle w:val="Nagwek2"/>
        <w:keepNext w:val="0"/>
        <w:widowControl w:val="0"/>
        <w:spacing w:before="0" w:after="0" w:line="360" w:lineRule="auto"/>
        <w:ind w:left="567" w:hanging="284"/>
        <w:contextualSpacing w:val="0"/>
      </w:pPr>
      <w:r>
        <w:lastRenderedPageBreak/>
        <w:t xml:space="preserve">Skarga. </w:t>
      </w:r>
    </w:p>
    <w:p w14:paraId="6E3F5B06" w14:textId="62D5019F" w:rsidR="00EE14B3" w:rsidRDefault="00BF753A" w:rsidP="00120DA9">
      <w:pPr>
        <w:pStyle w:val="Nagwek3"/>
        <w:widowControl w:val="0"/>
        <w:numPr>
          <w:ilvl w:val="0"/>
          <w:numId w:val="51"/>
        </w:numPr>
        <w:ind w:left="851" w:hanging="284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Default="00BF753A" w:rsidP="00120DA9">
      <w:pPr>
        <w:pStyle w:val="Nagwek3"/>
        <w:widowControl w:val="0"/>
        <w:spacing w:after="120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120DA9">
      <w:pPr>
        <w:pStyle w:val="Nagwek1"/>
        <w:spacing w:before="0"/>
      </w:pPr>
      <w:bookmarkStart w:id="34" w:name="_Toc115778630"/>
      <w:r w:rsidRPr="00E054BA">
        <w:t>Informacje dodatkowe.</w:t>
      </w:r>
      <w:bookmarkEnd w:id="34"/>
    </w:p>
    <w:p w14:paraId="5B19376B" w14:textId="3B5A9DC9" w:rsidR="00F85C46" w:rsidRPr="00743CB0" w:rsidRDefault="00FE10A7" w:rsidP="00120DA9">
      <w:pPr>
        <w:pStyle w:val="Nagwek2"/>
        <w:keepNext w:val="0"/>
        <w:widowControl w:val="0"/>
        <w:numPr>
          <w:ilvl w:val="0"/>
          <w:numId w:val="52"/>
        </w:numPr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Maksymalna liczba </w:t>
      </w:r>
      <w:r w:rsidR="000C0F8D">
        <w:rPr>
          <w:rFonts w:eastAsia="Calibri"/>
        </w:rPr>
        <w:t>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120DA9" w:rsidRDefault="00F85C46" w:rsidP="00120DA9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120DA9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6757D923" w:rsidR="00743CB0" w:rsidRPr="00120DA9" w:rsidRDefault="00F85C46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b w:val="0"/>
        </w:rPr>
      </w:pPr>
      <w:r w:rsidRPr="00E054BA">
        <w:rPr>
          <w:rFonts w:eastAsia="Calibri"/>
        </w:rPr>
        <w:t xml:space="preserve">Aukcja elektroniczna. </w:t>
      </w:r>
      <w:r w:rsidR="00120DA9" w:rsidRPr="00120DA9">
        <w:rPr>
          <w:rFonts w:eastAsia="Calibri"/>
          <w:b w:val="0"/>
          <w:color w:val="auto"/>
        </w:rPr>
        <w:t xml:space="preserve">Zamawiający nie przewiduje dokonania wyboru oferty najkorzystniejszej </w:t>
      </w:r>
      <w:r w:rsidR="00120DA9">
        <w:rPr>
          <w:rFonts w:eastAsia="Calibri"/>
          <w:b w:val="0"/>
          <w:color w:val="auto"/>
        </w:rPr>
        <w:t xml:space="preserve">                     </w:t>
      </w:r>
      <w:r w:rsidR="00120DA9" w:rsidRPr="00120DA9">
        <w:rPr>
          <w:rFonts w:eastAsia="Calibri"/>
          <w:b w:val="0"/>
          <w:color w:val="auto"/>
        </w:rPr>
        <w:t>z wykorzystaniem aukcji elektronicznej.</w:t>
      </w:r>
    </w:p>
    <w:p w14:paraId="2648D544" w14:textId="77777777" w:rsidR="00BD1DFF" w:rsidRDefault="00F85C46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E054BA">
        <w:t xml:space="preserve">Katalogi elektroniczne. </w:t>
      </w:r>
    </w:p>
    <w:p w14:paraId="2DFF55F2" w14:textId="4AB53F43" w:rsidR="00F85C46" w:rsidRPr="00E054BA" w:rsidRDefault="00F85C46" w:rsidP="00120DA9">
      <w:pPr>
        <w:widowControl w:val="0"/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716FC950" w:rsidR="00F85C46" w:rsidRPr="00D052E5" w:rsidRDefault="00F85C46" w:rsidP="00120DA9">
      <w:pPr>
        <w:pStyle w:val="Nagwek3"/>
        <w:widowControl w:val="0"/>
        <w:numPr>
          <w:ilvl w:val="0"/>
          <w:numId w:val="60"/>
        </w:numPr>
        <w:ind w:left="851" w:hanging="284"/>
        <w:contextualSpacing w:val="0"/>
      </w:pPr>
      <w:r w:rsidRPr="00D052E5">
        <w:t>Rozliczenia f</w:t>
      </w:r>
      <w:r w:rsidR="00BD1DFF" w:rsidRPr="00D052E5">
        <w:t xml:space="preserve">inansowe między Zamawiającym a </w:t>
      </w:r>
      <w:r w:rsidR="00314300">
        <w:t>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120DA9">
      <w:pPr>
        <w:pStyle w:val="Nagwek3"/>
        <w:widowControl w:val="0"/>
        <w:ind w:left="851" w:hanging="284"/>
        <w:contextualSpacing w:val="0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120DA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E054BA">
        <w:t>Ochrona danych osobowych.</w:t>
      </w:r>
    </w:p>
    <w:p w14:paraId="39DDDF9C" w14:textId="2A10ABBC" w:rsidR="00F85C46" w:rsidRPr="00E054BA" w:rsidRDefault="00F85C46" w:rsidP="00120DA9">
      <w:pPr>
        <w:pStyle w:val="Nagwek3"/>
        <w:widowControl w:val="0"/>
        <w:numPr>
          <w:ilvl w:val="0"/>
          <w:numId w:val="53"/>
        </w:numPr>
        <w:ind w:left="851" w:hanging="284"/>
        <w:contextualSpacing w:val="0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120DA9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120DA9">
      <w:pPr>
        <w:pStyle w:val="Nagwek4"/>
        <w:widowControl w:val="0"/>
        <w:numPr>
          <w:ilvl w:val="0"/>
          <w:numId w:val="61"/>
        </w:numPr>
        <w:spacing w:before="0" w:after="0"/>
        <w:ind w:left="1134" w:hanging="283"/>
        <w:contextualSpacing w:val="0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120DA9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120DA9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120DA9">
      <w:pPr>
        <w:pStyle w:val="Nagwek4"/>
        <w:widowControl w:val="0"/>
        <w:spacing w:before="0" w:after="0"/>
        <w:ind w:left="1134" w:hanging="283"/>
        <w:contextualSpacing w:val="0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120DA9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120DA9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4DCD27A" w:rsidR="00F85C46" w:rsidRPr="00BA4B90" w:rsidRDefault="00F85C46" w:rsidP="00B30203">
      <w:pPr>
        <w:pStyle w:val="Nagwek4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lastRenderedPageBreak/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DZP.38</w:t>
      </w:r>
      <w:r w:rsidR="00CB4C4A">
        <w:rPr>
          <w:b/>
          <w:lang w:val="pl-PL"/>
        </w:rPr>
        <w:t>2.2.22</w:t>
      </w:r>
      <w:r w:rsidR="00530CC3">
        <w:rPr>
          <w:b/>
          <w:lang w:val="pl-PL"/>
        </w:rPr>
        <w:t>.202</w:t>
      </w:r>
      <w:r w:rsidR="00CB4C4A">
        <w:rPr>
          <w:b/>
          <w:lang w:val="pl-PL"/>
        </w:rPr>
        <w:t>3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6C2AED" w:rsidRPr="006C2AED">
        <w:rPr>
          <w:b/>
          <w:lang w:val="pl-PL"/>
        </w:rPr>
        <w:t xml:space="preserve">Dostawa </w:t>
      </w:r>
      <w:r w:rsidR="00C809C3">
        <w:rPr>
          <w:b/>
          <w:lang w:val="pl-PL"/>
        </w:rPr>
        <w:t>serwer</w:t>
      </w:r>
      <w:r w:rsidR="00CB4C4A">
        <w:rPr>
          <w:b/>
          <w:lang w:val="pl-PL"/>
        </w:rPr>
        <w:t>ów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B30203">
      <w:pPr>
        <w:pStyle w:val="Nagwek4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7AF5A44B" w:rsidR="00F85C46" w:rsidRPr="007F153F" w:rsidRDefault="00F85C46" w:rsidP="00B30203">
      <w:pPr>
        <w:pStyle w:val="Nagwek4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8E250B" w:rsidRPr="008E250B">
        <w:rPr>
          <w:lang w:val="pl-PL"/>
        </w:rPr>
        <w:t>Dz. U. 202</w:t>
      </w:r>
      <w:r w:rsidR="00BF237C">
        <w:rPr>
          <w:lang w:val="pl-PL"/>
        </w:rPr>
        <w:t>2</w:t>
      </w:r>
      <w:r w:rsidR="008E250B" w:rsidRPr="008E250B">
        <w:rPr>
          <w:lang w:val="pl-PL"/>
        </w:rPr>
        <w:t xml:space="preserve"> poz. </w:t>
      </w:r>
      <w:r w:rsidR="00BF237C">
        <w:rPr>
          <w:lang w:val="pl-PL"/>
        </w:rPr>
        <w:t>1710</w:t>
      </w:r>
      <w:r w:rsidR="008E250B" w:rsidRPr="008E250B">
        <w:rPr>
          <w:lang w:val="pl-PL"/>
        </w:rPr>
        <w:t xml:space="preserve"> z późn. </w:t>
      </w:r>
      <w:proofErr w:type="spellStart"/>
      <w:r w:rsidR="008E250B" w:rsidRPr="008E250B">
        <w:rPr>
          <w:lang w:val="pl-PL"/>
        </w:rPr>
        <w:t>zm</w:t>
      </w:r>
      <w:proofErr w:type="spellEnd"/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</w:t>
      </w:r>
      <w:r w:rsidR="00BF237C">
        <w:rPr>
          <w:lang w:val="pl-PL"/>
        </w:rPr>
        <w:t>2</w:t>
      </w:r>
      <w:r w:rsidR="007F153F" w:rsidRPr="007F153F">
        <w:t xml:space="preserve"> r. poz. </w:t>
      </w:r>
      <w:r w:rsidR="00BF237C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 xml:space="preserve">icza przetwarzania </w:t>
      </w:r>
      <w:r>
        <w:rPr>
          <w:rFonts w:cs="Arial"/>
          <w:szCs w:val="20"/>
          <w:lang w:eastAsia="ar-SA"/>
        </w:rPr>
        <w:lastRenderedPageBreak/>
        <w:t>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CB4C4A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B4C4A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B4C4A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B4C4A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67B71D55" w:rsidR="00F85C46" w:rsidRPr="00FE10A7" w:rsidRDefault="00FE10A7" w:rsidP="005F22BB">
      <w:pPr>
        <w:pStyle w:val="Nagwek3"/>
        <w:widowControl w:val="0"/>
        <w:numPr>
          <w:ilvl w:val="0"/>
          <w:numId w:val="53"/>
        </w:numPr>
        <w:tabs>
          <w:tab w:val="left" w:pos="142"/>
        </w:tabs>
        <w:ind w:left="851" w:hanging="284"/>
        <w:contextualSpacing w:val="0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31CACC7A" w:rsidR="00F85C46" w:rsidRPr="0061008C" w:rsidRDefault="00F85C46" w:rsidP="00CB4C4A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51F9375" w:rsidR="00F85C46" w:rsidRPr="0061008C" w:rsidRDefault="00FE10A7" w:rsidP="00CB4C4A">
      <w:pPr>
        <w:widowControl w:val="0"/>
        <w:tabs>
          <w:tab w:val="left" w:pos="142"/>
        </w:tabs>
        <w:ind w:firstLine="0"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314300">
        <w:rPr>
          <w:rFonts w:cs="Arial"/>
          <w:szCs w:val="20"/>
          <w:lang w:eastAsia="ar-SA"/>
        </w:rPr>
        <w:t xml:space="preserve">                   </w:t>
      </w:r>
      <w:r w:rsidR="00F85C46" w:rsidRPr="0061008C">
        <w:rPr>
          <w:rFonts w:cs="Arial"/>
          <w:szCs w:val="20"/>
          <w:lang w:eastAsia="ar-SA"/>
        </w:rPr>
        <w:t>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</w:t>
      </w:r>
      <w:r w:rsidR="00314300">
        <w:rPr>
          <w:rFonts w:cs="Arial"/>
          <w:szCs w:val="20"/>
          <w:lang w:eastAsia="ar-SA"/>
        </w:rPr>
        <w:t xml:space="preserve">                     </w:t>
      </w:r>
      <w:r w:rsidR="00F85C46" w:rsidRPr="0061008C">
        <w:rPr>
          <w:rFonts w:cs="Arial"/>
          <w:szCs w:val="20"/>
          <w:lang w:eastAsia="ar-SA"/>
        </w:rPr>
        <w:t>w związku z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314300">
        <w:rPr>
          <w:rFonts w:cs="Arial"/>
          <w:szCs w:val="20"/>
          <w:lang w:eastAsia="ar-SA"/>
        </w:rPr>
        <w:t xml:space="preserve">                    </w:t>
      </w:r>
      <w:r w:rsidR="00F85C46" w:rsidRPr="0061008C">
        <w:rPr>
          <w:rFonts w:cs="Arial"/>
          <w:szCs w:val="20"/>
          <w:lang w:eastAsia="ar-SA"/>
        </w:rPr>
        <w:t xml:space="preserve">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00031D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767" w:right="1134" w:bottom="567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3E2DFF" w:rsidRDefault="003E2DFF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3E2DFF" w:rsidRDefault="003E2DF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335069865"/>
      <w:docPartObj>
        <w:docPartGallery w:val="Page Numbers (Bottom of Page)"/>
        <w:docPartUnique/>
      </w:docPartObj>
    </w:sdtPr>
    <w:sdtEndPr/>
    <w:sdtContent>
      <w:tbl>
        <w:tblPr>
          <w:tblStyle w:val="Tabela-Siatka3"/>
          <w:tblW w:w="1020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402"/>
          <w:gridCol w:w="3402"/>
          <w:gridCol w:w="3402"/>
        </w:tblGrid>
        <w:tr w:rsidR="003E2DFF" w:rsidRPr="00DE5D42" w14:paraId="2E49A5CB" w14:textId="77777777" w:rsidTr="002955A9">
          <w:tc>
            <w:tcPr>
              <w:tcW w:w="3402" w:type="dxa"/>
              <w:tcBorders>
                <w:top w:val="single" w:sz="12" w:space="0" w:color="808080"/>
              </w:tcBorders>
            </w:tcPr>
            <w:p w14:paraId="3E772E06" w14:textId="1D35FDC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DE5D42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BIURO PROJEKTU</w:t>
              </w:r>
            </w:p>
            <w:p w14:paraId="7D2D684E" w14:textId="7777777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DE5D42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Uniwersytet Śląski w Katowicach</w:t>
              </w:r>
              <w:r w:rsidRPr="00DE5D42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br/>
                <w:t>40–007 Katowice, ul. Bankowa 12, p. 2.9</w:t>
              </w: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52076727" w14:textId="7777777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DE5D42">
                <w:rPr>
                  <w:rFonts w:ascii="Calibri" w:eastAsia="Calibri" w:hAnsi="Calibri" w:cs="Times New Roman"/>
                  <w:noProof/>
                  <w:sz w:val="22"/>
                  <w:lang w:eastAsia="pl-PL"/>
                </w:rPr>
                <w:drawing>
                  <wp:inline distT="0" distB="0" distL="0" distR="0" wp14:anchorId="5A6A29D9" wp14:editId="35D44026">
                    <wp:extent cx="1828055" cy="307874"/>
                    <wp:effectExtent l="0" t="0" r="1270" b="0"/>
                    <wp:docPr id="3" name="Obraz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Obraz 1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828055" cy="30787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010D35E3" w14:textId="7777777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</w:p>
            <w:p w14:paraId="72D8FC76" w14:textId="7777777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</w:p>
          </w:tc>
          <w:tc>
            <w:tcPr>
              <w:tcW w:w="3402" w:type="dxa"/>
              <w:tcBorders>
                <w:top w:val="single" w:sz="12" w:space="0" w:color="808080"/>
              </w:tcBorders>
            </w:tcPr>
            <w:p w14:paraId="095A2126" w14:textId="7777777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</w:pPr>
              <w:r w:rsidRPr="00DE5D42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>www.zintegrowane.us.edu.pl</w:t>
              </w:r>
            </w:p>
            <w:p w14:paraId="61B66B92" w14:textId="77777777" w:rsidR="003E2DFF" w:rsidRPr="00DE5D42" w:rsidRDefault="003E2DFF" w:rsidP="00EC6548">
              <w:pPr>
                <w:tabs>
                  <w:tab w:val="center" w:pos="4536"/>
                  <w:tab w:val="right" w:pos="9072"/>
                </w:tabs>
                <w:ind w:left="317" w:right="34" w:hanging="317"/>
                <w:rPr>
                  <w:rFonts w:ascii="PT Sans" w:eastAsia="Calibri" w:hAnsi="PT Sans" w:cs="Times New Roman"/>
                  <w:color w:val="000000"/>
                  <w:sz w:val="18"/>
                  <w:szCs w:val="18"/>
                </w:rPr>
              </w:pPr>
              <w:r w:rsidRPr="00DE5D42">
                <w:rPr>
                  <w:rFonts w:ascii="Wingdings" w:eastAsia="Wingdings" w:hAnsi="Wingdings" w:cs="Calibri"/>
                  <w:color w:val="000000"/>
                  <w:sz w:val="18"/>
                  <w:szCs w:val="18"/>
                </w:rPr>
                <w:t></w:t>
              </w:r>
              <w:r w:rsidRPr="00DE5D42">
                <w:rPr>
                  <w:rFonts w:ascii="PT Sans" w:eastAsia="Calibri" w:hAnsi="PT Sans" w:cs="Calibri"/>
                  <w:color w:val="000000"/>
                  <w:sz w:val="18"/>
                  <w:szCs w:val="18"/>
                </w:rPr>
                <w:t xml:space="preserve"> 32 359 21 73</w:t>
              </w:r>
            </w:p>
          </w:tc>
        </w:tr>
      </w:tbl>
      <w:p w14:paraId="1620B54F" w14:textId="2C89EEB6" w:rsidR="003E2DFF" w:rsidRPr="000B2280" w:rsidRDefault="003E2DFF" w:rsidP="000B2280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0B2280">
          <w:rPr>
            <w:rFonts w:eastAsiaTheme="majorEastAsia" w:cstheme="majorBidi"/>
            <w:sz w:val="16"/>
            <w:szCs w:val="16"/>
          </w:rPr>
          <w:t xml:space="preserve">str. </w:t>
        </w:r>
        <w:r w:rsidRPr="000B2280">
          <w:rPr>
            <w:rFonts w:eastAsiaTheme="minorEastAsia"/>
            <w:sz w:val="16"/>
            <w:szCs w:val="16"/>
          </w:rPr>
          <w:fldChar w:fldCharType="begin"/>
        </w:r>
        <w:r w:rsidRPr="000B2280">
          <w:rPr>
            <w:sz w:val="16"/>
            <w:szCs w:val="16"/>
          </w:rPr>
          <w:instrText>PAGE    \* MERGEFORMAT</w:instrText>
        </w:r>
        <w:r w:rsidRPr="000B2280">
          <w:rPr>
            <w:rFonts w:eastAsiaTheme="minorEastAsia"/>
            <w:sz w:val="16"/>
            <w:szCs w:val="16"/>
          </w:rPr>
          <w:fldChar w:fldCharType="separate"/>
        </w:r>
        <w:r w:rsidRPr="00794EA9">
          <w:rPr>
            <w:rFonts w:eastAsiaTheme="majorEastAsia" w:cstheme="majorBidi"/>
            <w:noProof/>
            <w:sz w:val="16"/>
            <w:szCs w:val="16"/>
          </w:rPr>
          <w:t>4</w:t>
        </w:r>
        <w:r w:rsidRPr="000B228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120DA9">
          <w:rPr>
            <w:rFonts w:eastAsiaTheme="majorEastAsia" w:cstheme="majorBidi"/>
            <w:sz w:val="16"/>
            <w:szCs w:val="16"/>
          </w:rPr>
          <w:t>29</w:t>
        </w:r>
      </w:p>
      <w:p w14:paraId="7FD85EBA" w14:textId="77777777" w:rsidR="003E2DFF" w:rsidRPr="000560F0" w:rsidRDefault="00462D15" w:rsidP="000B2280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523424" w14:textId="4BB96DED" w:rsidR="003E2DFF" w:rsidRPr="007E603B" w:rsidRDefault="003E2DFF" w:rsidP="007E603B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  <w:tbl>
    <w:tblPr>
      <w:tblStyle w:val="Tabela-Siatka3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402"/>
      <w:gridCol w:w="3402"/>
      <w:gridCol w:w="3402"/>
    </w:tblGrid>
    <w:tr w:rsidR="003E2DFF" w:rsidRPr="00DE5D42" w14:paraId="1CED2727" w14:textId="77777777" w:rsidTr="002955A9">
      <w:tc>
        <w:tcPr>
          <w:tcW w:w="3402" w:type="dxa"/>
          <w:tcBorders>
            <w:top w:val="single" w:sz="12" w:space="0" w:color="808080"/>
          </w:tcBorders>
        </w:tcPr>
        <w:p w14:paraId="41A738F2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bookmarkStart w:id="47" w:name="_Hlk139357106"/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BIURO PROJEKTU</w:t>
          </w:r>
        </w:p>
        <w:p w14:paraId="47407D05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Uniwersytet Śląski w Katowicach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br/>
            <w:t>40–007 Katowice, ul. Bankowa 12, p. 2.9</w:t>
          </w:r>
        </w:p>
      </w:tc>
      <w:tc>
        <w:tcPr>
          <w:tcW w:w="3402" w:type="dxa"/>
          <w:tcBorders>
            <w:top w:val="single" w:sz="12" w:space="0" w:color="808080"/>
          </w:tcBorders>
        </w:tcPr>
        <w:p w14:paraId="1009123E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Calibri" w:eastAsia="Calibri" w:hAnsi="Calibri" w:cs="Times New Roman"/>
              <w:noProof/>
              <w:sz w:val="22"/>
              <w:lang w:eastAsia="pl-PL"/>
            </w:rPr>
            <w:drawing>
              <wp:inline distT="0" distB="0" distL="0" distR="0" wp14:anchorId="5103CAA6" wp14:editId="19822716">
                <wp:extent cx="1828055" cy="307874"/>
                <wp:effectExtent l="0" t="0" r="1270" b="0"/>
                <wp:docPr id="57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055" cy="3078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70D9DCE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Calibri"/>
              <w:color w:val="000000"/>
              <w:sz w:val="18"/>
              <w:szCs w:val="18"/>
            </w:rPr>
          </w:pPr>
        </w:p>
        <w:p w14:paraId="706BB409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</w:p>
      </w:tc>
      <w:tc>
        <w:tcPr>
          <w:tcW w:w="3402" w:type="dxa"/>
          <w:tcBorders>
            <w:top w:val="single" w:sz="12" w:space="0" w:color="808080"/>
          </w:tcBorders>
        </w:tcPr>
        <w:p w14:paraId="6EE6B30E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Calibri"/>
              <w:color w:val="000000"/>
              <w:sz w:val="18"/>
              <w:szCs w:val="18"/>
            </w:rPr>
          </w:pP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>www.zintegrowane.us.edu.pl</w:t>
          </w:r>
        </w:p>
        <w:p w14:paraId="23700E9B" w14:textId="77777777" w:rsidR="003E2DFF" w:rsidRPr="00DE5D42" w:rsidRDefault="003E2DFF" w:rsidP="004A69B6">
          <w:pPr>
            <w:tabs>
              <w:tab w:val="center" w:pos="4536"/>
              <w:tab w:val="right" w:pos="9072"/>
            </w:tabs>
            <w:ind w:left="317" w:right="34" w:hanging="317"/>
            <w:rPr>
              <w:rFonts w:ascii="PT Sans" w:eastAsia="Calibri" w:hAnsi="PT Sans" w:cs="Times New Roman"/>
              <w:color w:val="000000"/>
              <w:sz w:val="18"/>
              <w:szCs w:val="18"/>
            </w:rPr>
          </w:pPr>
          <w:r w:rsidRPr="00DE5D42">
            <w:rPr>
              <w:rFonts w:ascii="Wingdings" w:eastAsia="Wingdings" w:hAnsi="Wingdings" w:cs="Calibri"/>
              <w:color w:val="000000"/>
              <w:sz w:val="18"/>
              <w:szCs w:val="18"/>
            </w:rPr>
            <w:t></w:t>
          </w:r>
          <w:r w:rsidRPr="00DE5D42">
            <w:rPr>
              <w:rFonts w:ascii="PT Sans" w:eastAsia="Calibri" w:hAnsi="PT Sans" w:cs="Calibri"/>
              <w:color w:val="000000"/>
              <w:sz w:val="18"/>
              <w:szCs w:val="18"/>
            </w:rPr>
            <w:t xml:space="preserve"> 32 359 21 73</w:t>
          </w:r>
        </w:p>
      </w:tc>
    </w:tr>
  </w:tbl>
  <w:bookmarkEnd w:id="47"/>
  <w:p w14:paraId="1AB248B9" w14:textId="0BD879A4" w:rsidR="003E2DFF" w:rsidRPr="00602A59" w:rsidRDefault="003E2DFF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4896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4" name="Obraz 1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0800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3E2DFF" w:rsidRPr="00602A59" w:rsidRDefault="003E2DFF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3E2DFF" w:rsidRPr="00602A59" w:rsidRDefault="003E2DFF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3E2DFF" w:rsidRPr="00602A59" w:rsidRDefault="003E2DFF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3E2DFF" w:rsidRPr="00602A59" w:rsidRDefault="003E2DFF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3E2DFF" w:rsidRPr="00320F2F" w:rsidRDefault="003E2DFF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3E2DFF" w:rsidRDefault="003E2DFF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3E2DFF" w:rsidRDefault="003E2DFF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3E2DFF" w:rsidRDefault="003E2DFF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FBBD5" w14:textId="77777777" w:rsidR="003E2DFF" w:rsidRPr="00CB42FA" w:rsidRDefault="003E2DFF" w:rsidP="00EC6548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  <w:r w:rsidRPr="00CB42FA">
      <w:rPr>
        <w:noProof/>
      </w:rPr>
      <w:drawing>
        <wp:anchor distT="0" distB="0" distL="114300" distR="114300" simplePos="0" relativeHeight="251666944" behindDoc="1" locked="1" layoutInCell="1" allowOverlap="1" wp14:anchorId="4BB2CB54" wp14:editId="252F3952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B42FA">
      <w:rPr>
        <w:rFonts w:ascii="PT Sans" w:hAnsi="PT Sans"/>
        <w:i/>
        <w:noProof/>
        <w:sz w:val="22"/>
      </w:rPr>
      <w:drawing>
        <wp:inline distT="0" distB="0" distL="0" distR="0" wp14:anchorId="1FB6D688" wp14:editId="4450EDC8">
          <wp:extent cx="6696710" cy="531495"/>
          <wp:effectExtent l="0" t="0" r="889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6599D9" w14:textId="77777777" w:rsidR="003E2DFF" w:rsidRPr="00CB42FA" w:rsidRDefault="003E2DFF" w:rsidP="00EC6548">
    <w:pPr>
      <w:tabs>
        <w:tab w:val="left" w:pos="3300"/>
      </w:tabs>
      <w:spacing w:line="276" w:lineRule="auto"/>
      <w:jc w:val="center"/>
      <w:rPr>
        <w:rFonts w:ascii="PT Sans" w:hAnsi="PT Sans" w:cs="Calibri"/>
        <w:sz w:val="22"/>
      </w:rPr>
    </w:pPr>
    <w:r w:rsidRPr="00CB42FA">
      <w:rPr>
        <w:rFonts w:ascii="PT Sans" w:hAnsi="PT Sans" w:cs="Calibri"/>
        <w:i/>
        <w:sz w:val="22"/>
      </w:rPr>
      <w:t xml:space="preserve">Projekt pt. </w:t>
    </w:r>
    <w:r w:rsidRPr="00CB42FA">
      <w:rPr>
        <w:rFonts w:ascii="PT Sans" w:hAnsi="PT Sans" w:cs="Calibri"/>
        <w:b/>
        <w:i/>
        <w:sz w:val="22"/>
      </w:rPr>
      <w:t>„Jeden Uniwersytet – Wiele Możliwości. Program Zintegrowany”</w:t>
    </w:r>
  </w:p>
  <w:p w14:paraId="53CBC78A" w14:textId="77777777" w:rsidR="003E2DFF" w:rsidRPr="004A69B6" w:rsidRDefault="00462D15" w:rsidP="00EC6548">
    <w:pPr>
      <w:spacing w:line="276" w:lineRule="auto"/>
      <w:jc w:val="center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pict w14:anchorId="1108DB3F">
        <v:rect id="_x0000_i1025" style="width:453.5pt;height:1pt" o:hralign="center" o:hrstd="t" o:hr="t" fillcolor="#aca899" stroked="f"/>
      </w:pict>
    </w:r>
  </w:p>
  <w:p w14:paraId="3F164A08" w14:textId="77777777" w:rsidR="003E2DFF" w:rsidRDefault="003E2D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BE5E" w14:textId="070C0350" w:rsidR="003E2DFF" w:rsidRDefault="003E2DFF" w:rsidP="004A69B6">
    <w:pPr>
      <w:tabs>
        <w:tab w:val="left" w:pos="2523"/>
      </w:tabs>
      <w:spacing w:before="120"/>
      <w:ind w:right="2549"/>
      <w:rPr>
        <w:rFonts w:ascii="Times New Roman" w:hAnsi="Times New Roman" w:cs="Times New Roman"/>
        <w:sz w:val="18"/>
        <w:szCs w:val="18"/>
      </w:rPr>
    </w:pPr>
  </w:p>
  <w:p w14:paraId="1453B05C" w14:textId="1DBF4216" w:rsidR="003E2DFF" w:rsidRDefault="003E2DFF" w:rsidP="00072CFF">
    <w:pPr>
      <w:tabs>
        <w:tab w:val="left" w:pos="3300"/>
        <w:tab w:val="left" w:pos="3660"/>
      </w:tabs>
      <w:ind w:left="0" w:firstLine="0"/>
      <w:rPr>
        <w:rFonts w:ascii="PT Sans" w:hAnsi="PT Sans"/>
        <w:i/>
        <w:sz w:val="22"/>
      </w:rPr>
    </w:pPr>
    <w:bookmarkStart w:id="35" w:name="_Hlk130811653"/>
    <w:bookmarkStart w:id="36" w:name="_Hlk130811654"/>
    <w:bookmarkStart w:id="37" w:name="_Hlk130811660"/>
    <w:bookmarkStart w:id="38" w:name="_Hlk130811661"/>
    <w:bookmarkStart w:id="39" w:name="_Hlk130811665"/>
    <w:bookmarkStart w:id="40" w:name="_Hlk130811666"/>
    <w:bookmarkStart w:id="41" w:name="_Hlk130811677"/>
    <w:bookmarkStart w:id="42" w:name="_Hlk130811678"/>
    <w:bookmarkStart w:id="43" w:name="_Hlk130811682"/>
    <w:bookmarkStart w:id="44" w:name="_Hlk130811683"/>
  </w:p>
  <w:p w14:paraId="69A16D92" w14:textId="77777777" w:rsidR="003E2DFF" w:rsidRPr="00CB42FA" w:rsidRDefault="003E2DFF" w:rsidP="004A69B6">
    <w:pPr>
      <w:tabs>
        <w:tab w:val="left" w:pos="3300"/>
        <w:tab w:val="left" w:pos="3570"/>
      </w:tabs>
      <w:ind w:left="-426"/>
      <w:rPr>
        <w:rFonts w:ascii="PT Sans" w:hAnsi="PT Sans"/>
        <w:i/>
        <w:noProof/>
        <w:sz w:val="22"/>
      </w:rPr>
    </w:pPr>
    <w:r w:rsidRPr="00CB42FA">
      <w:rPr>
        <w:noProof/>
      </w:rPr>
      <w:drawing>
        <wp:anchor distT="0" distB="0" distL="114300" distR="114300" simplePos="0" relativeHeight="251658752" behindDoc="1" locked="1" layoutInCell="1" allowOverlap="1" wp14:anchorId="2AA8DE12" wp14:editId="2B5C1289">
          <wp:simplePos x="0" y="0"/>
          <wp:positionH relativeFrom="page">
            <wp:posOffset>-70485</wp:posOffset>
          </wp:positionH>
          <wp:positionV relativeFrom="page">
            <wp:posOffset>-410210</wp:posOffset>
          </wp:positionV>
          <wp:extent cx="7559675" cy="1181100"/>
          <wp:effectExtent l="0" t="0" r="3175" b="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45" w:name="_Hlk127951159"/>
    <w:bookmarkStart w:id="46" w:name="_Hlk127951160"/>
    <w:r w:rsidRPr="00CB42FA">
      <w:rPr>
        <w:rFonts w:ascii="PT Sans" w:hAnsi="PT Sans"/>
        <w:i/>
        <w:noProof/>
        <w:sz w:val="22"/>
      </w:rPr>
      <w:drawing>
        <wp:inline distT="0" distB="0" distL="0" distR="0" wp14:anchorId="063FDBE1" wp14:editId="5AE2EC80">
          <wp:extent cx="6696710" cy="531495"/>
          <wp:effectExtent l="0" t="0" r="8890" b="1905"/>
          <wp:docPr id="56" name="Obraz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rmówka - nowe logo NBiR Kolor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6710" cy="531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F5640F" w14:textId="77777777" w:rsidR="003E2DFF" w:rsidRPr="00CB42FA" w:rsidRDefault="003E2DFF" w:rsidP="004A69B6">
    <w:pPr>
      <w:tabs>
        <w:tab w:val="left" w:pos="3300"/>
      </w:tabs>
      <w:spacing w:line="276" w:lineRule="auto"/>
      <w:jc w:val="center"/>
      <w:rPr>
        <w:rFonts w:ascii="PT Sans" w:hAnsi="PT Sans" w:cs="Calibri"/>
        <w:sz w:val="22"/>
      </w:rPr>
    </w:pPr>
    <w:r w:rsidRPr="00CB42FA">
      <w:rPr>
        <w:rFonts w:ascii="PT Sans" w:hAnsi="PT Sans" w:cs="Calibri"/>
        <w:i/>
        <w:sz w:val="22"/>
      </w:rPr>
      <w:t xml:space="preserve">Projekt pt. </w:t>
    </w:r>
    <w:r w:rsidRPr="00CB42FA">
      <w:rPr>
        <w:rFonts w:ascii="PT Sans" w:hAnsi="PT Sans" w:cs="Calibri"/>
        <w:b/>
        <w:i/>
        <w:sz w:val="22"/>
      </w:rPr>
      <w:t>„Jeden Uniwersytet – Wiele Możliwości. Program Zintegrowany”</w:t>
    </w:r>
  </w:p>
  <w:p w14:paraId="1C2B9AA4" w14:textId="4E97D952" w:rsidR="003E2DFF" w:rsidRPr="004A69B6" w:rsidRDefault="00462D15" w:rsidP="004A69B6">
    <w:pPr>
      <w:spacing w:line="276" w:lineRule="auto"/>
      <w:jc w:val="center"/>
      <w:rPr>
        <w:rFonts w:ascii="Calibri" w:hAnsi="Calibri"/>
        <w:i/>
        <w:sz w:val="22"/>
      </w:rPr>
    </w:pPr>
    <w:r>
      <w:rPr>
        <w:rFonts w:ascii="Calibri" w:hAnsi="Calibri"/>
        <w:i/>
        <w:sz w:val="22"/>
      </w:rPr>
      <w:pict w14:anchorId="72E7D7F2">
        <v:rect id="_x0000_i1026" style="width:453.5pt;height:1pt" o:hralign="center" o:hrstd="t" o:hr="t" fillcolor="#aca899" stroked="f"/>
      </w:pict>
    </w:r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94691"/>
    <w:multiLevelType w:val="hybridMultilevel"/>
    <w:tmpl w:val="F9827BE0"/>
    <w:lvl w:ilvl="0" w:tplc="B35A370A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93D247C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2AE894E2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3B0579"/>
    <w:multiLevelType w:val="hybridMultilevel"/>
    <w:tmpl w:val="50F05B5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5258A1"/>
    <w:multiLevelType w:val="hybridMultilevel"/>
    <w:tmpl w:val="2E886F34"/>
    <w:lvl w:ilvl="0" w:tplc="A73C3C66">
      <w:start w:val="1"/>
      <w:numFmt w:val="bullet"/>
      <w:lvlText w:val="-"/>
      <w:lvlJc w:val="left"/>
      <w:pPr>
        <w:ind w:left="1494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27E36034"/>
    <w:multiLevelType w:val="hybridMultilevel"/>
    <w:tmpl w:val="713C9AF2"/>
    <w:lvl w:ilvl="0" w:tplc="E67602E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2EB22128"/>
    <w:multiLevelType w:val="hybridMultilevel"/>
    <w:tmpl w:val="D19A9E42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CF1F0C"/>
    <w:multiLevelType w:val="hybridMultilevel"/>
    <w:tmpl w:val="A3A6BD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76011C9"/>
    <w:multiLevelType w:val="hybridMultilevel"/>
    <w:tmpl w:val="FC54D93A"/>
    <w:lvl w:ilvl="0" w:tplc="03CC258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4E12D2"/>
    <w:multiLevelType w:val="hybridMultilevel"/>
    <w:tmpl w:val="33B2A362"/>
    <w:lvl w:ilvl="0" w:tplc="377A9E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79D6890"/>
    <w:multiLevelType w:val="hybridMultilevel"/>
    <w:tmpl w:val="29D2BF04"/>
    <w:lvl w:ilvl="0" w:tplc="D9CE75B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6AB57B81"/>
    <w:multiLevelType w:val="hybridMultilevel"/>
    <w:tmpl w:val="3B8CEA4C"/>
    <w:lvl w:ilvl="0" w:tplc="EB8E2E9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F78112D"/>
    <w:multiLevelType w:val="hybridMultilevel"/>
    <w:tmpl w:val="3A34446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8437E22"/>
    <w:multiLevelType w:val="hybridMultilevel"/>
    <w:tmpl w:val="52026F60"/>
    <w:lvl w:ilvl="0" w:tplc="377A9E0C">
      <w:start w:val="1"/>
      <w:numFmt w:val="bullet"/>
      <w:lvlText w:val="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2"/>
  </w:num>
  <w:num w:numId="4">
    <w:abstractNumId w:val="19"/>
  </w:num>
  <w:num w:numId="5">
    <w:abstractNumId w:val="18"/>
  </w:num>
  <w:num w:numId="6">
    <w:abstractNumId w:val="24"/>
  </w:num>
  <w:num w:numId="7">
    <w:abstractNumId w:val="8"/>
  </w:num>
  <w:num w:numId="8">
    <w:abstractNumId w:val="8"/>
    <w:lvlOverride w:ilvl="0">
      <w:startOverride w:val="1"/>
    </w:lvlOverride>
  </w:num>
  <w:num w:numId="9">
    <w:abstractNumId w:val="2"/>
  </w:num>
  <w:num w:numId="10">
    <w:abstractNumId w:val="8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  <w:lvlOverride w:ilvl="0">
      <w:startOverride w:val="1"/>
    </w:lvlOverride>
  </w:num>
  <w:num w:numId="13">
    <w:abstractNumId w:val="2"/>
    <w:lvlOverride w:ilvl="0">
      <w:startOverride w:val="1"/>
    </w:lvlOverride>
  </w:num>
  <w:num w:numId="14">
    <w:abstractNumId w:val="20"/>
    <w:lvlOverride w:ilvl="0">
      <w:startOverride w:val="1"/>
    </w:lvlOverride>
  </w:num>
  <w:num w:numId="15">
    <w:abstractNumId w:val="20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2"/>
    <w:lvlOverride w:ilvl="0">
      <w:startOverride w:val="2"/>
    </w:lvlOverride>
  </w:num>
  <w:num w:numId="24">
    <w:abstractNumId w:val="2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20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2"/>
    <w:lvlOverride w:ilvl="0">
      <w:startOverride w:val="1"/>
    </w:lvlOverride>
  </w:num>
  <w:num w:numId="40">
    <w:abstractNumId w:val="2"/>
  </w:num>
  <w:num w:numId="41">
    <w:abstractNumId w:val="7"/>
  </w:num>
  <w:num w:numId="42">
    <w:abstractNumId w:val="20"/>
    <w:lvlOverride w:ilvl="0">
      <w:startOverride w:val="1"/>
    </w:lvlOverride>
  </w:num>
  <w:num w:numId="43">
    <w:abstractNumId w:val="2"/>
  </w:num>
  <w:num w:numId="44">
    <w:abstractNumId w:val="8"/>
    <w:lvlOverride w:ilvl="0">
      <w:startOverride w:val="2"/>
    </w:lvlOverride>
  </w:num>
  <w:num w:numId="45">
    <w:abstractNumId w:val="2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2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8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16"/>
  </w:num>
  <w:num w:numId="55">
    <w:abstractNumId w:val="2"/>
    <w:lvlOverride w:ilvl="0">
      <w:startOverride w:val="1"/>
    </w:lvlOverride>
  </w:num>
  <w:num w:numId="56">
    <w:abstractNumId w:val="20"/>
    <w:lvlOverride w:ilvl="0">
      <w:startOverride w:val="1"/>
    </w:lvlOverride>
  </w:num>
  <w:num w:numId="57">
    <w:abstractNumId w:val="20"/>
    <w:lvlOverride w:ilvl="0">
      <w:startOverride w:val="1"/>
    </w:lvlOverride>
  </w:num>
  <w:num w:numId="58">
    <w:abstractNumId w:val="20"/>
    <w:lvlOverride w:ilvl="0">
      <w:startOverride w:val="1"/>
    </w:lvlOverride>
  </w:num>
  <w:num w:numId="59">
    <w:abstractNumId w:val="20"/>
    <w:lvlOverride w:ilvl="0">
      <w:startOverride w:val="1"/>
    </w:lvlOverride>
  </w:num>
  <w:num w:numId="60">
    <w:abstractNumId w:val="2"/>
    <w:lvlOverride w:ilvl="0">
      <w:startOverride w:val="1"/>
    </w:lvlOverride>
  </w:num>
  <w:num w:numId="61">
    <w:abstractNumId w:val="20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26"/>
  </w:num>
  <w:num w:numId="64">
    <w:abstractNumId w:val="2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17"/>
  </w:num>
  <w:num w:numId="67">
    <w:abstractNumId w:val="27"/>
  </w:num>
  <w:num w:numId="68">
    <w:abstractNumId w:val="13"/>
  </w:num>
  <w:num w:numId="69">
    <w:abstractNumId w:val="22"/>
  </w:num>
  <w:num w:numId="70">
    <w:abstractNumId w:val="21"/>
  </w:num>
  <w:num w:numId="71">
    <w:abstractNumId w:val="1"/>
  </w:num>
  <w:num w:numId="72">
    <w:abstractNumId w:val="10"/>
  </w:num>
  <w:num w:numId="73">
    <w:abstractNumId w:val="4"/>
  </w:num>
  <w:num w:numId="74">
    <w:abstractNumId w:val="11"/>
  </w:num>
  <w:num w:numId="75">
    <w:abstractNumId w:val="25"/>
  </w:num>
  <w:num w:numId="76">
    <w:abstractNumId w:val="6"/>
  </w:num>
  <w:num w:numId="77">
    <w:abstractNumId w:val="15"/>
  </w:num>
  <w:num w:numId="78">
    <w:abstractNumId w:val="3"/>
  </w:num>
  <w:num w:numId="79">
    <w:abstractNumId w:val="2"/>
    <w:lvlOverride w:ilvl="0">
      <w:startOverride w:val="1"/>
    </w:lvlOverride>
  </w:num>
  <w:num w:numId="80">
    <w:abstractNumId w:val="23"/>
  </w:num>
  <w:num w:numId="81">
    <w:abstractNumId w:val="20"/>
  </w:num>
  <w:num w:numId="82">
    <w:abstractNumId w:val="5"/>
  </w:num>
  <w:num w:numId="83">
    <w:abstractNumId w:val="0"/>
  </w:num>
  <w:num w:numId="84">
    <w:abstractNumId w:val="20"/>
    <w:lvlOverride w:ilvl="0">
      <w:startOverride w:val="3"/>
    </w:lvlOverride>
  </w:num>
  <w:num w:numId="85">
    <w:abstractNumId w:val="28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2083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1D"/>
    <w:rsid w:val="00001200"/>
    <w:rsid w:val="00002F1C"/>
    <w:rsid w:val="00011CAA"/>
    <w:rsid w:val="0001285D"/>
    <w:rsid w:val="00013955"/>
    <w:rsid w:val="000154D7"/>
    <w:rsid w:val="00017990"/>
    <w:rsid w:val="00021026"/>
    <w:rsid w:val="00021C6F"/>
    <w:rsid w:val="00023CE7"/>
    <w:rsid w:val="00033B40"/>
    <w:rsid w:val="00034894"/>
    <w:rsid w:val="0003593D"/>
    <w:rsid w:val="000433CC"/>
    <w:rsid w:val="0004679C"/>
    <w:rsid w:val="000479C6"/>
    <w:rsid w:val="000518A0"/>
    <w:rsid w:val="00052289"/>
    <w:rsid w:val="000560F0"/>
    <w:rsid w:val="00061F2F"/>
    <w:rsid w:val="00062715"/>
    <w:rsid w:val="000649CD"/>
    <w:rsid w:val="00065E6E"/>
    <w:rsid w:val="00066CCC"/>
    <w:rsid w:val="00070C25"/>
    <w:rsid w:val="000729DF"/>
    <w:rsid w:val="00072CFF"/>
    <w:rsid w:val="00074505"/>
    <w:rsid w:val="00075841"/>
    <w:rsid w:val="0007678F"/>
    <w:rsid w:val="00077106"/>
    <w:rsid w:val="00080C23"/>
    <w:rsid w:val="00083060"/>
    <w:rsid w:val="000836B7"/>
    <w:rsid w:val="00084CB7"/>
    <w:rsid w:val="0008595E"/>
    <w:rsid w:val="00092DE1"/>
    <w:rsid w:val="000940A2"/>
    <w:rsid w:val="0009419D"/>
    <w:rsid w:val="000A27EE"/>
    <w:rsid w:val="000A2883"/>
    <w:rsid w:val="000A37EA"/>
    <w:rsid w:val="000A3D64"/>
    <w:rsid w:val="000A537D"/>
    <w:rsid w:val="000A5BCB"/>
    <w:rsid w:val="000A7A05"/>
    <w:rsid w:val="000B0AAE"/>
    <w:rsid w:val="000B2280"/>
    <w:rsid w:val="000B48F2"/>
    <w:rsid w:val="000C0F8D"/>
    <w:rsid w:val="000C5ABC"/>
    <w:rsid w:val="000D1F37"/>
    <w:rsid w:val="000D4163"/>
    <w:rsid w:val="000D5852"/>
    <w:rsid w:val="000E09BF"/>
    <w:rsid w:val="000E4CE5"/>
    <w:rsid w:val="000E587B"/>
    <w:rsid w:val="00101371"/>
    <w:rsid w:val="00102399"/>
    <w:rsid w:val="00102AA4"/>
    <w:rsid w:val="00103256"/>
    <w:rsid w:val="001048D1"/>
    <w:rsid w:val="001058B4"/>
    <w:rsid w:val="00106170"/>
    <w:rsid w:val="00106218"/>
    <w:rsid w:val="00110217"/>
    <w:rsid w:val="0011131A"/>
    <w:rsid w:val="00111FD4"/>
    <w:rsid w:val="00113823"/>
    <w:rsid w:val="00120996"/>
    <w:rsid w:val="00120DA9"/>
    <w:rsid w:val="0012335E"/>
    <w:rsid w:val="00126421"/>
    <w:rsid w:val="0014629C"/>
    <w:rsid w:val="001463E7"/>
    <w:rsid w:val="00147280"/>
    <w:rsid w:val="001509D7"/>
    <w:rsid w:val="00155256"/>
    <w:rsid w:val="0016681E"/>
    <w:rsid w:val="0016771C"/>
    <w:rsid w:val="00170642"/>
    <w:rsid w:val="001814C5"/>
    <w:rsid w:val="0018496F"/>
    <w:rsid w:val="001863EA"/>
    <w:rsid w:val="001902EC"/>
    <w:rsid w:val="00197885"/>
    <w:rsid w:val="00197CBB"/>
    <w:rsid w:val="001A0C84"/>
    <w:rsid w:val="001A1A78"/>
    <w:rsid w:val="001A4968"/>
    <w:rsid w:val="001A7781"/>
    <w:rsid w:val="001B1AC0"/>
    <w:rsid w:val="001C43D0"/>
    <w:rsid w:val="001C6101"/>
    <w:rsid w:val="001D05CD"/>
    <w:rsid w:val="001D4544"/>
    <w:rsid w:val="001E1D5E"/>
    <w:rsid w:val="001F2E7A"/>
    <w:rsid w:val="00200A27"/>
    <w:rsid w:val="00202CEE"/>
    <w:rsid w:val="00203A18"/>
    <w:rsid w:val="00215437"/>
    <w:rsid w:val="00216584"/>
    <w:rsid w:val="00217B73"/>
    <w:rsid w:val="00220150"/>
    <w:rsid w:val="00221638"/>
    <w:rsid w:val="00221BE7"/>
    <w:rsid w:val="00224754"/>
    <w:rsid w:val="002258D1"/>
    <w:rsid w:val="00226310"/>
    <w:rsid w:val="002318AB"/>
    <w:rsid w:val="00234E63"/>
    <w:rsid w:val="00235097"/>
    <w:rsid w:val="002368D1"/>
    <w:rsid w:val="00241D9C"/>
    <w:rsid w:val="00244E1F"/>
    <w:rsid w:val="00253178"/>
    <w:rsid w:val="002536D1"/>
    <w:rsid w:val="002614DF"/>
    <w:rsid w:val="00270275"/>
    <w:rsid w:val="00272E3F"/>
    <w:rsid w:val="002767DF"/>
    <w:rsid w:val="00283B10"/>
    <w:rsid w:val="00287C5A"/>
    <w:rsid w:val="00295427"/>
    <w:rsid w:val="002955A9"/>
    <w:rsid w:val="00297EB3"/>
    <w:rsid w:val="002A1A73"/>
    <w:rsid w:val="002A2C08"/>
    <w:rsid w:val="002A3574"/>
    <w:rsid w:val="002A50F6"/>
    <w:rsid w:val="002B10F9"/>
    <w:rsid w:val="002B15BF"/>
    <w:rsid w:val="002B20B0"/>
    <w:rsid w:val="002B3B39"/>
    <w:rsid w:val="002B5872"/>
    <w:rsid w:val="002B6782"/>
    <w:rsid w:val="002D1BDD"/>
    <w:rsid w:val="002D273D"/>
    <w:rsid w:val="002D2F12"/>
    <w:rsid w:val="002D3A3B"/>
    <w:rsid w:val="002D5FED"/>
    <w:rsid w:val="002D64F0"/>
    <w:rsid w:val="002E3F6E"/>
    <w:rsid w:val="002E4CF0"/>
    <w:rsid w:val="002F0627"/>
    <w:rsid w:val="002F28D3"/>
    <w:rsid w:val="002F5524"/>
    <w:rsid w:val="002F56CF"/>
    <w:rsid w:val="002F6F07"/>
    <w:rsid w:val="00305D5C"/>
    <w:rsid w:val="00307CFB"/>
    <w:rsid w:val="0031115A"/>
    <w:rsid w:val="00314300"/>
    <w:rsid w:val="003144B0"/>
    <w:rsid w:val="00315240"/>
    <w:rsid w:val="00317F1D"/>
    <w:rsid w:val="00321B53"/>
    <w:rsid w:val="00322781"/>
    <w:rsid w:val="00327180"/>
    <w:rsid w:val="003322E2"/>
    <w:rsid w:val="003327C2"/>
    <w:rsid w:val="003439DD"/>
    <w:rsid w:val="00354EEE"/>
    <w:rsid w:val="00357D01"/>
    <w:rsid w:val="00361E5C"/>
    <w:rsid w:val="003626F5"/>
    <w:rsid w:val="003636A2"/>
    <w:rsid w:val="003702E5"/>
    <w:rsid w:val="003757FD"/>
    <w:rsid w:val="0038205A"/>
    <w:rsid w:val="00382315"/>
    <w:rsid w:val="00384DA3"/>
    <w:rsid w:val="003925AC"/>
    <w:rsid w:val="00395C1D"/>
    <w:rsid w:val="003A0D55"/>
    <w:rsid w:val="003A1EDB"/>
    <w:rsid w:val="003A44A0"/>
    <w:rsid w:val="003A5E0B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17E1"/>
    <w:rsid w:val="003D4BC7"/>
    <w:rsid w:val="003E05AE"/>
    <w:rsid w:val="003E2DFF"/>
    <w:rsid w:val="003E3BDD"/>
    <w:rsid w:val="003E5B10"/>
    <w:rsid w:val="003E699C"/>
    <w:rsid w:val="003E7430"/>
    <w:rsid w:val="00400D79"/>
    <w:rsid w:val="00401B0E"/>
    <w:rsid w:val="00402900"/>
    <w:rsid w:val="004041F8"/>
    <w:rsid w:val="00404C44"/>
    <w:rsid w:val="004079E1"/>
    <w:rsid w:val="00410A86"/>
    <w:rsid w:val="00410DFD"/>
    <w:rsid w:val="00411E64"/>
    <w:rsid w:val="00415FA5"/>
    <w:rsid w:val="00416D5A"/>
    <w:rsid w:val="004205CE"/>
    <w:rsid w:val="004271BC"/>
    <w:rsid w:val="00430ADD"/>
    <w:rsid w:val="00430D9E"/>
    <w:rsid w:val="0043134E"/>
    <w:rsid w:val="00432C01"/>
    <w:rsid w:val="00436F8D"/>
    <w:rsid w:val="00441104"/>
    <w:rsid w:val="00445114"/>
    <w:rsid w:val="004505A5"/>
    <w:rsid w:val="004516FA"/>
    <w:rsid w:val="00451F20"/>
    <w:rsid w:val="004545BE"/>
    <w:rsid w:val="00455B33"/>
    <w:rsid w:val="00457D79"/>
    <w:rsid w:val="004602D3"/>
    <w:rsid w:val="00462D15"/>
    <w:rsid w:val="00467882"/>
    <w:rsid w:val="00471B27"/>
    <w:rsid w:val="00473D30"/>
    <w:rsid w:val="00473F6B"/>
    <w:rsid w:val="00475AAC"/>
    <w:rsid w:val="00477FA3"/>
    <w:rsid w:val="0048357C"/>
    <w:rsid w:val="004837D8"/>
    <w:rsid w:val="00486CBF"/>
    <w:rsid w:val="00490CBC"/>
    <w:rsid w:val="0049570C"/>
    <w:rsid w:val="00496005"/>
    <w:rsid w:val="004960E1"/>
    <w:rsid w:val="00497D83"/>
    <w:rsid w:val="004A1317"/>
    <w:rsid w:val="004A1FF6"/>
    <w:rsid w:val="004A2BDB"/>
    <w:rsid w:val="004A69B6"/>
    <w:rsid w:val="004B27BB"/>
    <w:rsid w:val="004B4CE9"/>
    <w:rsid w:val="004C0E1D"/>
    <w:rsid w:val="004C1E84"/>
    <w:rsid w:val="004C4E99"/>
    <w:rsid w:val="004D0275"/>
    <w:rsid w:val="004D0D2E"/>
    <w:rsid w:val="004D0EE0"/>
    <w:rsid w:val="004D22E3"/>
    <w:rsid w:val="004D295C"/>
    <w:rsid w:val="004D2D43"/>
    <w:rsid w:val="004D3C4C"/>
    <w:rsid w:val="004E0BD8"/>
    <w:rsid w:val="004E13A3"/>
    <w:rsid w:val="004E36F7"/>
    <w:rsid w:val="004F088D"/>
    <w:rsid w:val="00501410"/>
    <w:rsid w:val="005149DB"/>
    <w:rsid w:val="00515101"/>
    <w:rsid w:val="00530CAA"/>
    <w:rsid w:val="00530CC3"/>
    <w:rsid w:val="0053685B"/>
    <w:rsid w:val="0055100B"/>
    <w:rsid w:val="0055317F"/>
    <w:rsid w:val="00553D74"/>
    <w:rsid w:val="0055555A"/>
    <w:rsid w:val="00557CB8"/>
    <w:rsid w:val="00561D23"/>
    <w:rsid w:val="005625C2"/>
    <w:rsid w:val="00574F25"/>
    <w:rsid w:val="00584E90"/>
    <w:rsid w:val="0058638C"/>
    <w:rsid w:val="00586657"/>
    <w:rsid w:val="0059604E"/>
    <w:rsid w:val="005968E9"/>
    <w:rsid w:val="005A19CF"/>
    <w:rsid w:val="005A269D"/>
    <w:rsid w:val="005A2875"/>
    <w:rsid w:val="005B34FE"/>
    <w:rsid w:val="005B5871"/>
    <w:rsid w:val="005B735A"/>
    <w:rsid w:val="005C252A"/>
    <w:rsid w:val="005C475C"/>
    <w:rsid w:val="005D279C"/>
    <w:rsid w:val="005D2930"/>
    <w:rsid w:val="005D4855"/>
    <w:rsid w:val="005D63CD"/>
    <w:rsid w:val="005D7EA1"/>
    <w:rsid w:val="005E1241"/>
    <w:rsid w:val="005E6A0F"/>
    <w:rsid w:val="005E7B56"/>
    <w:rsid w:val="005F0C33"/>
    <w:rsid w:val="005F22BB"/>
    <w:rsid w:val="005F2A5F"/>
    <w:rsid w:val="00602A59"/>
    <w:rsid w:val="0061008C"/>
    <w:rsid w:val="00610A45"/>
    <w:rsid w:val="00614792"/>
    <w:rsid w:val="00614DA8"/>
    <w:rsid w:val="006150BB"/>
    <w:rsid w:val="0061721E"/>
    <w:rsid w:val="006235A5"/>
    <w:rsid w:val="006235F4"/>
    <w:rsid w:val="00633CA0"/>
    <w:rsid w:val="006378CF"/>
    <w:rsid w:val="006408A8"/>
    <w:rsid w:val="00642C54"/>
    <w:rsid w:val="0065335E"/>
    <w:rsid w:val="006541B8"/>
    <w:rsid w:val="00656C22"/>
    <w:rsid w:val="0066172A"/>
    <w:rsid w:val="00663D66"/>
    <w:rsid w:val="006675AE"/>
    <w:rsid w:val="006727FE"/>
    <w:rsid w:val="006738D2"/>
    <w:rsid w:val="00673F0B"/>
    <w:rsid w:val="00674EAC"/>
    <w:rsid w:val="00680B0C"/>
    <w:rsid w:val="006865D9"/>
    <w:rsid w:val="00687243"/>
    <w:rsid w:val="006875FF"/>
    <w:rsid w:val="0069468E"/>
    <w:rsid w:val="0069639F"/>
    <w:rsid w:val="006967CD"/>
    <w:rsid w:val="00696973"/>
    <w:rsid w:val="006A1250"/>
    <w:rsid w:val="006A5362"/>
    <w:rsid w:val="006A5F11"/>
    <w:rsid w:val="006A784F"/>
    <w:rsid w:val="006B318B"/>
    <w:rsid w:val="006B60CC"/>
    <w:rsid w:val="006C2AED"/>
    <w:rsid w:val="006C5256"/>
    <w:rsid w:val="006C5845"/>
    <w:rsid w:val="006C7B66"/>
    <w:rsid w:val="006D3219"/>
    <w:rsid w:val="006D5D99"/>
    <w:rsid w:val="006D6009"/>
    <w:rsid w:val="006D6380"/>
    <w:rsid w:val="006E2700"/>
    <w:rsid w:val="006E33C4"/>
    <w:rsid w:val="006F2450"/>
    <w:rsid w:val="0070662F"/>
    <w:rsid w:val="0071379B"/>
    <w:rsid w:val="00715211"/>
    <w:rsid w:val="007156C2"/>
    <w:rsid w:val="007206AE"/>
    <w:rsid w:val="007213C6"/>
    <w:rsid w:val="00722392"/>
    <w:rsid w:val="00733EB6"/>
    <w:rsid w:val="007347EC"/>
    <w:rsid w:val="00735BBE"/>
    <w:rsid w:val="007405D7"/>
    <w:rsid w:val="0074391D"/>
    <w:rsid w:val="00743CB0"/>
    <w:rsid w:val="00747C84"/>
    <w:rsid w:val="00752815"/>
    <w:rsid w:val="00753946"/>
    <w:rsid w:val="00753E07"/>
    <w:rsid w:val="007575A9"/>
    <w:rsid w:val="00765CD8"/>
    <w:rsid w:val="007667C8"/>
    <w:rsid w:val="00771EE8"/>
    <w:rsid w:val="007736C6"/>
    <w:rsid w:val="00774661"/>
    <w:rsid w:val="00774987"/>
    <w:rsid w:val="00781509"/>
    <w:rsid w:val="00781B28"/>
    <w:rsid w:val="00782008"/>
    <w:rsid w:val="00785B0E"/>
    <w:rsid w:val="00787022"/>
    <w:rsid w:val="00791BE2"/>
    <w:rsid w:val="0079207F"/>
    <w:rsid w:val="00794699"/>
    <w:rsid w:val="00794879"/>
    <w:rsid w:val="00794EA9"/>
    <w:rsid w:val="007A06EE"/>
    <w:rsid w:val="007A0FEB"/>
    <w:rsid w:val="007A264E"/>
    <w:rsid w:val="007A3614"/>
    <w:rsid w:val="007B11BF"/>
    <w:rsid w:val="007B1224"/>
    <w:rsid w:val="007B378B"/>
    <w:rsid w:val="007B3C31"/>
    <w:rsid w:val="007B551E"/>
    <w:rsid w:val="007C31FC"/>
    <w:rsid w:val="007C52C3"/>
    <w:rsid w:val="007C6963"/>
    <w:rsid w:val="007C7952"/>
    <w:rsid w:val="007D02AB"/>
    <w:rsid w:val="007D34BC"/>
    <w:rsid w:val="007D67F0"/>
    <w:rsid w:val="007E1600"/>
    <w:rsid w:val="007E1EB6"/>
    <w:rsid w:val="007E603B"/>
    <w:rsid w:val="007E71A5"/>
    <w:rsid w:val="007F0F89"/>
    <w:rsid w:val="007F153F"/>
    <w:rsid w:val="007F1CC6"/>
    <w:rsid w:val="007F728E"/>
    <w:rsid w:val="00801A5D"/>
    <w:rsid w:val="00815FE8"/>
    <w:rsid w:val="0082259F"/>
    <w:rsid w:val="00824722"/>
    <w:rsid w:val="008267E1"/>
    <w:rsid w:val="008278FB"/>
    <w:rsid w:val="008325FA"/>
    <w:rsid w:val="008337DE"/>
    <w:rsid w:val="00844EF0"/>
    <w:rsid w:val="00845B0F"/>
    <w:rsid w:val="008614DC"/>
    <w:rsid w:val="008641AC"/>
    <w:rsid w:val="00866A32"/>
    <w:rsid w:val="008712E4"/>
    <w:rsid w:val="00875993"/>
    <w:rsid w:val="00875C4C"/>
    <w:rsid w:val="00876189"/>
    <w:rsid w:val="00877825"/>
    <w:rsid w:val="00880B5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7138"/>
    <w:rsid w:val="008A72DD"/>
    <w:rsid w:val="008B0002"/>
    <w:rsid w:val="008B1BD4"/>
    <w:rsid w:val="008C0D41"/>
    <w:rsid w:val="008D2CC3"/>
    <w:rsid w:val="008D4FFE"/>
    <w:rsid w:val="008D5E0B"/>
    <w:rsid w:val="008D6FBC"/>
    <w:rsid w:val="008E20C0"/>
    <w:rsid w:val="008E2163"/>
    <w:rsid w:val="008E250B"/>
    <w:rsid w:val="008E4775"/>
    <w:rsid w:val="008E7BEC"/>
    <w:rsid w:val="008F020B"/>
    <w:rsid w:val="008F1477"/>
    <w:rsid w:val="008F2B8E"/>
    <w:rsid w:val="0090412A"/>
    <w:rsid w:val="00905570"/>
    <w:rsid w:val="009074B7"/>
    <w:rsid w:val="00907E2D"/>
    <w:rsid w:val="00910B9C"/>
    <w:rsid w:val="009112FF"/>
    <w:rsid w:val="00912E09"/>
    <w:rsid w:val="009155DF"/>
    <w:rsid w:val="009159B0"/>
    <w:rsid w:val="00915A9C"/>
    <w:rsid w:val="009161D6"/>
    <w:rsid w:val="00921176"/>
    <w:rsid w:val="00923402"/>
    <w:rsid w:val="009331A9"/>
    <w:rsid w:val="009331BE"/>
    <w:rsid w:val="009341F2"/>
    <w:rsid w:val="0093436C"/>
    <w:rsid w:val="0094570C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71430"/>
    <w:rsid w:val="009721D4"/>
    <w:rsid w:val="00974A4D"/>
    <w:rsid w:val="00976B29"/>
    <w:rsid w:val="0098099F"/>
    <w:rsid w:val="0098225D"/>
    <w:rsid w:val="0098442D"/>
    <w:rsid w:val="00985869"/>
    <w:rsid w:val="0098660D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18A7"/>
    <w:rsid w:val="009B3235"/>
    <w:rsid w:val="009B5DBA"/>
    <w:rsid w:val="009B5FD8"/>
    <w:rsid w:val="009B64C5"/>
    <w:rsid w:val="009C40E6"/>
    <w:rsid w:val="009D33A0"/>
    <w:rsid w:val="009D7BC2"/>
    <w:rsid w:val="009E3803"/>
    <w:rsid w:val="009E4BCB"/>
    <w:rsid w:val="009E68C1"/>
    <w:rsid w:val="009F3618"/>
    <w:rsid w:val="009F5C6B"/>
    <w:rsid w:val="009F6A1C"/>
    <w:rsid w:val="00A0368D"/>
    <w:rsid w:val="00A03921"/>
    <w:rsid w:val="00A20BF4"/>
    <w:rsid w:val="00A2418E"/>
    <w:rsid w:val="00A2561E"/>
    <w:rsid w:val="00A37DDC"/>
    <w:rsid w:val="00A37E73"/>
    <w:rsid w:val="00A404FA"/>
    <w:rsid w:val="00A47576"/>
    <w:rsid w:val="00A57F79"/>
    <w:rsid w:val="00A62353"/>
    <w:rsid w:val="00A62983"/>
    <w:rsid w:val="00A62A88"/>
    <w:rsid w:val="00A62DD6"/>
    <w:rsid w:val="00A65397"/>
    <w:rsid w:val="00A81D65"/>
    <w:rsid w:val="00A8304E"/>
    <w:rsid w:val="00A832F1"/>
    <w:rsid w:val="00A867B7"/>
    <w:rsid w:val="00A953DB"/>
    <w:rsid w:val="00AA2EC8"/>
    <w:rsid w:val="00AA7615"/>
    <w:rsid w:val="00AB52AE"/>
    <w:rsid w:val="00AB6B3B"/>
    <w:rsid w:val="00AD1DEF"/>
    <w:rsid w:val="00AD7B52"/>
    <w:rsid w:val="00AE0D46"/>
    <w:rsid w:val="00AE0FC0"/>
    <w:rsid w:val="00AE185D"/>
    <w:rsid w:val="00AE4955"/>
    <w:rsid w:val="00AF09DE"/>
    <w:rsid w:val="00AF09ED"/>
    <w:rsid w:val="00AF2342"/>
    <w:rsid w:val="00AF5B54"/>
    <w:rsid w:val="00AF6E83"/>
    <w:rsid w:val="00AF756E"/>
    <w:rsid w:val="00AF7FE4"/>
    <w:rsid w:val="00B01221"/>
    <w:rsid w:val="00B01AF8"/>
    <w:rsid w:val="00B01D8E"/>
    <w:rsid w:val="00B03A75"/>
    <w:rsid w:val="00B07CB2"/>
    <w:rsid w:val="00B1250E"/>
    <w:rsid w:val="00B15A1F"/>
    <w:rsid w:val="00B15D59"/>
    <w:rsid w:val="00B16EC9"/>
    <w:rsid w:val="00B173C4"/>
    <w:rsid w:val="00B21686"/>
    <w:rsid w:val="00B21D7D"/>
    <w:rsid w:val="00B241D6"/>
    <w:rsid w:val="00B262D1"/>
    <w:rsid w:val="00B2662E"/>
    <w:rsid w:val="00B30203"/>
    <w:rsid w:val="00B3055B"/>
    <w:rsid w:val="00B30C68"/>
    <w:rsid w:val="00B3356E"/>
    <w:rsid w:val="00B376D2"/>
    <w:rsid w:val="00B45605"/>
    <w:rsid w:val="00B4598B"/>
    <w:rsid w:val="00B4743F"/>
    <w:rsid w:val="00B542C0"/>
    <w:rsid w:val="00B61F3A"/>
    <w:rsid w:val="00B64B67"/>
    <w:rsid w:val="00B66BD4"/>
    <w:rsid w:val="00B67954"/>
    <w:rsid w:val="00B73B67"/>
    <w:rsid w:val="00B7608D"/>
    <w:rsid w:val="00B76598"/>
    <w:rsid w:val="00B945EF"/>
    <w:rsid w:val="00B94DBD"/>
    <w:rsid w:val="00B94EA2"/>
    <w:rsid w:val="00BA4B90"/>
    <w:rsid w:val="00BA4C2B"/>
    <w:rsid w:val="00BA4FE0"/>
    <w:rsid w:val="00BA5B51"/>
    <w:rsid w:val="00BA7362"/>
    <w:rsid w:val="00BA73CA"/>
    <w:rsid w:val="00BA7E0B"/>
    <w:rsid w:val="00BB33A4"/>
    <w:rsid w:val="00BB50C1"/>
    <w:rsid w:val="00BB5CDF"/>
    <w:rsid w:val="00BC166F"/>
    <w:rsid w:val="00BD1181"/>
    <w:rsid w:val="00BD1DFF"/>
    <w:rsid w:val="00BD4A3C"/>
    <w:rsid w:val="00BE07E2"/>
    <w:rsid w:val="00BE36F0"/>
    <w:rsid w:val="00BE404D"/>
    <w:rsid w:val="00BE6872"/>
    <w:rsid w:val="00BE7EB1"/>
    <w:rsid w:val="00BF120E"/>
    <w:rsid w:val="00BF237C"/>
    <w:rsid w:val="00BF4BB9"/>
    <w:rsid w:val="00BF716F"/>
    <w:rsid w:val="00BF753A"/>
    <w:rsid w:val="00C051F5"/>
    <w:rsid w:val="00C06BAC"/>
    <w:rsid w:val="00C128A9"/>
    <w:rsid w:val="00C14A8D"/>
    <w:rsid w:val="00C243F8"/>
    <w:rsid w:val="00C25340"/>
    <w:rsid w:val="00C27556"/>
    <w:rsid w:val="00C32198"/>
    <w:rsid w:val="00C325E2"/>
    <w:rsid w:val="00C33D2F"/>
    <w:rsid w:val="00C450E5"/>
    <w:rsid w:val="00C4642F"/>
    <w:rsid w:val="00C540B8"/>
    <w:rsid w:val="00C6398C"/>
    <w:rsid w:val="00C7019D"/>
    <w:rsid w:val="00C715CF"/>
    <w:rsid w:val="00C72ACD"/>
    <w:rsid w:val="00C7486A"/>
    <w:rsid w:val="00C74E5A"/>
    <w:rsid w:val="00C76434"/>
    <w:rsid w:val="00C80205"/>
    <w:rsid w:val="00C809C3"/>
    <w:rsid w:val="00C812CA"/>
    <w:rsid w:val="00C8603B"/>
    <w:rsid w:val="00C8777D"/>
    <w:rsid w:val="00C87EE1"/>
    <w:rsid w:val="00C95B53"/>
    <w:rsid w:val="00CA3460"/>
    <w:rsid w:val="00CA386A"/>
    <w:rsid w:val="00CA4B1E"/>
    <w:rsid w:val="00CB4C4A"/>
    <w:rsid w:val="00CB75CB"/>
    <w:rsid w:val="00CB7DD9"/>
    <w:rsid w:val="00CC1292"/>
    <w:rsid w:val="00CC2D53"/>
    <w:rsid w:val="00CC2F39"/>
    <w:rsid w:val="00CC58C5"/>
    <w:rsid w:val="00CD1C73"/>
    <w:rsid w:val="00CD6350"/>
    <w:rsid w:val="00CE3CDD"/>
    <w:rsid w:val="00CE4834"/>
    <w:rsid w:val="00CE7E76"/>
    <w:rsid w:val="00CF4850"/>
    <w:rsid w:val="00CF6A08"/>
    <w:rsid w:val="00D00A2F"/>
    <w:rsid w:val="00D00D00"/>
    <w:rsid w:val="00D02601"/>
    <w:rsid w:val="00D052E5"/>
    <w:rsid w:val="00D05F0F"/>
    <w:rsid w:val="00D06776"/>
    <w:rsid w:val="00D072A7"/>
    <w:rsid w:val="00D1618A"/>
    <w:rsid w:val="00D250E3"/>
    <w:rsid w:val="00D310A4"/>
    <w:rsid w:val="00D31A33"/>
    <w:rsid w:val="00D54C1C"/>
    <w:rsid w:val="00D57BFA"/>
    <w:rsid w:val="00D61394"/>
    <w:rsid w:val="00D64A19"/>
    <w:rsid w:val="00D65CB7"/>
    <w:rsid w:val="00D713F8"/>
    <w:rsid w:val="00D749C0"/>
    <w:rsid w:val="00D74D99"/>
    <w:rsid w:val="00D76EFB"/>
    <w:rsid w:val="00D80936"/>
    <w:rsid w:val="00D817C2"/>
    <w:rsid w:val="00D83EC3"/>
    <w:rsid w:val="00D92CA4"/>
    <w:rsid w:val="00D941FA"/>
    <w:rsid w:val="00D963CD"/>
    <w:rsid w:val="00D969F1"/>
    <w:rsid w:val="00D971D3"/>
    <w:rsid w:val="00DA10AF"/>
    <w:rsid w:val="00DA1B10"/>
    <w:rsid w:val="00DA2046"/>
    <w:rsid w:val="00DA2707"/>
    <w:rsid w:val="00DA4209"/>
    <w:rsid w:val="00DA74F9"/>
    <w:rsid w:val="00DB261B"/>
    <w:rsid w:val="00DB5849"/>
    <w:rsid w:val="00DB655D"/>
    <w:rsid w:val="00DB6DED"/>
    <w:rsid w:val="00DB7175"/>
    <w:rsid w:val="00DC4320"/>
    <w:rsid w:val="00DE0DC5"/>
    <w:rsid w:val="00DE0E11"/>
    <w:rsid w:val="00DE1639"/>
    <w:rsid w:val="00DE720A"/>
    <w:rsid w:val="00DF008A"/>
    <w:rsid w:val="00DF0571"/>
    <w:rsid w:val="00DF6E48"/>
    <w:rsid w:val="00DF75D4"/>
    <w:rsid w:val="00E00B96"/>
    <w:rsid w:val="00E04E97"/>
    <w:rsid w:val="00E054BA"/>
    <w:rsid w:val="00E0771B"/>
    <w:rsid w:val="00E131EB"/>
    <w:rsid w:val="00E1454C"/>
    <w:rsid w:val="00E1641F"/>
    <w:rsid w:val="00E21F32"/>
    <w:rsid w:val="00E25C1E"/>
    <w:rsid w:val="00E3211E"/>
    <w:rsid w:val="00E50E74"/>
    <w:rsid w:val="00E52A0D"/>
    <w:rsid w:val="00E57DC0"/>
    <w:rsid w:val="00E60D50"/>
    <w:rsid w:val="00E65239"/>
    <w:rsid w:val="00E65319"/>
    <w:rsid w:val="00E654E3"/>
    <w:rsid w:val="00E72C04"/>
    <w:rsid w:val="00E7441E"/>
    <w:rsid w:val="00E83E12"/>
    <w:rsid w:val="00E84E95"/>
    <w:rsid w:val="00E862BC"/>
    <w:rsid w:val="00E91836"/>
    <w:rsid w:val="00E93D14"/>
    <w:rsid w:val="00E94C1D"/>
    <w:rsid w:val="00E95859"/>
    <w:rsid w:val="00EA3288"/>
    <w:rsid w:val="00EB104B"/>
    <w:rsid w:val="00EB5EA1"/>
    <w:rsid w:val="00EC6548"/>
    <w:rsid w:val="00ED0B8B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0439A"/>
    <w:rsid w:val="00F04D75"/>
    <w:rsid w:val="00F07A20"/>
    <w:rsid w:val="00F114E8"/>
    <w:rsid w:val="00F12822"/>
    <w:rsid w:val="00F1351F"/>
    <w:rsid w:val="00F140F0"/>
    <w:rsid w:val="00F14A26"/>
    <w:rsid w:val="00F15B15"/>
    <w:rsid w:val="00F16680"/>
    <w:rsid w:val="00F17680"/>
    <w:rsid w:val="00F23144"/>
    <w:rsid w:val="00F25795"/>
    <w:rsid w:val="00F34A97"/>
    <w:rsid w:val="00F35D77"/>
    <w:rsid w:val="00F37C14"/>
    <w:rsid w:val="00F43774"/>
    <w:rsid w:val="00F54060"/>
    <w:rsid w:val="00F5528C"/>
    <w:rsid w:val="00F5606A"/>
    <w:rsid w:val="00F63517"/>
    <w:rsid w:val="00F65A36"/>
    <w:rsid w:val="00F705D5"/>
    <w:rsid w:val="00F776F5"/>
    <w:rsid w:val="00F81CA1"/>
    <w:rsid w:val="00F8247C"/>
    <w:rsid w:val="00F84EF3"/>
    <w:rsid w:val="00F85C46"/>
    <w:rsid w:val="00F871DA"/>
    <w:rsid w:val="00F96B4C"/>
    <w:rsid w:val="00F96C02"/>
    <w:rsid w:val="00F9784B"/>
    <w:rsid w:val="00FA197E"/>
    <w:rsid w:val="00FB0199"/>
    <w:rsid w:val="00FB1D1B"/>
    <w:rsid w:val="00FB3F58"/>
    <w:rsid w:val="00FB58A5"/>
    <w:rsid w:val="00FC0056"/>
    <w:rsid w:val="00FC7D2A"/>
    <w:rsid w:val="00FD3C17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5"/>
    <o:shapelayout v:ext="edit">
      <o:idmap v:ext="edit" data="1"/>
    </o:shapelayout>
  </w:shapeDefaults>
  <w:decimalSymbol w:val=","/>
  <w:listSeparator w:val=";"/>
  <w14:docId w14:val="4A34DC32"/>
  <w15:docId w15:val="{AB3C9AE7-EB0F-4EFB-91B9-38B88312D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776F5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4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8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776F5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4A69B6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86FA7-CB46-4BD7-84E2-9E02EDF3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29</Pages>
  <Words>10702</Words>
  <Characters>64218</Characters>
  <Application>Microsoft Office Word</Application>
  <DocSecurity>0</DocSecurity>
  <Lines>535</Lines>
  <Paragraphs>149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316</cp:revision>
  <cp:lastPrinted>2021-11-08T10:54:00Z</cp:lastPrinted>
  <dcterms:created xsi:type="dcterms:W3CDTF">2021-03-01T22:34:00Z</dcterms:created>
  <dcterms:modified xsi:type="dcterms:W3CDTF">2023-07-26T12:39:00Z</dcterms:modified>
</cp:coreProperties>
</file>