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BC5A" w14:textId="03D0CBDA" w:rsidR="00203EA1" w:rsidRPr="001B2B2A" w:rsidRDefault="00000000" w:rsidP="001B2B2A">
      <w:pPr>
        <w:spacing w:after="12" w:line="360" w:lineRule="auto"/>
        <w:ind w:left="117" w:right="0" w:hanging="10"/>
        <w:jc w:val="right"/>
        <w:rPr>
          <w:rFonts w:ascii="Calibri" w:hAnsi="Calibri" w:cs="Calibri"/>
          <w:sz w:val="20"/>
          <w:szCs w:val="20"/>
        </w:rPr>
      </w:pPr>
      <w:r w:rsidRPr="001B2B2A">
        <w:rPr>
          <w:rFonts w:ascii="Calibri" w:hAnsi="Calibri" w:cs="Calibri"/>
          <w:b/>
          <w:sz w:val="20"/>
          <w:szCs w:val="20"/>
        </w:rPr>
        <w:t>załącznik nr 2.</w:t>
      </w:r>
      <w:r w:rsidR="001B2B2A" w:rsidRPr="001B2B2A">
        <w:rPr>
          <w:rFonts w:ascii="Calibri" w:hAnsi="Calibri" w:cs="Calibri"/>
          <w:b/>
          <w:sz w:val="20"/>
          <w:szCs w:val="20"/>
        </w:rPr>
        <w:t xml:space="preserve">2 </w:t>
      </w:r>
      <w:r w:rsidRPr="001B2B2A">
        <w:rPr>
          <w:rFonts w:ascii="Calibri" w:hAnsi="Calibri" w:cs="Calibri"/>
          <w:b/>
          <w:sz w:val="20"/>
          <w:szCs w:val="20"/>
        </w:rPr>
        <w:t xml:space="preserve"> do SWZ</w:t>
      </w:r>
    </w:p>
    <w:p w14:paraId="5C3C91F9" w14:textId="77777777" w:rsidR="00203EA1" w:rsidRPr="001B2B2A" w:rsidRDefault="00203EA1" w:rsidP="001B2B2A">
      <w:pPr>
        <w:spacing w:after="12" w:line="360" w:lineRule="auto"/>
        <w:ind w:left="117" w:right="0" w:hanging="10"/>
        <w:jc w:val="left"/>
        <w:rPr>
          <w:rFonts w:ascii="Calibri" w:hAnsi="Calibri" w:cs="Calibri"/>
          <w:b/>
          <w:sz w:val="20"/>
          <w:szCs w:val="20"/>
        </w:rPr>
      </w:pPr>
    </w:p>
    <w:p w14:paraId="1AB8F006" w14:textId="77777777" w:rsidR="00203EA1" w:rsidRPr="001B2B2A" w:rsidRDefault="00000000" w:rsidP="001B2B2A">
      <w:pPr>
        <w:spacing w:after="12" w:line="360" w:lineRule="auto"/>
        <w:ind w:left="117" w:right="0" w:hanging="10"/>
        <w:jc w:val="center"/>
        <w:rPr>
          <w:rFonts w:ascii="Calibri" w:hAnsi="Calibri" w:cs="Calibri"/>
          <w:sz w:val="20"/>
          <w:szCs w:val="20"/>
        </w:rPr>
      </w:pPr>
      <w:r w:rsidRPr="001B2B2A">
        <w:rPr>
          <w:rFonts w:ascii="Calibri" w:hAnsi="Calibri" w:cs="Calibri"/>
          <w:b/>
          <w:sz w:val="20"/>
          <w:szCs w:val="20"/>
        </w:rPr>
        <w:t>OPIS PRZEDMIOTU ZAMÓWIENIA - PAKIET 2</w:t>
      </w:r>
    </w:p>
    <w:p w14:paraId="43DCE59B" w14:textId="77777777" w:rsidR="00203EA1" w:rsidRPr="001B2B2A" w:rsidRDefault="00203EA1" w:rsidP="001B2B2A">
      <w:pPr>
        <w:spacing w:after="0" w:line="360" w:lineRule="auto"/>
        <w:ind w:left="83" w:right="0" w:firstLine="0"/>
        <w:jc w:val="center"/>
        <w:rPr>
          <w:rFonts w:ascii="Calibri" w:hAnsi="Calibri" w:cs="Calibri"/>
          <w:sz w:val="20"/>
          <w:szCs w:val="20"/>
        </w:rPr>
      </w:pPr>
    </w:p>
    <w:p w14:paraId="0C613378" w14:textId="77777777" w:rsidR="00203EA1" w:rsidRPr="001B2B2A" w:rsidRDefault="00000000" w:rsidP="001B2B2A">
      <w:pPr>
        <w:spacing w:after="0" w:line="360" w:lineRule="auto"/>
        <w:ind w:left="122" w:right="0" w:firstLine="0"/>
        <w:rPr>
          <w:rFonts w:ascii="Calibri" w:hAnsi="Calibri" w:cs="Calibri"/>
          <w:sz w:val="20"/>
          <w:szCs w:val="20"/>
        </w:rPr>
      </w:pPr>
      <w:r w:rsidRPr="001B2B2A">
        <w:rPr>
          <w:rFonts w:ascii="Calibri" w:hAnsi="Calibri" w:cs="Calibri"/>
          <w:color w:val="00000A"/>
          <w:sz w:val="20"/>
          <w:szCs w:val="20"/>
        </w:rPr>
        <w:t xml:space="preserve">Strony zgodnie stwierdzają, że na potrzeby niniejszego OPZ wraz z załącznikami i przyszłej Umowy dotyczącej opisanego zamówienia, wymienionym w niniejszym paragrafie pojęciom nadają znaczenie określone poniżej, oraz że użyte w tekście poniżej wymienione pojęcia, rozumiane będą w sposób poniżej zdefiniowany. Dla podkreślenia, że pojęcia te rozumiane są w sposób zdefiniowany, ich pierwsze litery będą pisane w tekście wielką literą. </w:t>
      </w:r>
    </w:p>
    <w:p w14:paraId="08003300" w14:textId="77777777" w:rsidR="00203EA1" w:rsidRPr="001B2B2A" w:rsidRDefault="00000000" w:rsidP="001B2B2A">
      <w:pPr>
        <w:spacing w:after="16" w:line="360" w:lineRule="auto"/>
        <w:ind w:left="0" w:right="32" w:firstLine="122"/>
        <w:rPr>
          <w:rFonts w:ascii="Calibri" w:hAnsi="Calibri" w:cs="Calibri"/>
          <w:sz w:val="20"/>
          <w:szCs w:val="20"/>
        </w:rPr>
      </w:pPr>
      <w:r w:rsidRPr="001B2B2A">
        <w:rPr>
          <w:rFonts w:ascii="Calibri" w:hAnsi="Calibri" w:cs="Calibri"/>
          <w:color w:val="00000A"/>
          <w:sz w:val="20"/>
          <w:szCs w:val="20"/>
        </w:rPr>
        <w:t xml:space="preserve">Strony ustalają następujące definicje: </w:t>
      </w:r>
    </w:p>
    <w:p w14:paraId="0AB14784" w14:textId="77777777" w:rsidR="00203EA1" w:rsidRPr="001B2B2A" w:rsidRDefault="00000000" w:rsidP="001B2B2A">
      <w:pPr>
        <w:pStyle w:val="Akapitzlist"/>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Zamawiający</w:t>
      </w:r>
      <w:r w:rsidRPr="001B2B2A">
        <w:rPr>
          <w:rFonts w:ascii="Calibri" w:hAnsi="Calibri" w:cs="Calibri"/>
          <w:color w:val="00000A"/>
          <w:sz w:val="20"/>
          <w:szCs w:val="20"/>
        </w:rPr>
        <w:t xml:space="preserve"> – </w:t>
      </w:r>
      <w:r w:rsidRPr="001B2B2A">
        <w:rPr>
          <w:rFonts w:ascii="Calibri" w:hAnsi="Calibri" w:cs="Calibri"/>
          <w:color w:val="auto"/>
          <w:sz w:val="20"/>
          <w:szCs w:val="20"/>
        </w:rPr>
        <w:t>oznacza</w:t>
      </w:r>
      <w:r w:rsidRPr="001B2B2A">
        <w:rPr>
          <w:rFonts w:ascii="Calibri" w:hAnsi="Calibri" w:cs="Calibri"/>
          <w:b/>
          <w:color w:val="auto"/>
          <w:sz w:val="20"/>
          <w:szCs w:val="20"/>
        </w:rPr>
        <w:t xml:space="preserve"> </w:t>
      </w:r>
      <w:r w:rsidRPr="001B2B2A">
        <w:rPr>
          <w:rFonts w:ascii="Calibri" w:hAnsi="Calibri" w:cs="Calibri"/>
          <w:color w:val="auto"/>
          <w:sz w:val="20"/>
          <w:szCs w:val="20"/>
        </w:rPr>
        <w:t>SAMODZIELNY PUBLICZNY ZAKŁAD OPIEKI ZDROWOTNEJ SZPITAL POWIATOWY W PISZU</w:t>
      </w:r>
    </w:p>
    <w:p w14:paraId="4E11557D" w14:textId="11E32368"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 xml:space="preserve">Wykonawca </w:t>
      </w:r>
      <w:r w:rsidRPr="001B2B2A">
        <w:rPr>
          <w:rFonts w:ascii="Calibri" w:hAnsi="Calibri" w:cs="Calibri"/>
          <w:color w:val="00000A"/>
          <w:sz w:val="20"/>
          <w:szCs w:val="20"/>
        </w:rPr>
        <w:t xml:space="preserve">- podmiot, który ubiega się o udzielenie zamówienia, złożył ofertę albo zawarł umowę </w:t>
      </w:r>
      <w:r w:rsidRPr="001B2B2A">
        <w:rPr>
          <w:rFonts w:ascii="Calibri" w:hAnsi="Calibri" w:cs="Calibri"/>
          <w:color w:val="00000A"/>
          <w:sz w:val="20"/>
          <w:szCs w:val="20"/>
        </w:rPr>
        <w:br/>
        <w:t>w postępowaniu o udzielenie zamówienia publicznego prowadzonego w trybie podstawowym bez prowadzenia negocjacji na podstawie art. 275 pkt 1 Ustawy z dnia 11 września 2019 r. – Prawo zamówień publicznych (Dz. U.</w:t>
      </w:r>
      <w:r w:rsidR="00DA3D05">
        <w:rPr>
          <w:rFonts w:ascii="Calibri" w:hAnsi="Calibri" w:cs="Calibri"/>
          <w:color w:val="00000A"/>
          <w:sz w:val="20"/>
          <w:szCs w:val="20"/>
        </w:rPr>
        <w:t xml:space="preserve"> z 2022 r.</w:t>
      </w:r>
      <w:r w:rsidRPr="001B2B2A">
        <w:rPr>
          <w:rFonts w:ascii="Calibri" w:hAnsi="Calibri" w:cs="Calibri"/>
          <w:color w:val="00000A"/>
          <w:sz w:val="20"/>
          <w:szCs w:val="20"/>
        </w:rPr>
        <w:t xml:space="preserve"> poz.</w:t>
      </w:r>
      <w:r w:rsidR="00DA3D05">
        <w:rPr>
          <w:rFonts w:ascii="Calibri" w:hAnsi="Calibri" w:cs="Calibri"/>
          <w:color w:val="00000A"/>
          <w:sz w:val="20"/>
          <w:szCs w:val="20"/>
        </w:rPr>
        <w:t xml:space="preserve"> 1710</w:t>
      </w:r>
      <w:r w:rsidRPr="001B2B2A">
        <w:rPr>
          <w:rFonts w:ascii="Calibri" w:hAnsi="Calibri" w:cs="Calibri"/>
          <w:color w:val="00000A"/>
          <w:sz w:val="20"/>
          <w:szCs w:val="20"/>
        </w:rPr>
        <w:t>).o wartości zamówienia przekraczającej progi unijne, o jakich stanowi art. 3 ustawy z 11.09.2019r - Prawo zamówień publicznych - dalej PZP pn., opublikowanego po sygnaturą postępowania: DZP.</w:t>
      </w:r>
    </w:p>
    <w:p w14:paraId="0A0981A4"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 xml:space="preserve">Strony </w:t>
      </w:r>
      <w:r w:rsidRPr="001B2B2A">
        <w:rPr>
          <w:rFonts w:ascii="Calibri" w:hAnsi="Calibri" w:cs="Calibri"/>
          <w:color w:val="00000A"/>
          <w:sz w:val="20"/>
          <w:szCs w:val="20"/>
        </w:rPr>
        <w:t xml:space="preserve">- podmioty bezpośrednio uczestniczące w umowie zawiązanej na podstawie rozstrzygnięcia podstępowania przetargowego. </w:t>
      </w:r>
    </w:p>
    <w:p w14:paraId="29BF3344"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System informatyczny</w:t>
      </w:r>
      <w:r w:rsidRPr="001B2B2A">
        <w:rPr>
          <w:rFonts w:ascii="Calibri" w:hAnsi="Calibri" w:cs="Calibri"/>
          <w:color w:val="00000A"/>
          <w:sz w:val="20"/>
          <w:szCs w:val="20"/>
        </w:rPr>
        <w:t xml:space="preserve"> - zbiór powiązanych ze sobą elementów, którego funkcją jest przetwarzanie danych przy użyciu techniki komputerowej. W skład systemu wchodzą najczęściej elementy: Sprzęt komputerowy, Oprogramowanie narzędziowe, Oprogramowanie dziedzinowe. </w:t>
      </w:r>
    </w:p>
    <w:p w14:paraId="271E8482"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 xml:space="preserve">Infrastruktura sprzętowa - </w:t>
      </w:r>
      <w:r w:rsidRPr="001B2B2A">
        <w:rPr>
          <w:rFonts w:ascii="Calibri" w:hAnsi="Calibri" w:cs="Calibri"/>
          <w:bCs/>
          <w:color w:val="00000A"/>
          <w:sz w:val="20"/>
          <w:szCs w:val="20"/>
        </w:rPr>
        <w:t>znajdująca się w dyspozycji Zamawiającego, w tym stanowiąca jego własność oraz dostarczana w ramach realizacji przedmiotu zamówienia infrastruktura przetwarzania danych wszystkie połączenia, urządzenia fizyczne i oprogramowania aplikacyjne, które łącznie współpracując umożliwiają gromadzenie, przechowywanie, wytwarzanie danych i usług oraz udostępnianie danych i usług elektronicznych.</w:t>
      </w:r>
    </w:p>
    <w:p w14:paraId="58CE29AB"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Umowa</w:t>
      </w:r>
      <w:r w:rsidRPr="001B2B2A">
        <w:rPr>
          <w:rFonts w:ascii="Calibri" w:hAnsi="Calibri" w:cs="Calibri"/>
          <w:color w:val="00000A"/>
          <w:sz w:val="20"/>
          <w:szCs w:val="20"/>
        </w:rPr>
        <w:t xml:space="preserve"> – umowa zawarta w ramach realizacji OPZ. </w:t>
      </w:r>
    </w:p>
    <w:p w14:paraId="78217908"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 xml:space="preserve">SWZ – </w:t>
      </w:r>
      <w:r w:rsidRPr="001B2B2A">
        <w:rPr>
          <w:rFonts w:ascii="Calibri" w:hAnsi="Calibri" w:cs="Calibri"/>
          <w:bCs/>
          <w:color w:val="00000A"/>
          <w:sz w:val="20"/>
          <w:szCs w:val="20"/>
        </w:rPr>
        <w:t>Specyfikacja Warunków Zamówienia</w:t>
      </w:r>
      <w:r w:rsidRPr="001B2B2A">
        <w:rPr>
          <w:rFonts w:ascii="Calibri" w:hAnsi="Calibri" w:cs="Calibri"/>
          <w:color w:val="00000A"/>
          <w:sz w:val="20"/>
          <w:szCs w:val="20"/>
        </w:rPr>
        <w:t xml:space="preserve"> </w:t>
      </w:r>
    </w:p>
    <w:p w14:paraId="372D2809"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Szczegółowym Harmonogramem Realizacji Zadania</w:t>
      </w:r>
      <w:r w:rsidRPr="001B2B2A">
        <w:rPr>
          <w:rFonts w:ascii="Calibri" w:hAnsi="Calibri" w:cs="Calibri"/>
          <w:color w:val="00000A"/>
          <w:sz w:val="20"/>
          <w:szCs w:val="20"/>
        </w:rPr>
        <w:t xml:space="preserve"> – szczegółowy terminarz realizacji przedmiotu Umowy wraz z podziałem na Etapy przygotowany przez Wykonawcę w terminie 14 dni roboczych od zawarcia umowy. </w:t>
      </w:r>
    </w:p>
    <w:p w14:paraId="5A65AC1F"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Zadanie</w:t>
      </w:r>
      <w:r w:rsidRPr="001B2B2A">
        <w:rPr>
          <w:rFonts w:ascii="Calibri" w:hAnsi="Calibri" w:cs="Calibri"/>
          <w:color w:val="00000A"/>
          <w:sz w:val="20"/>
          <w:szCs w:val="20"/>
        </w:rPr>
        <w:t xml:space="preserve">  –  przedmiot  zamówienia  (przedmiot  Umowy)  wynikający  łącznie  z SWZ,  Oferty  Wykonawcy, Umowy. </w:t>
      </w:r>
    </w:p>
    <w:p w14:paraId="09890CB6"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Protokół Odbiorczy</w:t>
      </w:r>
      <w:r w:rsidRPr="001B2B2A">
        <w:rPr>
          <w:rFonts w:ascii="Calibri" w:hAnsi="Calibri" w:cs="Calibri"/>
          <w:color w:val="00000A"/>
          <w:sz w:val="20"/>
          <w:szCs w:val="20"/>
        </w:rPr>
        <w:t xml:space="preserve"> – protokół przygotowany przez Wykonawcę, będący potwierdzeniem przyjęcia przez Zamawiającego wykonanych przez Wykonawcę prac będących przedmiotem poszczególnych Etapów.</w:t>
      </w:r>
    </w:p>
    <w:p w14:paraId="69B967B9"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lastRenderedPageBreak/>
        <w:t>Protokół Uzgodnień</w:t>
      </w:r>
      <w:r w:rsidRPr="001B2B2A">
        <w:rPr>
          <w:rFonts w:ascii="Calibri" w:hAnsi="Calibri" w:cs="Calibri"/>
          <w:color w:val="00000A"/>
          <w:sz w:val="20"/>
          <w:szCs w:val="20"/>
        </w:rPr>
        <w:t xml:space="preserve"> – dokument tworzony przez Wykonawcę i zatwierdzony przez Strony, na podstawie zapisu ze spotkania lub ustaleń zdalnych (mailowych, telefonicznych) z Zamawiającym. Dokument ten używany jest w trakcie prowadzenia analizy wymagań Zamawiającego i stanowi zobowiązanie obu Stron. Zamawiający zobowiązany jest, że wymagania zapisane w/w protokole nie zostaną zmienione, natomiast Wykonawca zobowiązany jest do realizacji zawartych w nim wymagań Zamawiającego. W przypadku zajścia konieczności wykonania zmian lub innych czynności niż te, które zostały opisane w Protokole Uzgodnień, należy utworzyć nowy Protokół Uzgodnień zawierający te zmiany. W Protokole Uzgodnień można zamieścić inne uzgodnienia, niezwiązane z wymaganiami projektu, tj. ustalenia organizacyjne. </w:t>
      </w:r>
    </w:p>
    <w:p w14:paraId="08CD1A99"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Dzień Roboczy</w:t>
      </w:r>
      <w:r w:rsidRPr="001B2B2A">
        <w:rPr>
          <w:rFonts w:ascii="Calibri" w:hAnsi="Calibri" w:cs="Calibri"/>
          <w:color w:val="00000A"/>
          <w:sz w:val="20"/>
          <w:szCs w:val="20"/>
        </w:rPr>
        <w:t xml:space="preserve"> –  każdy dzień od poniedziałku do piątku z wyłączeniem dni ustawowo wolnych od pracy. </w:t>
      </w:r>
    </w:p>
    <w:p w14:paraId="3F8212C2"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Godziny Robocze</w:t>
      </w:r>
      <w:r w:rsidRPr="001B2B2A">
        <w:rPr>
          <w:rFonts w:ascii="Calibri" w:hAnsi="Calibri" w:cs="Calibri"/>
          <w:color w:val="00000A"/>
          <w:sz w:val="20"/>
          <w:szCs w:val="20"/>
        </w:rPr>
        <w:t xml:space="preserve"> – godziny od 7:30 do 14:30 w każdym Dniu Roboczym. </w:t>
      </w:r>
    </w:p>
    <w:p w14:paraId="7C1678A3"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Kierownik Zamawiającego</w:t>
      </w:r>
      <w:r w:rsidRPr="001B2B2A">
        <w:rPr>
          <w:rFonts w:ascii="Calibri" w:hAnsi="Calibri" w:cs="Calibri"/>
          <w:color w:val="00000A"/>
          <w:sz w:val="20"/>
          <w:szCs w:val="20"/>
        </w:rPr>
        <w:t xml:space="preserve"> – osoba wyznaczona przez Zamawiającego, koordynująca całość przedmiotu danego pakietu, posiadająca odpowiednie pełnomocnictwa. W szczególności odpowiedzialna ze strony Zamawiającego za realizację przedmiotu zamówienia. </w:t>
      </w:r>
    </w:p>
    <w:p w14:paraId="051EEF18" w14:textId="77777777" w:rsidR="00203EA1" w:rsidRPr="001B2B2A" w:rsidRDefault="00000000" w:rsidP="001B2B2A">
      <w:pPr>
        <w:numPr>
          <w:ilvl w:val="0"/>
          <w:numId w:val="1"/>
        </w:numPr>
        <w:spacing w:after="16" w:line="360" w:lineRule="auto"/>
        <w:ind w:right="32"/>
        <w:rPr>
          <w:rFonts w:ascii="Calibri" w:hAnsi="Calibri" w:cs="Calibri"/>
          <w:sz w:val="20"/>
          <w:szCs w:val="20"/>
        </w:rPr>
      </w:pPr>
      <w:r w:rsidRPr="001B2B2A">
        <w:rPr>
          <w:rFonts w:ascii="Calibri" w:hAnsi="Calibri" w:cs="Calibri"/>
          <w:b/>
          <w:color w:val="00000A"/>
          <w:sz w:val="20"/>
          <w:szCs w:val="20"/>
        </w:rPr>
        <w:t>Kierownik Wykonawcy</w:t>
      </w:r>
      <w:r w:rsidRPr="001B2B2A">
        <w:rPr>
          <w:rFonts w:ascii="Calibri" w:hAnsi="Calibri" w:cs="Calibri"/>
          <w:color w:val="00000A"/>
          <w:sz w:val="20"/>
          <w:szCs w:val="20"/>
        </w:rPr>
        <w:t xml:space="preserve"> - osoba wyznaczona przez Wykonawcę do koordynacji realizacji prac danego zadania. Upoważniona do podpisywania Dokumentacji Projektu z ramienia Wykonawcy.</w:t>
      </w:r>
    </w:p>
    <w:p w14:paraId="0EC71229" w14:textId="77777777" w:rsidR="00203EA1" w:rsidRPr="001B2B2A" w:rsidRDefault="00203EA1" w:rsidP="001B2B2A">
      <w:pPr>
        <w:spacing w:after="0" w:line="360" w:lineRule="auto"/>
        <w:ind w:left="122" w:right="0" w:firstLine="0"/>
        <w:jc w:val="left"/>
        <w:rPr>
          <w:rFonts w:ascii="Calibri" w:hAnsi="Calibri" w:cs="Calibri"/>
          <w:sz w:val="20"/>
          <w:szCs w:val="20"/>
        </w:rPr>
      </w:pPr>
    </w:p>
    <w:p w14:paraId="7C5F824F" w14:textId="77777777" w:rsidR="00203EA1" w:rsidRPr="001B2B2A" w:rsidRDefault="00000000" w:rsidP="001B2B2A">
      <w:pPr>
        <w:spacing w:line="360" w:lineRule="auto"/>
        <w:ind w:right="34"/>
        <w:rPr>
          <w:rFonts w:ascii="Calibri" w:hAnsi="Calibri" w:cs="Calibri"/>
          <w:sz w:val="20"/>
          <w:szCs w:val="20"/>
        </w:rPr>
      </w:pPr>
      <w:r w:rsidRPr="001B2B2A">
        <w:rPr>
          <w:rFonts w:ascii="Calibri" w:hAnsi="Calibri" w:cs="Calibri"/>
          <w:b/>
          <w:bCs/>
          <w:sz w:val="20"/>
          <w:szCs w:val="20"/>
          <w:u w:val="single"/>
        </w:rPr>
        <w:t>OPIS RÓWNOWAŻNOŚCI:</w:t>
      </w:r>
    </w:p>
    <w:p w14:paraId="77171492" w14:textId="77777777" w:rsidR="00203EA1" w:rsidRPr="001B2B2A" w:rsidRDefault="00000000" w:rsidP="001B2B2A">
      <w:pPr>
        <w:spacing w:after="13" w:line="360" w:lineRule="auto"/>
        <w:ind w:right="0"/>
        <w:contextualSpacing/>
        <w:rPr>
          <w:rFonts w:ascii="Calibri" w:hAnsi="Calibri" w:cs="Calibri"/>
          <w:sz w:val="20"/>
          <w:szCs w:val="20"/>
        </w:rPr>
      </w:pPr>
      <w:r w:rsidRPr="001B2B2A">
        <w:rPr>
          <w:rFonts w:ascii="Calibri" w:eastAsia="Cambria" w:hAnsi="Calibri" w:cs="Calibri"/>
          <w:color w:val="000000" w:themeColor="text1"/>
          <w:sz w:val="20"/>
          <w:szCs w:val="20"/>
        </w:rPr>
        <w:t xml:space="preserve">W przypadku gdy w dokumencie stanowiącym element opisu przedmiotu zamówienia pojawią się wskazania znaków towarowych, patentów lub pochodzenia, źródła lub szczególnego procesu, który charakteryzuje produkty lub usługi dostarczane przez konkretnego dostawcę (jeżeli mogłoby to doprowadzić do uprzywilejowania lub wyeliminowania niektórych wykonawców lub jego produktów), należy rozumieć, zgodnie z przepisem art. 99 ust. 5 ustawy </w:t>
      </w:r>
      <w:proofErr w:type="spellStart"/>
      <w:r w:rsidRPr="001B2B2A">
        <w:rPr>
          <w:rFonts w:ascii="Calibri" w:eastAsia="Cambria" w:hAnsi="Calibri" w:cs="Calibri"/>
          <w:color w:val="000000" w:themeColor="text1"/>
          <w:sz w:val="20"/>
          <w:szCs w:val="20"/>
        </w:rPr>
        <w:t>Pzp</w:t>
      </w:r>
      <w:proofErr w:type="spellEnd"/>
      <w:r w:rsidRPr="001B2B2A">
        <w:rPr>
          <w:rFonts w:ascii="Calibri" w:eastAsia="Cambria" w:hAnsi="Calibri" w:cs="Calibri"/>
          <w:color w:val="000000" w:themeColor="text1"/>
          <w:sz w:val="20"/>
          <w:szCs w:val="20"/>
        </w:rPr>
        <w:t xml:space="preserve">, że zamawiający nie może opisać przedmiotu zamówienia w wystarczająco precyzyjny i zrozumiały sposób i w takich okolicznościach Zamawiający dopuszcza możliwość składania w ofercie rozwiązań równoważnych, wskazując, iż minimalne  wymagania, jakim mają odpowiadać rozwiązania równoważne, to wymagania nie gorsze od parametrów wskazanych w tych dokumentach, a ich kryteria w celu oceny równoważności wskazane są w opisie przedmiotu zamówienia. </w:t>
      </w:r>
    </w:p>
    <w:p w14:paraId="4B7D24CB" w14:textId="77777777" w:rsidR="00203EA1" w:rsidRPr="001B2B2A" w:rsidRDefault="00000000" w:rsidP="001B2B2A">
      <w:pPr>
        <w:spacing w:after="13" w:line="360" w:lineRule="auto"/>
        <w:ind w:right="0"/>
        <w:contextualSpacing/>
        <w:rPr>
          <w:rFonts w:ascii="Calibri" w:hAnsi="Calibri" w:cs="Calibri"/>
          <w:sz w:val="20"/>
          <w:szCs w:val="20"/>
        </w:rPr>
      </w:pPr>
      <w:r w:rsidRPr="001B2B2A">
        <w:rPr>
          <w:rFonts w:ascii="Calibri" w:eastAsia="Cambria" w:hAnsi="Calibri" w:cs="Calibri"/>
          <w:color w:val="000000" w:themeColor="text1"/>
          <w:sz w:val="20"/>
          <w:szCs w:val="20"/>
        </w:rPr>
        <w:t xml:space="preserve">W przypadku, gdy Zamawiający opisuje przedmiot zamówienia przez odniesienie do norm, ocen technicznych,  specyfikacji technicznych i systemów referencji technicznych, o których mowa w art. 101 ust. 1 pkt 2 i ust. 3 ustawy, zamawiający dopuszcza rozwiązania równoważne opisywanym. </w:t>
      </w:r>
    </w:p>
    <w:p w14:paraId="1AF94E0C" w14:textId="77777777" w:rsidR="00203EA1" w:rsidRPr="001B2B2A" w:rsidRDefault="00000000" w:rsidP="001B2B2A">
      <w:pPr>
        <w:spacing w:after="13" w:line="360" w:lineRule="auto"/>
        <w:ind w:right="0"/>
        <w:contextualSpacing/>
        <w:rPr>
          <w:rFonts w:ascii="Calibri" w:hAnsi="Calibri" w:cs="Calibri"/>
          <w:sz w:val="20"/>
          <w:szCs w:val="20"/>
        </w:rPr>
      </w:pPr>
      <w:r w:rsidRPr="001B2B2A">
        <w:rPr>
          <w:rFonts w:ascii="Calibri" w:eastAsia="Cambria" w:hAnsi="Calibri" w:cs="Calibri"/>
          <w:color w:val="000000" w:themeColor="text1"/>
          <w:sz w:val="20"/>
          <w:szCs w:val="20"/>
        </w:rPr>
        <w:t>Wykonawcy mogą składać oferty zawierające rozwiązania równoważne w stosunku do przedmiotu zamówienia przedstawionego w SWZ – zgodnie z art. 101 ust. 4, 5 i 6 ustawy PZP, jednak są zobowiązani wykazać, że oferowane przez nich rozwiązania spełniają wymagania określone przez Zamawiającego. Równoważność pod względem parametrów technicznych, użytkowych oraz eksploatacyjnych ma w szczególności zapewnić uzyskanie parametrów nie gorszych od założonych w niniejszym SWZ</w:t>
      </w:r>
    </w:p>
    <w:p w14:paraId="6933F514" w14:textId="77777777" w:rsidR="00203EA1" w:rsidRPr="001B2B2A" w:rsidRDefault="00000000" w:rsidP="001B2B2A">
      <w:pPr>
        <w:spacing w:after="13" w:line="360" w:lineRule="auto"/>
        <w:ind w:right="0"/>
        <w:contextualSpacing/>
        <w:rPr>
          <w:rFonts w:ascii="Calibri" w:hAnsi="Calibri" w:cs="Calibri"/>
          <w:sz w:val="20"/>
          <w:szCs w:val="20"/>
        </w:rPr>
      </w:pPr>
      <w:r w:rsidRPr="001B2B2A">
        <w:rPr>
          <w:rFonts w:ascii="Calibri" w:eastAsia="Cambria" w:hAnsi="Calibri" w:cs="Calibri"/>
          <w:color w:val="000000" w:themeColor="text1"/>
          <w:sz w:val="20"/>
          <w:szCs w:val="20"/>
        </w:rPr>
        <w:t xml:space="preserve">Za równoważne uznaje się rozwiązania, jak również elementy, materiały, urządzenia o właściwościach funkcjonalnych i jakościowych takich samych, które zostały określone w opisie przedmiotu zamówienia,  lecz oznaczonych innym znakiem towarowym, patentem lub pochodzeniem. Przy czym istotne jest to, że produkt </w:t>
      </w:r>
      <w:r w:rsidRPr="001B2B2A">
        <w:rPr>
          <w:rFonts w:ascii="Calibri" w:eastAsia="Cambria" w:hAnsi="Calibri" w:cs="Calibri"/>
          <w:color w:val="000000" w:themeColor="text1"/>
          <w:sz w:val="20"/>
          <w:szCs w:val="20"/>
        </w:rPr>
        <w:lastRenderedPageBreak/>
        <w:t>równoważny to produkt, który nie jest identyczny, tożsamy z produktem referencyjnym, ale posiada pewne, istotne dla Zamawiającego, zbliżone do produktu referencyjnego cechy i parametry.</w:t>
      </w:r>
    </w:p>
    <w:p w14:paraId="094DEE7D" w14:textId="39A8CA91" w:rsidR="00203EA1" w:rsidRPr="001B2B2A" w:rsidRDefault="00000000" w:rsidP="001B2B2A">
      <w:pPr>
        <w:spacing w:line="360" w:lineRule="auto"/>
        <w:ind w:right="34"/>
        <w:rPr>
          <w:rFonts w:ascii="Calibri" w:hAnsi="Calibri" w:cs="Calibri"/>
          <w:sz w:val="20"/>
          <w:szCs w:val="20"/>
        </w:rPr>
      </w:pPr>
      <w:r w:rsidRPr="001B2B2A">
        <w:rPr>
          <w:rFonts w:ascii="Calibri" w:eastAsia="Cambria" w:hAnsi="Calibri" w:cs="Calibri"/>
          <w:color w:val="000000" w:themeColor="text1"/>
          <w:sz w:val="20"/>
          <w:szCs w:val="20"/>
        </w:rPr>
        <w:t>Istotne dla Zamawiającego cechy i parametry, to takie, które pozwolą zachować wszystkim systemom, urządzeniom, wyrobom, parametry i cechy pozwalające przede wszystkim na prawidłową współpracę z innymi systemami i/lub urządzeniami i/lub wyrobami w sposób założony przez Zamawiającego oraz pozwalające przy tym uzyskać parametry nie gorsze od założonych w niniejszym załączniku. Ciężar udowodnienia równoważności spoczywa na Wykonawcy</w:t>
      </w:r>
      <w:r w:rsidRPr="001B2B2A">
        <w:rPr>
          <w:rFonts w:ascii="Calibri" w:hAnsi="Calibri" w:cs="Calibri"/>
          <w:sz w:val="20"/>
          <w:szCs w:val="20"/>
        </w:rPr>
        <w:t xml:space="preserve"> </w:t>
      </w:r>
    </w:p>
    <w:p w14:paraId="0DC2EC4F" w14:textId="4506BAE0" w:rsidR="00203EA1" w:rsidRPr="001B2B2A" w:rsidRDefault="00000000" w:rsidP="001B2B2A">
      <w:pPr>
        <w:spacing w:before="240" w:after="0" w:line="360" w:lineRule="auto"/>
        <w:ind w:left="0" w:right="0" w:firstLine="0"/>
        <w:rPr>
          <w:rFonts w:ascii="Calibri" w:hAnsi="Calibri" w:cs="Calibri"/>
          <w:sz w:val="20"/>
          <w:szCs w:val="20"/>
        </w:rPr>
      </w:pPr>
      <w:r w:rsidRPr="001B2B2A">
        <w:rPr>
          <w:rFonts w:ascii="Calibri" w:hAnsi="Calibri" w:cs="Calibri"/>
          <w:sz w:val="20"/>
          <w:szCs w:val="20"/>
        </w:rPr>
        <w:t xml:space="preserve">Wykonawca, który powołuje się na rozwiązania równoważne opisywanym przez Zamawiającego, jest obowiązany wykazać, że oferowany przedmiot zamówienia spełnia wymagania określone przez Zamawiającego poprzez złożenie opisu zaoferowanych produktów wraz z wykazaniem cech równoważności w stosunku do wymagań opisanych przez Zamawiającego w niniejszym załączniku oraz podanie nazwy handlowej </w:t>
      </w:r>
      <w:r w:rsidR="001B2B2A">
        <w:rPr>
          <w:rFonts w:ascii="Calibri" w:hAnsi="Calibri" w:cs="Calibri"/>
          <w:sz w:val="20"/>
          <w:szCs w:val="20"/>
        </w:rPr>
        <w:t xml:space="preserve">                               </w:t>
      </w:r>
      <w:r w:rsidRPr="001B2B2A">
        <w:rPr>
          <w:rFonts w:ascii="Calibri" w:hAnsi="Calibri" w:cs="Calibri"/>
          <w:sz w:val="20"/>
          <w:szCs w:val="20"/>
        </w:rPr>
        <w:t>i producenta.</w:t>
      </w:r>
    </w:p>
    <w:p w14:paraId="09F03D56" w14:textId="2C47127A" w:rsidR="00203EA1" w:rsidRPr="001B2B2A" w:rsidRDefault="00000000" w:rsidP="001B2B2A">
      <w:pPr>
        <w:spacing w:before="240" w:after="0" w:line="360" w:lineRule="auto"/>
        <w:ind w:left="0" w:right="0" w:firstLine="0"/>
        <w:rPr>
          <w:rFonts w:ascii="Calibri" w:hAnsi="Calibri" w:cs="Calibri"/>
          <w:sz w:val="20"/>
          <w:szCs w:val="20"/>
        </w:rPr>
      </w:pPr>
      <w:r w:rsidRPr="001B2B2A">
        <w:rPr>
          <w:rFonts w:ascii="Calibri" w:hAnsi="Calibri" w:cs="Calibri"/>
          <w:sz w:val="20"/>
          <w:szCs w:val="20"/>
        </w:rPr>
        <w:t>W celu wykazania cech równoważności Zamawiający dopuszcza załączenie do opisu etykiet, zdjęć, kart katalogowych itp., z dopiskiem której pozycji asortymentowej (jakiego sprzętu) dotyczy dana informacja</w:t>
      </w:r>
      <w:r w:rsidR="001B2B2A">
        <w:rPr>
          <w:rFonts w:ascii="Calibri" w:hAnsi="Calibri" w:cs="Calibri"/>
          <w:sz w:val="20"/>
          <w:szCs w:val="20"/>
        </w:rPr>
        <w:t xml:space="preserve">                     </w:t>
      </w:r>
      <w:r w:rsidRPr="001B2B2A">
        <w:rPr>
          <w:rFonts w:ascii="Calibri" w:hAnsi="Calibri" w:cs="Calibri"/>
          <w:sz w:val="20"/>
          <w:szCs w:val="20"/>
        </w:rPr>
        <w:t xml:space="preserve"> z zastrzeżeniem, że z tych dokumentów muszą wynikać parametry co najmniej określone przez Zamawiającego w załącznikach do OPZ i dane identyfikujące produkt.</w:t>
      </w:r>
    </w:p>
    <w:p w14:paraId="606DCD47" w14:textId="77777777" w:rsidR="00203EA1" w:rsidRPr="001B2B2A" w:rsidRDefault="00203EA1" w:rsidP="001B2B2A">
      <w:pPr>
        <w:spacing w:line="360" w:lineRule="auto"/>
        <w:rPr>
          <w:rFonts w:ascii="Calibri" w:hAnsi="Calibri" w:cs="Calibri"/>
          <w:sz w:val="20"/>
          <w:szCs w:val="20"/>
        </w:rPr>
      </w:pPr>
    </w:p>
    <w:p w14:paraId="6F69101B" w14:textId="77777777" w:rsidR="00203EA1" w:rsidRPr="001B2B2A" w:rsidRDefault="00000000" w:rsidP="001B2B2A">
      <w:pPr>
        <w:spacing w:after="0" w:line="360" w:lineRule="auto"/>
        <w:rPr>
          <w:rFonts w:ascii="Calibri" w:hAnsi="Calibri" w:cs="Calibri"/>
          <w:sz w:val="20"/>
          <w:szCs w:val="20"/>
        </w:rPr>
      </w:pPr>
      <w:bookmarkStart w:id="0" w:name="_Hlk109630758"/>
      <w:bookmarkEnd w:id="0"/>
      <w:r w:rsidRPr="001B2B2A">
        <w:rPr>
          <w:rFonts w:ascii="Calibri" w:hAnsi="Calibri" w:cs="Calibri"/>
          <w:b/>
          <w:bCs/>
          <w:sz w:val="20"/>
          <w:szCs w:val="20"/>
        </w:rPr>
        <w:t>Audyt bezpieczeństwa systemów IT</w:t>
      </w:r>
    </w:p>
    <w:p w14:paraId="2C9BCA8E" w14:textId="3D9C8BB7" w:rsidR="00203EA1" w:rsidRPr="001B2B2A" w:rsidRDefault="00000000" w:rsidP="001B2B2A">
      <w:pPr>
        <w:spacing w:after="0" w:line="360" w:lineRule="auto"/>
        <w:rPr>
          <w:rFonts w:ascii="Calibri" w:hAnsi="Calibri" w:cs="Calibri"/>
          <w:sz w:val="20"/>
          <w:szCs w:val="20"/>
        </w:rPr>
      </w:pPr>
      <w:r w:rsidRPr="001B2B2A">
        <w:rPr>
          <w:rFonts w:ascii="Calibri" w:hAnsi="Calibri" w:cs="Calibri"/>
          <w:sz w:val="20"/>
          <w:szCs w:val="20"/>
        </w:rPr>
        <w:t xml:space="preserve">Przedmiotem zamówienia jest Przeprowadzenie audytu bezpieczeństwa, którego celem jest wykazanie podniesienia poziomu bezpieczeństwa teleinformatycznego po zrealizowaniu czynności w odniesieniu do stanu na dzień przeprowadzenia badania poziomu dojrzałości </w:t>
      </w:r>
      <w:proofErr w:type="spellStart"/>
      <w:r w:rsidRPr="001B2B2A">
        <w:rPr>
          <w:rFonts w:ascii="Calibri" w:hAnsi="Calibri" w:cs="Calibri"/>
          <w:sz w:val="20"/>
          <w:szCs w:val="20"/>
        </w:rPr>
        <w:t>cyberbezpieczeństwa</w:t>
      </w:r>
      <w:proofErr w:type="spellEnd"/>
      <w:r w:rsidRPr="001B2B2A">
        <w:rPr>
          <w:rFonts w:ascii="Calibri" w:hAnsi="Calibri" w:cs="Calibri"/>
          <w:sz w:val="20"/>
          <w:szCs w:val="20"/>
        </w:rPr>
        <w:t xml:space="preserve"> i oceny podniesienia poziomu bezpieczeństwa teleinformatycznego, zgodnie z Zarządzeniem nr 68/2022/BBIICD Prezesa Narodowego Funduszu Zdrowia z dnia 20 maja 2022 r. w sprawie finansowania działań w celu podniesienia poziomu bezpieczeństwa systemów teleinformatycznych świadczeniodawców.</w:t>
      </w:r>
    </w:p>
    <w:p w14:paraId="6FB66F0B" w14:textId="77777777" w:rsidR="00203EA1" w:rsidRPr="001B2B2A" w:rsidRDefault="00000000" w:rsidP="001B2B2A">
      <w:pPr>
        <w:spacing w:after="0" w:line="360" w:lineRule="auto"/>
        <w:rPr>
          <w:rFonts w:ascii="Calibri" w:hAnsi="Calibri" w:cs="Calibri"/>
          <w:sz w:val="20"/>
          <w:szCs w:val="20"/>
        </w:rPr>
      </w:pPr>
      <w:r w:rsidRPr="001B2B2A">
        <w:rPr>
          <w:rFonts w:ascii="Calibri" w:hAnsi="Calibri" w:cs="Calibri"/>
          <w:sz w:val="20"/>
          <w:szCs w:val="20"/>
        </w:rPr>
        <w:t>Obszary Audytu (raportu):</w:t>
      </w:r>
    </w:p>
    <w:p w14:paraId="44CEE172" w14:textId="77777777" w:rsidR="00203EA1" w:rsidRPr="001B2B2A" w:rsidRDefault="00000000" w:rsidP="001B2B2A">
      <w:pPr>
        <w:pStyle w:val="Akapitzlist"/>
        <w:numPr>
          <w:ilvl w:val="0"/>
          <w:numId w:val="3"/>
        </w:numPr>
        <w:spacing w:after="0" w:line="360" w:lineRule="auto"/>
        <w:ind w:left="284" w:right="0" w:hanging="284"/>
        <w:rPr>
          <w:rFonts w:ascii="Calibri" w:hAnsi="Calibri" w:cs="Calibri"/>
          <w:sz w:val="20"/>
          <w:szCs w:val="20"/>
        </w:rPr>
      </w:pPr>
      <w:r w:rsidRPr="001B2B2A">
        <w:rPr>
          <w:rFonts w:ascii="Calibri" w:hAnsi="Calibri" w:cs="Calibri"/>
          <w:sz w:val="20"/>
          <w:szCs w:val="20"/>
        </w:rPr>
        <w:t>Ocena skuteczności działania infrastruktury w zakresie urządzeń i konfiguracji w zakresie: ochrony poczty, ochrony sieci, systemów serwerowych, stacji roboczych, systemów bezpieczeństwa,</w:t>
      </w:r>
    </w:p>
    <w:p w14:paraId="4FABB458" w14:textId="77777777" w:rsidR="00203EA1" w:rsidRPr="001B2B2A" w:rsidRDefault="00000000" w:rsidP="001B2B2A">
      <w:pPr>
        <w:pStyle w:val="Akapitzlist"/>
        <w:numPr>
          <w:ilvl w:val="0"/>
          <w:numId w:val="3"/>
        </w:numPr>
        <w:spacing w:after="0" w:line="360" w:lineRule="auto"/>
        <w:ind w:left="284" w:right="0" w:hanging="284"/>
        <w:rPr>
          <w:rFonts w:ascii="Calibri" w:hAnsi="Calibri" w:cs="Calibri"/>
          <w:sz w:val="20"/>
          <w:szCs w:val="20"/>
        </w:rPr>
      </w:pPr>
      <w:r w:rsidRPr="001B2B2A">
        <w:rPr>
          <w:rFonts w:ascii="Calibri" w:hAnsi="Calibri" w:cs="Calibri"/>
          <w:sz w:val="20"/>
          <w:szCs w:val="20"/>
        </w:rPr>
        <w:t>Zarządzanie bezpieczeństwem informacji:</w:t>
      </w:r>
    </w:p>
    <w:p w14:paraId="09327D52"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nośniki wymienne - udokumentowany sposób postępowania,</w:t>
      </w:r>
    </w:p>
    <w:p w14:paraId="70FE7519"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zarządzanie tożsamością/dostęp do systemów w zakresie: przydzielanie dostępu, odbieranie dostępu,</w:t>
      </w:r>
    </w:p>
    <w:p w14:paraId="6CDF36C4"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 xml:space="preserve">pomieszczenie/pomieszczenia w dyspozycji struktur zespołu odpowiedzialnego za </w:t>
      </w:r>
      <w:proofErr w:type="spellStart"/>
      <w:r w:rsidRPr="001B2B2A">
        <w:rPr>
          <w:rFonts w:ascii="Calibri" w:hAnsi="Calibri" w:cs="Calibri"/>
          <w:sz w:val="20"/>
          <w:szCs w:val="20"/>
        </w:rPr>
        <w:t>cyberbezpieczeństwo</w:t>
      </w:r>
      <w:proofErr w:type="spellEnd"/>
      <w:r w:rsidRPr="001B2B2A">
        <w:rPr>
          <w:rFonts w:ascii="Calibri" w:hAnsi="Calibri" w:cs="Calibri"/>
          <w:sz w:val="20"/>
          <w:szCs w:val="20"/>
        </w:rPr>
        <w:t xml:space="preserve"> zgodnie z wymogami dla Operatora Usługi Kluczowej, o którym mowa w art. 5 ustawy z dnia 5 lipca 2018 r. o Krajowym Systemie </w:t>
      </w:r>
      <w:proofErr w:type="spellStart"/>
      <w:r w:rsidRPr="001B2B2A">
        <w:rPr>
          <w:rFonts w:ascii="Calibri" w:hAnsi="Calibri" w:cs="Calibri"/>
          <w:sz w:val="20"/>
          <w:szCs w:val="20"/>
        </w:rPr>
        <w:t>Cyberbezpieczeństwa</w:t>
      </w:r>
      <w:proofErr w:type="spellEnd"/>
      <w:r w:rsidRPr="001B2B2A">
        <w:rPr>
          <w:rFonts w:ascii="Calibri" w:hAnsi="Calibri" w:cs="Calibri"/>
          <w:sz w:val="20"/>
          <w:szCs w:val="20"/>
        </w:rPr>
        <w:t>.</w:t>
      </w:r>
    </w:p>
    <w:p w14:paraId="4A44F29E" w14:textId="77777777" w:rsidR="00203EA1" w:rsidRPr="001B2B2A" w:rsidRDefault="00000000" w:rsidP="001B2B2A">
      <w:pPr>
        <w:pStyle w:val="Akapitzlist"/>
        <w:numPr>
          <w:ilvl w:val="0"/>
          <w:numId w:val="3"/>
        </w:numPr>
        <w:spacing w:after="0" w:line="360" w:lineRule="auto"/>
        <w:ind w:left="284" w:right="0" w:hanging="284"/>
        <w:rPr>
          <w:rFonts w:ascii="Calibri" w:hAnsi="Calibri" w:cs="Calibri"/>
          <w:sz w:val="20"/>
          <w:szCs w:val="20"/>
        </w:rPr>
      </w:pPr>
      <w:r w:rsidRPr="001B2B2A">
        <w:rPr>
          <w:rFonts w:ascii="Calibri" w:hAnsi="Calibri" w:cs="Calibri"/>
          <w:sz w:val="20"/>
          <w:szCs w:val="20"/>
        </w:rPr>
        <w:t>Monitorowanie i reagowanie na incydenty bezpieczeństwa:</w:t>
      </w:r>
    </w:p>
    <w:p w14:paraId="521C6326"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procedury zarządzania incydentami,</w:t>
      </w:r>
    </w:p>
    <w:p w14:paraId="26149B26"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raportowanie poziomów pokrycia scenariuszami znanych incydentów,</w:t>
      </w:r>
    </w:p>
    <w:p w14:paraId="7F90BB52"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lastRenderedPageBreak/>
        <w:t xml:space="preserve">dokumentacja dotycząca przekazywania informacji do właściwego zespołu CSIRT poziomu krajowego/ sektorowego zespołu </w:t>
      </w:r>
      <w:proofErr w:type="spellStart"/>
      <w:r w:rsidRPr="001B2B2A">
        <w:rPr>
          <w:rFonts w:ascii="Calibri" w:hAnsi="Calibri" w:cs="Calibri"/>
          <w:sz w:val="20"/>
          <w:szCs w:val="20"/>
        </w:rPr>
        <w:t>cyberbezpieczeństwa</w:t>
      </w:r>
      <w:proofErr w:type="spellEnd"/>
      <w:r w:rsidRPr="001B2B2A">
        <w:rPr>
          <w:rFonts w:ascii="Calibri" w:hAnsi="Calibri" w:cs="Calibri"/>
          <w:sz w:val="20"/>
          <w:szCs w:val="20"/>
        </w:rPr>
        <w:t>,</w:t>
      </w:r>
    </w:p>
    <w:p w14:paraId="6E6F33AB"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monitorowanie i wykrycie incydentów bezpieczeństwa,</w:t>
      </w:r>
    </w:p>
    <w:p w14:paraId="3B1E2321"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Identyfikacja i dokumentowanie przyczyn wystąpienia incydentów.</w:t>
      </w:r>
    </w:p>
    <w:p w14:paraId="0E367425" w14:textId="77777777" w:rsidR="00203EA1" w:rsidRPr="001B2B2A" w:rsidRDefault="00000000" w:rsidP="001B2B2A">
      <w:pPr>
        <w:pStyle w:val="Akapitzlist"/>
        <w:numPr>
          <w:ilvl w:val="0"/>
          <w:numId w:val="3"/>
        </w:numPr>
        <w:spacing w:after="0" w:line="360" w:lineRule="auto"/>
        <w:ind w:left="284" w:right="0" w:hanging="284"/>
        <w:rPr>
          <w:rFonts w:ascii="Calibri" w:hAnsi="Calibri" w:cs="Calibri"/>
          <w:sz w:val="20"/>
          <w:szCs w:val="20"/>
        </w:rPr>
      </w:pPr>
      <w:r w:rsidRPr="001B2B2A">
        <w:rPr>
          <w:rFonts w:ascii="Calibri" w:hAnsi="Calibri" w:cs="Calibri"/>
          <w:sz w:val="20"/>
          <w:szCs w:val="20"/>
        </w:rPr>
        <w:t>Zarządzanie ciągłością działania:</w:t>
      </w:r>
    </w:p>
    <w:p w14:paraId="5A126A09"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konfiguracja oraz polityki systemów do wykonywania kopii bezpieczeństwa,</w:t>
      </w:r>
    </w:p>
    <w:p w14:paraId="0F7AB6C3"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raport z przeglądów i testów odtwarzania kopii bezpieczeństwa,</w:t>
      </w:r>
    </w:p>
    <w:p w14:paraId="71C201FF"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procedury wykonywania i przechowywania kopii zapasowych,</w:t>
      </w:r>
    </w:p>
    <w:p w14:paraId="3AD38574"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strategia i polityka ciągłości działania, awaryjne oraz odtwarzania po katastrofie (DRP),</w:t>
      </w:r>
    </w:p>
    <w:p w14:paraId="5FB389AE"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procedury utrzymaniowe.</w:t>
      </w:r>
    </w:p>
    <w:p w14:paraId="05B5D08D" w14:textId="77777777" w:rsidR="00203EA1" w:rsidRPr="001B2B2A" w:rsidRDefault="00000000" w:rsidP="001B2B2A">
      <w:pPr>
        <w:pStyle w:val="Akapitzlist"/>
        <w:numPr>
          <w:ilvl w:val="0"/>
          <w:numId w:val="3"/>
        </w:numPr>
        <w:spacing w:after="0" w:line="360" w:lineRule="auto"/>
        <w:ind w:left="284" w:right="0" w:hanging="284"/>
        <w:rPr>
          <w:rFonts w:ascii="Calibri" w:hAnsi="Calibri" w:cs="Calibri"/>
          <w:sz w:val="20"/>
          <w:szCs w:val="20"/>
        </w:rPr>
      </w:pPr>
      <w:r w:rsidRPr="001B2B2A">
        <w:rPr>
          <w:rFonts w:ascii="Calibri" w:hAnsi="Calibri" w:cs="Calibri"/>
          <w:sz w:val="20"/>
          <w:szCs w:val="20"/>
        </w:rPr>
        <w:t>Utrzymanie systemów informacyjnych:</w:t>
      </w:r>
    </w:p>
    <w:p w14:paraId="2B0E59C3"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harmonogramy skanowania podatności,</w:t>
      </w:r>
    </w:p>
    <w:p w14:paraId="60964B94"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aktualny status realizacji postępowania z podatnościami,</w:t>
      </w:r>
    </w:p>
    <w:p w14:paraId="00DE6062"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procedury związane ze z identyfikowaniem (wykryciem) podatności,</w:t>
      </w:r>
    </w:p>
    <w:p w14:paraId="6E244D7D"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współpraca z osobami odpowiedzialnymi za procesy zarządzania incydentami.</w:t>
      </w:r>
    </w:p>
    <w:p w14:paraId="01BDB5F7" w14:textId="77777777" w:rsidR="00203EA1" w:rsidRPr="001B2B2A" w:rsidRDefault="00000000" w:rsidP="001B2B2A">
      <w:pPr>
        <w:pStyle w:val="Akapitzlist"/>
        <w:numPr>
          <w:ilvl w:val="0"/>
          <w:numId w:val="3"/>
        </w:numPr>
        <w:spacing w:after="0" w:line="360" w:lineRule="auto"/>
        <w:ind w:left="284" w:right="0" w:hanging="284"/>
        <w:rPr>
          <w:rFonts w:ascii="Calibri" w:hAnsi="Calibri" w:cs="Calibri"/>
          <w:sz w:val="20"/>
          <w:szCs w:val="20"/>
        </w:rPr>
      </w:pPr>
      <w:r w:rsidRPr="001B2B2A">
        <w:rPr>
          <w:rFonts w:ascii="Calibri" w:hAnsi="Calibri" w:cs="Calibri"/>
          <w:sz w:val="20"/>
          <w:szCs w:val="20"/>
        </w:rPr>
        <w:t>Zarządzanie bezpieczeństwem i ciągłością działania łańcucha usług:</w:t>
      </w:r>
    </w:p>
    <w:p w14:paraId="65FA85FE"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polityka bezpieczeństwa w relacjach z dostawcami,</w:t>
      </w:r>
    </w:p>
    <w:p w14:paraId="56F34322"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 xml:space="preserve">standardy i wymagania nakładane na dostawców w umowach w zakresie </w:t>
      </w:r>
      <w:proofErr w:type="spellStart"/>
      <w:r w:rsidRPr="001B2B2A">
        <w:rPr>
          <w:rFonts w:ascii="Calibri" w:hAnsi="Calibri" w:cs="Calibri"/>
          <w:sz w:val="20"/>
          <w:szCs w:val="20"/>
        </w:rPr>
        <w:t>cyberbezpieczeństwa</w:t>
      </w:r>
      <w:proofErr w:type="spellEnd"/>
      <w:r w:rsidRPr="001B2B2A">
        <w:rPr>
          <w:rFonts w:ascii="Calibri" w:hAnsi="Calibri" w:cs="Calibri"/>
          <w:sz w:val="20"/>
          <w:szCs w:val="20"/>
        </w:rPr>
        <w:t>,</w:t>
      </w:r>
    </w:p>
    <w:p w14:paraId="4D63425F"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dostęp zdalny,</w:t>
      </w:r>
    </w:p>
    <w:p w14:paraId="73F61A3D" w14:textId="77777777" w:rsidR="00203EA1" w:rsidRPr="001B2B2A" w:rsidRDefault="00000000" w:rsidP="001B2B2A">
      <w:pPr>
        <w:pStyle w:val="Akapitzlist"/>
        <w:numPr>
          <w:ilvl w:val="1"/>
          <w:numId w:val="3"/>
        </w:numPr>
        <w:spacing w:after="0" w:line="360" w:lineRule="auto"/>
        <w:ind w:left="567" w:right="0" w:hanging="283"/>
        <w:rPr>
          <w:rFonts w:ascii="Calibri" w:hAnsi="Calibri" w:cs="Calibri"/>
          <w:sz w:val="20"/>
          <w:szCs w:val="20"/>
        </w:rPr>
      </w:pPr>
      <w:r w:rsidRPr="001B2B2A">
        <w:rPr>
          <w:rFonts w:ascii="Calibri" w:hAnsi="Calibri" w:cs="Calibri"/>
          <w:sz w:val="20"/>
          <w:szCs w:val="20"/>
        </w:rPr>
        <w:t>metody uwierzytelnienia.</w:t>
      </w:r>
    </w:p>
    <w:p w14:paraId="43598D4C" w14:textId="77777777" w:rsidR="00203EA1" w:rsidRPr="001B2B2A" w:rsidRDefault="00000000" w:rsidP="001B2B2A">
      <w:pPr>
        <w:spacing w:after="0" w:line="360" w:lineRule="auto"/>
        <w:rPr>
          <w:rFonts w:ascii="Calibri" w:hAnsi="Calibri" w:cs="Calibri"/>
          <w:sz w:val="20"/>
          <w:szCs w:val="20"/>
        </w:rPr>
      </w:pPr>
      <w:r w:rsidRPr="001B2B2A">
        <w:rPr>
          <w:rFonts w:ascii="Calibri" w:hAnsi="Calibri" w:cs="Calibri"/>
          <w:sz w:val="20"/>
          <w:szCs w:val="20"/>
        </w:rPr>
        <w:t>Kryteria Audytu Bezpieczeństwa oparte będą o:</w:t>
      </w:r>
    </w:p>
    <w:p w14:paraId="5D8E6F41" w14:textId="77777777" w:rsidR="00203EA1" w:rsidRPr="001B2B2A" w:rsidRDefault="00000000" w:rsidP="001B2B2A">
      <w:pPr>
        <w:pStyle w:val="Akapitzlist"/>
        <w:numPr>
          <w:ilvl w:val="0"/>
          <w:numId w:val="2"/>
        </w:numPr>
        <w:spacing w:after="0" w:line="360" w:lineRule="auto"/>
        <w:ind w:left="426" w:right="0" w:hanging="426"/>
        <w:rPr>
          <w:rFonts w:ascii="Calibri" w:hAnsi="Calibri" w:cs="Calibri"/>
          <w:sz w:val="20"/>
          <w:szCs w:val="20"/>
        </w:rPr>
      </w:pPr>
      <w:r w:rsidRPr="001B2B2A">
        <w:rPr>
          <w:rFonts w:ascii="Calibri" w:hAnsi="Calibri" w:cs="Calibri"/>
          <w:sz w:val="20"/>
          <w:szCs w:val="20"/>
        </w:rPr>
        <w:t xml:space="preserve">Ankietę weryfikacji pod kątem dojrzałości </w:t>
      </w:r>
      <w:proofErr w:type="spellStart"/>
      <w:r w:rsidRPr="001B2B2A">
        <w:rPr>
          <w:rFonts w:ascii="Calibri" w:hAnsi="Calibri" w:cs="Calibri"/>
          <w:sz w:val="20"/>
          <w:szCs w:val="20"/>
        </w:rPr>
        <w:t>cyberbezpieczeństwa</w:t>
      </w:r>
      <w:proofErr w:type="spellEnd"/>
      <w:r w:rsidRPr="001B2B2A">
        <w:rPr>
          <w:rFonts w:ascii="Calibri" w:hAnsi="Calibri" w:cs="Calibri"/>
          <w:sz w:val="20"/>
          <w:szCs w:val="20"/>
        </w:rPr>
        <w:t>.</w:t>
      </w:r>
    </w:p>
    <w:p w14:paraId="3C4EF7DD" w14:textId="77777777" w:rsidR="00203EA1" w:rsidRPr="001B2B2A" w:rsidRDefault="00000000" w:rsidP="001B2B2A">
      <w:pPr>
        <w:pStyle w:val="Akapitzlist"/>
        <w:numPr>
          <w:ilvl w:val="0"/>
          <w:numId w:val="2"/>
        </w:numPr>
        <w:spacing w:after="0" w:line="360" w:lineRule="auto"/>
        <w:ind w:left="426" w:right="0" w:hanging="426"/>
        <w:rPr>
          <w:rFonts w:ascii="Calibri" w:hAnsi="Calibri" w:cs="Calibri"/>
          <w:sz w:val="20"/>
          <w:szCs w:val="20"/>
        </w:rPr>
      </w:pPr>
      <w:r w:rsidRPr="001B2B2A">
        <w:rPr>
          <w:rFonts w:ascii="Calibri" w:hAnsi="Calibri" w:cs="Calibri"/>
          <w:sz w:val="20"/>
          <w:szCs w:val="20"/>
        </w:rPr>
        <w:t>Wymagania normatywne PN-EN ISO/IEC 27001:2017-06.</w:t>
      </w:r>
    </w:p>
    <w:p w14:paraId="3C87BEAA" w14:textId="77777777" w:rsidR="00203EA1" w:rsidRPr="001B2B2A" w:rsidRDefault="00000000" w:rsidP="001B2B2A">
      <w:pPr>
        <w:pStyle w:val="Akapitzlist"/>
        <w:numPr>
          <w:ilvl w:val="0"/>
          <w:numId w:val="2"/>
        </w:numPr>
        <w:spacing w:after="0" w:line="360" w:lineRule="auto"/>
        <w:ind w:left="426" w:right="0" w:hanging="426"/>
        <w:rPr>
          <w:rFonts w:ascii="Calibri" w:hAnsi="Calibri" w:cs="Calibri"/>
          <w:sz w:val="20"/>
          <w:szCs w:val="20"/>
        </w:rPr>
      </w:pPr>
      <w:r w:rsidRPr="001B2B2A">
        <w:rPr>
          <w:rFonts w:ascii="Calibri" w:hAnsi="Calibri" w:cs="Calibri"/>
          <w:sz w:val="20"/>
          <w:szCs w:val="20"/>
        </w:rPr>
        <w:t>Wymagania normatywne PN-EN ISO 22301:2020-04.</w:t>
      </w:r>
    </w:p>
    <w:p w14:paraId="3EAA5062" w14:textId="77777777" w:rsidR="00203EA1" w:rsidRPr="001B2B2A" w:rsidRDefault="00000000" w:rsidP="001B2B2A">
      <w:pPr>
        <w:pStyle w:val="Akapitzlist"/>
        <w:numPr>
          <w:ilvl w:val="0"/>
          <w:numId w:val="2"/>
        </w:numPr>
        <w:spacing w:after="0" w:line="360" w:lineRule="auto"/>
        <w:ind w:left="426" w:right="0" w:hanging="426"/>
        <w:rPr>
          <w:rFonts w:ascii="Calibri" w:hAnsi="Calibri" w:cs="Calibri"/>
          <w:sz w:val="20"/>
          <w:szCs w:val="20"/>
        </w:rPr>
      </w:pPr>
      <w:r w:rsidRPr="001B2B2A">
        <w:rPr>
          <w:rFonts w:ascii="Calibri" w:hAnsi="Calibri" w:cs="Calibri"/>
          <w:sz w:val="20"/>
          <w:szCs w:val="20"/>
        </w:rPr>
        <w:t>Wewnętrzną dokumentację Zamawiającego.</w:t>
      </w:r>
    </w:p>
    <w:p w14:paraId="26DA842A" w14:textId="77777777" w:rsidR="00203EA1" w:rsidRPr="001B2B2A" w:rsidRDefault="00000000" w:rsidP="001B2B2A">
      <w:pPr>
        <w:pStyle w:val="Akapitzlist"/>
        <w:numPr>
          <w:ilvl w:val="0"/>
          <w:numId w:val="2"/>
        </w:numPr>
        <w:spacing w:after="0" w:line="360" w:lineRule="auto"/>
        <w:ind w:left="426" w:right="0" w:hanging="426"/>
        <w:rPr>
          <w:rFonts w:ascii="Calibri" w:hAnsi="Calibri" w:cs="Calibri"/>
          <w:sz w:val="20"/>
          <w:szCs w:val="20"/>
        </w:rPr>
      </w:pPr>
      <w:r w:rsidRPr="001B2B2A">
        <w:rPr>
          <w:rFonts w:ascii="Calibri" w:hAnsi="Calibri" w:cs="Calibri"/>
          <w:sz w:val="20"/>
          <w:szCs w:val="20"/>
        </w:rPr>
        <w:t xml:space="preserve">Przepisy o Krajowym Systemie </w:t>
      </w:r>
      <w:proofErr w:type="spellStart"/>
      <w:r w:rsidRPr="001B2B2A">
        <w:rPr>
          <w:rFonts w:ascii="Calibri" w:hAnsi="Calibri" w:cs="Calibri"/>
          <w:sz w:val="20"/>
          <w:szCs w:val="20"/>
        </w:rPr>
        <w:t>Cyberbezpieczeństwa</w:t>
      </w:r>
      <w:proofErr w:type="spellEnd"/>
      <w:r w:rsidRPr="001B2B2A">
        <w:rPr>
          <w:rFonts w:ascii="Calibri" w:hAnsi="Calibri" w:cs="Calibri"/>
          <w:sz w:val="20"/>
          <w:szCs w:val="20"/>
        </w:rPr>
        <w:t>.</w:t>
      </w:r>
    </w:p>
    <w:p w14:paraId="280CFA74" w14:textId="77777777" w:rsidR="00203EA1" w:rsidRPr="001B2B2A" w:rsidRDefault="00000000" w:rsidP="001B2B2A">
      <w:pPr>
        <w:pStyle w:val="Akapitzlist"/>
        <w:numPr>
          <w:ilvl w:val="0"/>
          <w:numId w:val="2"/>
        </w:numPr>
        <w:spacing w:after="0" w:line="360" w:lineRule="auto"/>
        <w:ind w:left="426" w:right="0" w:hanging="426"/>
        <w:rPr>
          <w:rFonts w:ascii="Calibri" w:hAnsi="Calibri" w:cs="Calibri"/>
          <w:sz w:val="20"/>
          <w:szCs w:val="20"/>
        </w:rPr>
      </w:pPr>
      <w:r w:rsidRPr="001B2B2A">
        <w:rPr>
          <w:rFonts w:ascii="Calibri" w:hAnsi="Calibri" w:cs="Calibri"/>
          <w:sz w:val="20"/>
          <w:szCs w:val="20"/>
        </w:rPr>
        <w:t>Standardy Krajowych Ram Interoperacyjności (KRI).</w:t>
      </w:r>
    </w:p>
    <w:p w14:paraId="14F0FAA7" w14:textId="77777777" w:rsidR="00203EA1" w:rsidRPr="001B2B2A" w:rsidRDefault="00000000" w:rsidP="001B2B2A">
      <w:pPr>
        <w:pStyle w:val="Akapitzlist"/>
        <w:numPr>
          <w:ilvl w:val="0"/>
          <w:numId w:val="2"/>
        </w:numPr>
        <w:spacing w:after="0" w:line="360" w:lineRule="auto"/>
        <w:ind w:left="426" w:right="0" w:hanging="426"/>
        <w:rPr>
          <w:rFonts w:ascii="Calibri" w:hAnsi="Calibri" w:cs="Calibri"/>
          <w:sz w:val="20"/>
          <w:szCs w:val="20"/>
        </w:rPr>
      </w:pPr>
      <w:r w:rsidRPr="001B2B2A">
        <w:rPr>
          <w:rFonts w:ascii="Calibri" w:hAnsi="Calibri" w:cs="Calibri"/>
          <w:sz w:val="20"/>
          <w:szCs w:val="20"/>
        </w:rPr>
        <w:t>Zakresem Audytu objęta będzie cała działalność świadczeniodawcy.</w:t>
      </w:r>
    </w:p>
    <w:p w14:paraId="7BCC8938" w14:textId="77777777" w:rsidR="00203EA1" w:rsidRPr="001B2B2A" w:rsidRDefault="00203EA1" w:rsidP="001B2B2A">
      <w:pPr>
        <w:spacing w:after="0" w:line="360" w:lineRule="auto"/>
        <w:rPr>
          <w:rFonts w:ascii="Calibri" w:hAnsi="Calibri" w:cs="Calibri"/>
          <w:sz w:val="20"/>
          <w:szCs w:val="20"/>
        </w:rPr>
      </w:pPr>
      <w:bookmarkStart w:id="1" w:name="_Hlk1096307581"/>
      <w:bookmarkEnd w:id="1"/>
    </w:p>
    <w:p w14:paraId="70B91E28" w14:textId="77777777" w:rsidR="00203EA1" w:rsidRPr="001B2B2A" w:rsidRDefault="00000000" w:rsidP="001B2B2A">
      <w:pPr>
        <w:spacing w:after="0" w:line="360" w:lineRule="auto"/>
        <w:rPr>
          <w:rFonts w:ascii="Calibri" w:hAnsi="Calibri" w:cs="Calibri"/>
          <w:sz w:val="20"/>
          <w:szCs w:val="20"/>
        </w:rPr>
      </w:pPr>
      <w:r w:rsidRPr="001B2B2A">
        <w:rPr>
          <w:rFonts w:ascii="Calibri" w:hAnsi="Calibri" w:cs="Calibri"/>
          <w:sz w:val="20"/>
          <w:szCs w:val="20"/>
        </w:rPr>
        <w:t>Wymagania dla jednostki przeprowadzającej audyt:</w:t>
      </w:r>
    </w:p>
    <w:p w14:paraId="08C6C544" w14:textId="77777777" w:rsidR="00203EA1" w:rsidRPr="001B2B2A" w:rsidRDefault="00000000" w:rsidP="001B2B2A">
      <w:pPr>
        <w:spacing w:after="0" w:line="360" w:lineRule="auto"/>
        <w:rPr>
          <w:rFonts w:ascii="Calibri" w:hAnsi="Calibri" w:cs="Calibri"/>
          <w:sz w:val="20"/>
          <w:szCs w:val="20"/>
        </w:rPr>
      </w:pPr>
      <w:r w:rsidRPr="001B2B2A">
        <w:rPr>
          <w:rFonts w:ascii="Calibri" w:hAnsi="Calibri" w:cs="Calibri"/>
          <w:sz w:val="20"/>
          <w:szCs w:val="20"/>
        </w:rPr>
        <w:t>Zamawiający wymaga, aby jednostka przeprowadzająca audyt spełniała wymagania określone w:</w:t>
      </w:r>
      <w:bookmarkStart w:id="2" w:name="_Hlk108989296"/>
      <w:bookmarkEnd w:id="2"/>
    </w:p>
    <w:p w14:paraId="4C8A885C" w14:textId="77777777" w:rsidR="00203EA1" w:rsidRPr="001B2B2A" w:rsidRDefault="00000000" w:rsidP="001B2B2A">
      <w:pPr>
        <w:pStyle w:val="Akapitzlist"/>
        <w:numPr>
          <w:ilvl w:val="0"/>
          <w:numId w:val="4"/>
        </w:numPr>
        <w:spacing w:after="0" w:line="360" w:lineRule="auto"/>
        <w:ind w:left="426" w:right="0" w:hanging="426"/>
        <w:rPr>
          <w:rFonts w:ascii="Calibri" w:hAnsi="Calibri" w:cs="Calibri"/>
          <w:sz w:val="20"/>
          <w:szCs w:val="20"/>
        </w:rPr>
      </w:pPr>
      <w:r w:rsidRPr="001B2B2A">
        <w:rPr>
          <w:rFonts w:ascii="Calibri" w:hAnsi="Calibri" w:cs="Calibri"/>
          <w:sz w:val="20"/>
          <w:szCs w:val="20"/>
        </w:rPr>
        <w:t xml:space="preserve">Załączniku nr 2 do Zarządzenia nr 68/2022/BBIICD Prezesa Narodowego Funduszu Zdrowia z dnia 20 maja 2022 r. </w:t>
      </w:r>
      <w:r w:rsidRPr="001B2B2A">
        <w:rPr>
          <w:rFonts w:ascii="Calibri" w:hAnsi="Calibri" w:cs="Calibri"/>
          <w:sz w:val="20"/>
          <w:szCs w:val="20"/>
        </w:rPr>
        <w:br/>
        <w:t>w sprawie finansowania działań w celu podniesienia poziomu bezpieczeństwa systemów teleinformatycznych świadczeniodawców,</w:t>
      </w:r>
    </w:p>
    <w:p w14:paraId="799E1646" w14:textId="77777777" w:rsidR="00203EA1" w:rsidRPr="001B2B2A" w:rsidRDefault="00000000" w:rsidP="001B2B2A">
      <w:pPr>
        <w:spacing w:after="0" w:line="360" w:lineRule="auto"/>
        <w:ind w:left="426" w:hanging="426"/>
        <w:rPr>
          <w:rFonts w:ascii="Calibri" w:hAnsi="Calibri" w:cs="Calibri"/>
          <w:sz w:val="20"/>
          <w:szCs w:val="20"/>
        </w:rPr>
      </w:pPr>
      <w:r w:rsidRPr="001B2B2A">
        <w:rPr>
          <w:rFonts w:ascii="Calibri" w:hAnsi="Calibri" w:cs="Calibri"/>
          <w:sz w:val="20"/>
          <w:szCs w:val="20"/>
        </w:rPr>
        <w:t>oraz</w:t>
      </w:r>
    </w:p>
    <w:p w14:paraId="40C96800" w14:textId="77777777" w:rsidR="00203EA1" w:rsidRPr="001B2B2A" w:rsidRDefault="00000000" w:rsidP="001B2B2A">
      <w:pPr>
        <w:pStyle w:val="Akapitzlist"/>
        <w:numPr>
          <w:ilvl w:val="0"/>
          <w:numId w:val="4"/>
        </w:numPr>
        <w:spacing w:after="0" w:line="360" w:lineRule="auto"/>
        <w:ind w:left="426" w:right="0" w:hanging="426"/>
        <w:rPr>
          <w:rFonts w:ascii="Calibri" w:hAnsi="Calibri" w:cs="Calibri"/>
          <w:sz w:val="20"/>
          <w:szCs w:val="20"/>
        </w:rPr>
      </w:pPr>
      <w:r w:rsidRPr="001B2B2A">
        <w:rPr>
          <w:rFonts w:ascii="Calibri" w:hAnsi="Calibri" w:cs="Calibri"/>
          <w:sz w:val="20"/>
          <w:szCs w:val="20"/>
        </w:rPr>
        <w:t xml:space="preserve">Ustawie z dnia 5 lipca 2018r. o Krajowym Systemie </w:t>
      </w:r>
      <w:proofErr w:type="spellStart"/>
      <w:r w:rsidRPr="001B2B2A">
        <w:rPr>
          <w:rFonts w:ascii="Calibri" w:hAnsi="Calibri" w:cs="Calibri"/>
          <w:sz w:val="20"/>
          <w:szCs w:val="20"/>
        </w:rPr>
        <w:t>Cyberbezpieczeństwa</w:t>
      </w:r>
      <w:proofErr w:type="spellEnd"/>
      <w:r w:rsidRPr="001B2B2A">
        <w:rPr>
          <w:rFonts w:ascii="Calibri" w:hAnsi="Calibri" w:cs="Calibri"/>
          <w:sz w:val="20"/>
          <w:szCs w:val="20"/>
        </w:rPr>
        <w:t xml:space="preserve"> (Dz. U. 2018 poz. 1560).</w:t>
      </w:r>
    </w:p>
    <w:p w14:paraId="0F658A89" w14:textId="77777777" w:rsidR="00203EA1" w:rsidRPr="001B2B2A" w:rsidRDefault="00203EA1" w:rsidP="001B2B2A">
      <w:pPr>
        <w:spacing w:after="0" w:line="360" w:lineRule="auto"/>
        <w:rPr>
          <w:rFonts w:ascii="Calibri" w:hAnsi="Calibri" w:cs="Calibri"/>
          <w:sz w:val="20"/>
          <w:szCs w:val="20"/>
        </w:rPr>
      </w:pPr>
    </w:p>
    <w:sectPr w:rsidR="00203EA1" w:rsidRPr="001B2B2A">
      <w:headerReference w:type="default" r:id="rId7"/>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9847" w14:textId="77777777" w:rsidR="005C4C0C" w:rsidRDefault="005C4C0C">
      <w:pPr>
        <w:spacing w:after="0" w:line="240" w:lineRule="auto"/>
      </w:pPr>
      <w:r>
        <w:separator/>
      </w:r>
    </w:p>
  </w:endnote>
  <w:endnote w:type="continuationSeparator" w:id="0">
    <w:p w14:paraId="06986494" w14:textId="77777777" w:rsidR="005C4C0C" w:rsidRDefault="005C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brima">
    <w:panose1 w:val="02000000000000000000"/>
    <w:charset w:val="EE"/>
    <w:family w:val="auto"/>
    <w:pitch w:val="variable"/>
    <w:sig w:usb0="A000005F" w:usb1="02000041" w:usb2="000008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C286" w14:textId="77777777" w:rsidR="005C4C0C" w:rsidRDefault="005C4C0C">
      <w:pPr>
        <w:spacing w:after="0" w:line="240" w:lineRule="auto"/>
      </w:pPr>
      <w:r>
        <w:separator/>
      </w:r>
    </w:p>
  </w:footnote>
  <w:footnote w:type="continuationSeparator" w:id="0">
    <w:p w14:paraId="1EC1002D" w14:textId="77777777" w:rsidR="005C4C0C" w:rsidRDefault="005C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DDCD" w14:textId="77777777" w:rsidR="00EB304B" w:rsidRDefault="00EB304B">
    <w:pPr>
      <w:pStyle w:val="Nagwek"/>
    </w:pPr>
  </w:p>
  <w:p w14:paraId="38377691" w14:textId="47F3C504" w:rsidR="00EB304B" w:rsidRPr="00EB304B" w:rsidRDefault="00EB304B">
    <w:pPr>
      <w:pStyle w:val="Nagwek"/>
      <w:rPr>
        <w:rFonts w:ascii="Ebrima" w:hAnsi="Ebrima"/>
        <w:b/>
        <w:bCs/>
        <w:sz w:val="20"/>
        <w:szCs w:val="20"/>
      </w:rPr>
    </w:pPr>
    <w:r w:rsidRPr="00EB304B">
      <w:rPr>
        <w:rFonts w:ascii="Ebrima" w:hAnsi="Ebrima"/>
        <w:b/>
        <w:bCs/>
        <w:sz w:val="20"/>
        <w:szCs w:val="20"/>
      </w:rPr>
      <w:t>P/11/2022</w:t>
    </w:r>
  </w:p>
  <w:p w14:paraId="052398D5" w14:textId="1CB67B21" w:rsidR="00203EA1" w:rsidRDefault="00EB304B">
    <w:pPr>
      <w:pStyle w:val="Nagwek"/>
      <w:rPr>
        <w:rFonts w:ascii="Segoe UI" w:hAnsi="Segoe UI" w:cs="Segoe UI"/>
        <w:b/>
      </w:rPr>
    </w:pPr>
    <w:r>
      <w:rPr>
        <w:rFonts w:ascii="Segoe UI" w:hAnsi="Segoe UI" w:cs="Segoe UI"/>
        <w:b/>
        <w:noProof/>
      </w:rPr>
      <mc:AlternateContent>
        <mc:Choice Requires="wps">
          <w:drawing>
            <wp:anchor distT="0" distB="0" distL="114300" distR="114300" simplePos="0" relativeHeight="251659264" behindDoc="0" locked="0" layoutInCell="1" allowOverlap="1" wp14:anchorId="1F9E6E77" wp14:editId="12F711E5">
              <wp:simplePos x="0" y="0"/>
              <wp:positionH relativeFrom="column">
                <wp:posOffset>-13971</wp:posOffset>
              </wp:positionH>
              <wp:positionV relativeFrom="paragraph">
                <wp:posOffset>78740</wp:posOffset>
              </wp:positionV>
              <wp:extent cx="58578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7F7E7"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6.2pt" to="460.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D459E"/>
    <w:multiLevelType w:val="multilevel"/>
    <w:tmpl w:val="1264FF6C"/>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6F56EEA"/>
    <w:multiLevelType w:val="multilevel"/>
    <w:tmpl w:val="D10661C0"/>
    <w:lvl w:ilvl="0">
      <w:start w:val="1"/>
      <w:numFmt w:val="decimal"/>
      <w:lvlText w:val="%1."/>
      <w:lvlJc w:val="left"/>
      <w:pPr>
        <w:tabs>
          <w:tab w:val="num" w:pos="0"/>
        </w:tabs>
        <w:ind w:left="535" w:hanging="360"/>
      </w:pPr>
    </w:lvl>
    <w:lvl w:ilvl="1">
      <w:start w:val="1"/>
      <w:numFmt w:val="lowerLetter"/>
      <w:lvlText w:val="%2."/>
      <w:lvlJc w:val="left"/>
      <w:pPr>
        <w:tabs>
          <w:tab w:val="num" w:pos="0"/>
        </w:tabs>
        <w:ind w:left="1255" w:hanging="360"/>
      </w:pPr>
    </w:lvl>
    <w:lvl w:ilvl="2">
      <w:start w:val="1"/>
      <w:numFmt w:val="lowerRoman"/>
      <w:lvlText w:val="%3."/>
      <w:lvlJc w:val="right"/>
      <w:pPr>
        <w:tabs>
          <w:tab w:val="num" w:pos="0"/>
        </w:tabs>
        <w:ind w:left="1975" w:hanging="180"/>
      </w:pPr>
    </w:lvl>
    <w:lvl w:ilvl="3">
      <w:start w:val="1"/>
      <w:numFmt w:val="decimal"/>
      <w:lvlText w:val="%4."/>
      <w:lvlJc w:val="left"/>
      <w:pPr>
        <w:tabs>
          <w:tab w:val="num" w:pos="0"/>
        </w:tabs>
        <w:ind w:left="2695" w:hanging="360"/>
      </w:pPr>
    </w:lvl>
    <w:lvl w:ilvl="4">
      <w:start w:val="1"/>
      <w:numFmt w:val="lowerLetter"/>
      <w:lvlText w:val="%5."/>
      <w:lvlJc w:val="left"/>
      <w:pPr>
        <w:tabs>
          <w:tab w:val="num" w:pos="0"/>
        </w:tabs>
        <w:ind w:left="3415" w:hanging="360"/>
      </w:pPr>
    </w:lvl>
    <w:lvl w:ilvl="5">
      <w:start w:val="1"/>
      <w:numFmt w:val="lowerRoman"/>
      <w:lvlText w:val="%6."/>
      <w:lvlJc w:val="right"/>
      <w:pPr>
        <w:tabs>
          <w:tab w:val="num" w:pos="0"/>
        </w:tabs>
        <w:ind w:left="4135" w:hanging="180"/>
      </w:pPr>
    </w:lvl>
    <w:lvl w:ilvl="6">
      <w:start w:val="1"/>
      <w:numFmt w:val="decimal"/>
      <w:lvlText w:val="%7."/>
      <w:lvlJc w:val="left"/>
      <w:pPr>
        <w:tabs>
          <w:tab w:val="num" w:pos="0"/>
        </w:tabs>
        <w:ind w:left="4855" w:hanging="360"/>
      </w:pPr>
    </w:lvl>
    <w:lvl w:ilvl="7">
      <w:start w:val="1"/>
      <w:numFmt w:val="lowerLetter"/>
      <w:lvlText w:val="%8."/>
      <w:lvlJc w:val="left"/>
      <w:pPr>
        <w:tabs>
          <w:tab w:val="num" w:pos="0"/>
        </w:tabs>
        <w:ind w:left="5575" w:hanging="360"/>
      </w:pPr>
    </w:lvl>
    <w:lvl w:ilvl="8">
      <w:start w:val="1"/>
      <w:numFmt w:val="lowerRoman"/>
      <w:lvlText w:val="%9."/>
      <w:lvlJc w:val="right"/>
      <w:pPr>
        <w:tabs>
          <w:tab w:val="num" w:pos="0"/>
        </w:tabs>
        <w:ind w:left="6295" w:hanging="180"/>
      </w:pPr>
    </w:lvl>
  </w:abstractNum>
  <w:abstractNum w:abstractNumId="2" w15:restartNumberingAfterBreak="0">
    <w:nsid w:val="551B4154"/>
    <w:multiLevelType w:val="multilevel"/>
    <w:tmpl w:val="F3C46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bullet"/>
      <w:lvlText w:val="-"/>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13D7827"/>
    <w:multiLevelType w:val="multilevel"/>
    <w:tmpl w:val="935EF308"/>
    <w:lvl w:ilvl="0">
      <w:start w:val="1"/>
      <w:numFmt w:val="bullet"/>
      <w:lvlText w:val=""/>
      <w:lvlJc w:val="left"/>
      <w:pPr>
        <w:tabs>
          <w:tab w:val="num" w:pos="0"/>
        </w:tabs>
        <w:ind w:left="763" w:hanging="360"/>
      </w:pPr>
      <w:rPr>
        <w:rFonts w:ascii="Symbol" w:hAnsi="Symbol" w:cs="Symbol" w:hint="default"/>
      </w:rPr>
    </w:lvl>
    <w:lvl w:ilvl="1">
      <w:start w:val="1"/>
      <w:numFmt w:val="bullet"/>
      <w:lvlText w:val="o"/>
      <w:lvlJc w:val="left"/>
      <w:pPr>
        <w:tabs>
          <w:tab w:val="num" w:pos="0"/>
        </w:tabs>
        <w:ind w:left="1483" w:hanging="360"/>
      </w:pPr>
      <w:rPr>
        <w:rFonts w:ascii="Courier New" w:hAnsi="Courier New" w:cs="Courier New" w:hint="default"/>
      </w:rPr>
    </w:lvl>
    <w:lvl w:ilvl="2">
      <w:start w:val="1"/>
      <w:numFmt w:val="bullet"/>
      <w:lvlText w:val=""/>
      <w:lvlJc w:val="left"/>
      <w:pPr>
        <w:tabs>
          <w:tab w:val="num" w:pos="0"/>
        </w:tabs>
        <w:ind w:left="2203" w:hanging="360"/>
      </w:pPr>
      <w:rPr>
        <w:rFonts w:ascii="Wingdings" w:hAnsi="Wingdings" w:cs="Wingdings" w:hint="default"/>
      </w:rPr>
    </w:lvl>
    <w:lvl w:ilvl="3">
      <w:start w:val="1"/>
      <w:numFmt w:val="bullet"/>
      <w:lvlText w:val=""/>
      <w:lvlJc w:val="left"/>
      <w:pPr>
        <w:tabs>
          <w:tab w:val="num" w:pos="0"/>
        </w:tabs>
        <w:ind w:left="2923" w:hanging="360"/>
      </w:pPr>
      <w:rPr>
        <w:rFonts w:ascii="Symbol" w:hAnsi="Symbol" w:cs="Symbol" w:hint="default"/>
      </w:rPr>
    </w:lvl>
    <w:lvl w:ilvl="4">
      <w:start w:val="1"/>
      <w:numFmt w:val="bullet"/>
      <w:lvlText w:val="o"/>
      <w:lvlJc w:val="left"/>
      <w:pPr>
        <w:tabs>
          <w:tab w:val="num" w:pos="0"/>
        </w:tabs>
        <w:ind w:left="3643" w:hanging="360"/>
      </w:pPr>
      <w:rPr>
        <w:rFonts w:ascii="Courier New" w:hAnsi="Courier New" w:cs="Courier New" w:hint="default"/>
      </w:rPr>
    </w:lvl>
    <w:lvl w:ilvl="5">
      <w:start w:val="1"/>
      <w:numFmt w:val="bullet"/>
      <w:lvlText w:val=""/>
      <w:lvlJc w:val="left"/>
      <w:pPr>
        <w:tabs>
          <w:tab w:val="num" w:pos="0"/>
        </w:tabs>
        <w:ind w:left="4363" w:hanging="360"/>
      </w:pPr>
      <w:rPr>
        <w:rFonts w:ascii="Wingdings" w:hAnsi="Wingdings" w:cs="Wingdings" w:hint="default"/>
      </w:rPr>
    </w:lvl>
    <w:lvl w:ilvl="6">
      <w:start w:val="1"/>
      <w:numFmt w:val="bullet"/>
      <w:lvlText w:val=""/>
      <w:lvlJc w:val="left"/>
      <w:pPr>
        <w:tabs>
          <w:tab w:val="num" w:pos="0"/>
        </w:tabs>
        <w:ind w:left="5083" w:hanging="360"/>
      </w:pPr>
      <w:rPr>
        <w:rFonts w:ascii="Symbol" w:hAnsi="Symbol" w:cs="Symbol" w:hint="default"/>
      </w:rPr>
    </w:lvl>
    <w:lvl w:ilvl="7">
      <w:start w:val="1"/>
      <w:numFmt w:val="bullet"/>
      <w:lvlText w:val="o"/>
      <w:lvlJc w:val="left"/>
      <w:pPr>
        <w:tabs>
          <w:tab w:val="num" w:pos="0"/>
        </w:tabs>
        <w:ind w:left="5803" w:hanging="360"/>
      </w:pPr>
      <w:rPr>
        <w:rFonts w:ascii="Courier New" w:hAnsi="Courier New" w:cs="Courier New" w:hint="default"/>
      </w:rPr>
    </w:lvl>
    <w:lvl w:ilvl="8">
      <w:start w:val="1"/>
      <w:numFmt w:val="bullet"/>
      <w:lvlText w:val=""/>
      <w:lvlJc w:val="left"/>
      <w:pPr>
        <w:tabs>
          <w:tab w:val="num" w:pos="0"/>
        </w:tabs>
        <w:ind w:left="6523" w:hanging="360"/>
      </w:pPr>
      <w:rPr>
        <w:rFonts w:ascii="Wingdings" w:hAnsi="Wingdings" w:cs="Wingdings" w:hint="default"/>
      </w:rPr>
    </w:lvl>
  </w:abstractNum>
  <w:abstractNum w:abstractNumId="4" w15:restartNumberingAfterBreak="0">
    <w:nsid w:val="79E47CC5"/>
    <w:multiLevelType w:val="multilevel"/>
    <w:tmpl w:val="E4423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1498299">
    <w:abstractNumId w:val="1"/>
  </w:num>
  <w:num w:numId="2" w16cid:durableId="1471628130">
    <w:abstractNumId w:val="2"/>
  </w:num>
  <w:num w:numId="3" w16cid:durableId="1678579413">
    <w:abstractNumId w:val="0"/>
  </w:num>
  <w:num w:numId="4" w16cid:durableId="911550404">
    <w:abstractNumId w:val="3"/>
  </w:num>
  <w:num w:numId="5" w16cid:durableId="419369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EA1"/>
    <w:rsid w:val="001B2B2A"/>
    <w:rsid w:val="00203EA1"/>
    <w:rsid w:val="004957A8"/>
    <w:rsid w:val="005C4C0C"/>
    <w:rsid w:val="006C04BA"/>
    <w:rsid w:val="00826852"/>
    <w:rsid w:val="00DA3D05"/>
    <w:rsid w:val="00EB304B"/>
    <w:rsid w:val="00F565C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E6658"/>
  <w15:docId w15:val="{B9560B7E-0F3C-4725-9480-D3E38F69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035"/>
    <w:pPr>
      <w:spacing w:after="15" w:line="264" w:lineRule="auto"/>
      <w:ind w:left="5" w:right="38" w:hanging="5"/>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F13035"/>
    <w:pPr>
      <w:keepNext/>
      <w:keepLines/>
      <w:spacing w:line="259" w:lineRule="auto"/>
      <w:ind w:left="149"/>
      <w:jc w:val="center"/>
      <w:outlineLvl w:val="0"/>
    </w:pPr>
    <w:rPr>
      <w:rFonts w:ascii="Times New Roman" w:eastAsia="Times New Roman" w:hAnsi="Times New Roman" w:cs="Times New Roman"/>
      <w:b/>
      <w:color w:val="000000"/>
      <w:sz w:val="28"/>
      <w:lang w:eastAsia="pl-PL"/>
    </w:rPr>
  </w:style>
  <w:style w:type="paragraph" w:styleId="Nagwek2">
    <w:name w:val="heading 2"/>
    <w:basedOn w:val="Normalny"/>
    <w:next w:val="Normalny"/>
    <w:link w:val="Nagwek2Znak"/>
    <w:uiPriority w:val="9"/>
    <w:unhideWhenUsed/>
    <w:qFormat/>
    <w:rsid w:val="00F130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F13035"/>
    <w:rPr>
      <w:rFonts w:ascii="Times New Roman" w:eastAsia="Times New Roman" w:hAnsi="Times New Roman" w:cs="Times New Roman"/>
      <w:b/>
      <w:color w:val="000000"/>
      <w:sz w:val="28"/>
      <w:lang w:eastAsia="pl-PL"/>
    </w:rPr>
  </w:style>
  <w:style w:type="character" w:customStyle="1" w:styleId="AkapitzlistZnak">
    <w:name w:val="Akapit z listą Znak"/>
    <w:link w:val="Akapitzlist"/>
    <w:uiPriority w:val="34"/>
    <w:qFormat/>
    <w:locked/>
    <w:rsid w:val="00F13035"/>
    <w:rPr>
      <w:rFonts w:ascii="Times New Roman" w:eastAsia="Times New Roman" w:hAnsi="Times New Roman" w:cs="Times New Roman"/>
      <w:color w:val="000000"/>
      <w:sz w:val="24"/>
      <w:lang w:eastAsia="pl-PL"/>
    </w:rPr>
  </w:style>
  <w:style w:type="character" w:customStyle="1" w:styleId="Nagwek2Znak">
    <w:name w:val="Nagłówek 2 Znak"/>
    <w:basedOn w:val="Domylnaczcionkaakapitu"/>
    <w:link w:val="Nagwek2"/>
    <w:uiPriority w:val="9"/>
    <w:semiHidden/>
    <w:qFormat/>
    <w:rsid w:val="00F13035"/>
    <w:rPr>
      <w:rFonts w:asciiTheme="majorHAnsi" w:eastAsiaTheme="majorEastAsia" w:hAnsiTheme="majorHAnsi" w:cstheme="majorBidi"/>
      <w:color w:val="2F5496" w:themeColor="accent1" w:themeShade="BF"/>
      <w:sz w:val="26"/>
      <w:szCs w:val="26"/>
      <w:lang w:eastAsia="pl-PL"/>
    </w:rPr>
  </w:style>
  <w:style w:type="character" w:customStyle="1" w:styleId="NagwekZnak">
    <w:name w:val="Nagłówek Znak"/>
    <w:basedOn w:val="Domylnaczcionkaakapitu"/>
    <w:link w:val="Nagwek"/>
    <w:uiPriority w:val="99"/>
    <w:qFormat/>
    <w:rsid w:val="002A3049"/>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2A3049"/>
    <w:rPr>
      <w:rFonts w:ascii="Times New Roman" w:eastAsia="Times New Roman" w:hAnsi="Times New Roman" w:cs="Times New Roman"/>
      <w:color w:val="000000"/>
      <w:sz w:val="24"/>
      <w:lang w:eastAsia="pl-PL"/>
    </w:rPr>
  </w:style>
  <w:style w:type="paragraph" w:styleId="Nagwek">
    <w:name w:val="header"/>
    <w:basedOn w:val="Normalny"/>
    <w:next w:val="Tekstpodstawowy"/>
    <w:link w:val="NagwekZnak"/>
    <w:uiPriority w:val="99"/>
    <w:unhideWhenUsed/>
    <w:rsid w:val="002A304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99"/>
    <w:qFormat/>
    <w:rsid w:val="00F13035"/>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A3049"/>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1524</Words>
  <Characters>9150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Karpiński</dc:creator>
  <dc:description/>
  <cp:lastModifiedBy>Monika Wróblewska</cp:lastModifiedBy>
  <cp:revision>11</cp:revision>
  <dcterms:created xsi:type="dcterms:W3CDTF">2022-08-04T09:13:00Z</dcterms:created>
  <dcterms:modified xsi:type="dcterms:W3CDTF">2022-10-03T10:54:00Z</dcterms:modified>
  <dc:language>pl-PL</dc:language>
</cp:coreProperties>
</file>