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0AAFB56"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1D3E21" w:rsidRPr="001D3E21">
        <w:rPr>
          <w:rFonts w:ascii="Open Sans" w:eastAsia="Times New Roman" w:hAnsi="Open Sans" w:cs="Open Sans"/>
          <w:i/>
          <w:iCs/>
          <w:color w:val="000000" w:themeColor="text1"/>
          <w:sz w:val="20"/>
          <w:szCs w:val="20"/>
          <w:lang w:eastAsia="pl-PL"/>
        </w:rPr>
        <w:t>Dostawa wraz z montażem taśm transportujących do przenośników instalacji do rozdziału strumienia odpadów do Regionalnego Zakładu Odzysku Odpadów w Sianowie</w:t>
      </w:r>
      <w:r w:rsidR="00E71C84" w:rsidRPr="00E71C84">
        <w:rPr>
          <w:rFonts w:ascii="Open Sans" w:eastAsia="Times New Roman" w:hAnsi="Open Sans" w:cs="Open Sans"/>
          <w:i/>
          <w:iCs/>
          <w:color w:val="000000" w:themeColor="text1"/>
          <w:sz w:val="20"/>
          <w:szCs w:val="20"/>
          <w:lang w:eastAsia="pl-PL"/>
        </w:rPr>
        <w:t xml:space="preserve">. </w:t>
      </w:r>
      <w:r w:rsidR="00BC72E8" w:rsidRPr="00BC72E8">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25363A6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F929E7">
        <w:rPr>
          <w:rFonts w:ascii="Open Sans" w:eastAsia="Times New Roman" w:hAnsi="Open Sans" w:cs="Open Sans"/>
          <w:bCs/>
          <w:i/>
          <w:iCs/>
          <w:color w:val="000000"/>
          <w:sz w:val="18"/>
          <w:szCs w:val="18"/>
          <w:lang w:eastAsia="pl-PL"/>
        </w:rPr>
        <w:t>20</w:t>
      </w:r>
      <w:r w:rsidR="00A77362">
        <w:rPr>
          <w:rFonts w:ascii="Open Sans" w:eastAsia="Times New Roman" w:hAnsi="Open Sans" w:cs="Open Sans"/>
          <w:bCs/>
          <w:i/>
          <w:iCs/>
          <w:color w:val="000000"/>
          <w:sz w:val="18"/>
          <w:szCs w:val="18"/>
          <w:lang w:eastAsia="pl-PL"/>
        </w:rPr>
        <w:t>.10.</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6817BE7C"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DD6E05" w:rsidRPr="00DD6E05">
        <w:rPr>
          <w:rFonts w:ascii="Open Sans" w:eastAsia="Times New Roman" w:hAnsi="Open Sans" w:cs="Open Sans"/>
          <w:i/>
          <w:iCs/>
          <w:color w:val="000000" w:themeColor="text1"/>
          <w:sz w:val="16"/>
          <w:szCs w:val="16"/>
          <w:lang w:eastAsia="pl-PL"/>
        </w:rPr>
        <w:t>2023/BZP 00457483/01</w:t>
      </w:r>
    </w:p>
    <w:p w14:paraId="03B96535" w14:textId="1583774B"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301EA">
        <w:rPr>
          <w:rFonts w:ascii="Open Sans" w:eastAsia="Times New Roman" w:hAnsi="Open Sans" w:cs="Open Sans"/>
          <w:i/>
          <w:iCs/>
          <w:color w:val="000000" w:themeColor="text1"/>
          <w:sz w:val="16"/>
          <w:szCs w:val="16"/>
          <w:lang w:eastAsia="pl-PL"/>
        </w:rPr>
        <w:t>4</w:t>
      </w:r>
      <w:r w:rsidR="00796AB4">
        <w:rPr>
          <w:rFonts w:ascii="Open Sans" w:eastAsia="Times New Roman" w:hAnsi="Open Sans" w:cs="Open Sans"/>
          <w:i/>
          <w:iCs/>
          <w:color w:val="000000" w:themeColor="text1"/>
          <w:sz w:val="16"/>
          <w:szCs w:val="16"/>
          <w:lang w:eastAsia="pl-PL"/>
        </w:rPr>
        <w:t>7</w:t>
      </w:r>
      <w:r w:rsidRPr="004928A0">
        <w:rPr>
          <w:rFonts w:ascii="Open Sans" w:eastAsia="Times New Roman" w:hAnsi="Open Sans" w:cs="Open Sans"/>
          <w:i/>
          <w:iCs/>
          <w:color w:val="000000" w:themeColor="text1"/>
          <w:sz w:val="16"/>
          <w:szCs w:val="16"/>
          <w:lang w:eastAsia="pl-PL"/>
        </w:rPr>
        <w:t>/AP/2023</w:t>
      </w:r>
    </w:p>
    <w:bookmarkEnd w:id="12"/>
    <w:p w14:paraId="0167B88B" w14:textId="7B51A5F1"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BC78DE" w:rsidRPr="00BC78DE">
        <w:rPr>
          <w:rFonts w:ascii="Open Sans" w:eastAsia="Times New Roman" w:hAnsi="Open Sans" w:cs="Open Sans"/>
          <w:i/>
          <w:iCs/>
          <w:color w:val="000000" w:themeColor="text1"/>
          <w:sz w:val="16"/>
          <w:szCs w:val="16"/>
          <w:lang w:eastAsia="pl-PL"/>
        </w:rPr>
        <w:t>ocds-148610-01b2d194-71cb-11ee-a60c-9ec5599dddc1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2765D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796AB4" w:rsidRDefault="005D02DE" w:rsidP="005D02DE">
      <w:pPr>
        <w:spacing w:after="0" w:line="360" w:lineRule="auto"/>
        <w:ind w:right="-2"/>
        <w:jc w:val="both"/>
        <w:rPr>
          <w:rFonts w:ascii="Open Sans" w:eastAsia="Times New Roman" w:hAnsi="Open Sans" w:cs="Open Sans"/>
          <w:i/>
          <w:iCs/>
          <w:color w:val="000000" w:themeColor="text1"/>
          <w:sz w:val="20"/>
          <w:szCs w:val="20"/>
          <w:lang w:eastAsia="pl-PL"/>
        </w:rPr>
      </w:pPr>
      <w:r w:rsidRPr="00796AB4">
        <w:rPr>
          <w:rFonts w:ascii="Open Sans" w:eastAsia="Times New Roman" w:hAnsi="Open Sans" w:cs="Open Sans"/>
          <w:i/>
          <w:iCs/>
          <w:color w:val="000000" w:themeColor="text1"/>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2368B2F9"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color w:val="0D0D0D" w:themeColor="text1" w:themeTint="F2"/>
          <w:sz w:val="21"/>
          <w:szCs w:val="21"/>
          <w:lang w:eastAsia="pl-PL"/>
        </w:rPr>
        <w:lastRenderedPageBreak/>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 xml:space="preserve">(Dz. U. z 2023 r. poz. 641 </w:t>
      </w:r>
      <w:r w:rsidR="00BE505D" w:rsidRPr="00124484">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212FB6CD" w:rsidR="00B93151" w:rsidRPr="00124484" w:rsidRDefault="004F0127" w:rsidP="00CD38AC">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0" w:name="_Hlk76494993"/>
      <w:r w:rsidR="00C35D69" w:rsidRPr="00124484">
        <w:rPr>
          <w:rFonts w:ascii="Open Sans" w:eastAsia="Times New Roman" w:hAnsi="Open Sans" w:cs="Open Sans"/>
          <w:i/>
          <w:iCs/>
          <w:color w:val="000000" w:themeColor="text1"/>
          <w:sz w:val="21"/>
          <w:szCs w:val="21"/>
          <w:u w:val="single"/>
          <w:lang w:eastAsia="pl-PL"/>
        </w:rPr>
        <w:t>„</w:t>
      </w:r>
      <w:r w:rsidR="00CC4091" w:rsidRPr="00CC4091">
        <w:rPr>
          <w:rFonts w:ascii="Open Sans" w:eastAsia="Times New Roman" w:hAnsi="Open Sans" w:cs="Open Sans"/>
          <w:i/>
          <w:iCs/>
          <w:color w:val="000000" w:themeColor="text1"/>
          <w:sz w:val="21"/>
          <w:szCs w:val="21"/>
          <w:u w:val="single"/>
          <w:lang w:eastAsia="pl-PL"/>
        </w:rPr>
        <w:t>Dostawa wraz z montażem taśm transportujących do przenośników instalacji do rozdziału strumienia odpadów do Regionalnego Zakładu Odzysku Odpadów w Sianowie</w:t>
      </w:r>
      <w:r w:rsidR="00FD6FAB" w:rsidRPr="00124484">
        <w:rPr>
          <w:rFonts w:ascii="Open Sans" w:eastAsia="Times New Roman" w:hAnsi="Open Sans" w:cs="Open Sans"/>
          <w:i/>
          <w:iCs/>
          <w:color w:val="000000" w:themeColor="text1"/>
          <w:sz w:val="21"/>
          <w:szCs w:val="21"/>
          <w:u w:val="single"/>
          <w:lang w:eastAsia="pl-PL"/>
        </w:rPr>
        <w:t>.</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097F5A23"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CC4091">
        <w:rPr>
          <w:rFonts w:ascii="Open Sans" w:eastAsia="Times New Roman" w:hAnsi="Open Sans" w:cs="Open Sans"/>
          <w:i/>
          <w:iCs/>
          <w:color w:val="000000" w:themeColor="text1"/>
          <w:sz w:val="21"/>
          <w:szCs w:val="21"/>
          <w:lang w:eastAsia="pl-PL"/>
        </w:rPr>
        <w:t>39563520-7</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3E8E20" w:rsidR="002070B6" w:rsidRPr="00C870B8" w:rsidRDefault="0064740B" w:rsidP="00F4693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0319C0" w:rsidRPr="00C870B8">
        <w:rPr>
          <w:rFonts w:ascii="Open Sans" w:eastAsia="Times New Roman" w:hAnsi="Open Sans" w:cs="Open Sans"/>
          <w:i/>
          <w:iCs/>
          <w:color w:val="000000" w:themeColor="text1"/>
          <w:sz w:val="21"/>
          <w:szCs w:val="21"/>
          <w:lang w:eastAsia="pl-PL"/>
        </w:rPr>
        <w:t>Regionalny Zakład Odzysku Odpadów w Sianowie</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2F050A99"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BC49F0">
        <w:rPr>
          <w:rFonts w:ascii="Open Sans" w:eastAsia="Times New Roman" w:hAnsi="Open Sans" w:cs="Open Sans"/>
          <w:i/>
          <w:iCs/>
          <w:sz w:val="21"/>
          <w:szCs w:val="21"/>
          <w:lang w:eastAsia="pl-PL"/>
        </w:rPr>
        <w:t xml:space="preserve">Usługa </w:t>
      </w:r>
      <w:r w:rsidR="00F16E4C" w:rsidRPr="00C870B8">
        <w:rPr>
          <w:rFonts w:ascii="Open Sans" w:eastAsia="Times New Roman" w:hAnsi="Open Sans" w:cs="Open Sans"/>
          <w:i/>
          <w:iCs/>
          <w:sz w:val="21"/>
          <w:szCs w:val="21"/>
          <w:lang w:eastAsia="pl-PL"/>
        </w:rPr>
        <w:t xml:space="preserve">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3179C767"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F4693A" w:rsidRPr="00C870B8">
        <w:rPr>
          <w:rFonts w:ascii="Open Sans" w:hAnsi="Open Sans" w:cs="Open Sans"/>
          <w:i/>
          <w:iCs/>
          <w:sz w:val="21"/>
          <w:szCs w:val="21"/>
          <w:u w:val="single"/>
        </w:rPr>
        <w:t xml:space="preserve">Szczegółowym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7F3D16AD"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CC6CD6" w:rsidRPr="00CC6CD6">
        <w:rPr>
          <w:i/>
          <w:iCs/>
        </w:rPr>
        <w:t xml:space="preserve">do 30 dni od dnia podpisania umowy, ale nie później </w:t>
      </w:r>
      <w:r w:rsidR="000F0A43">
        <w:rPr>
          <w:i/>
          <w:iCs/>
        </w:rPr>
        <w:br/>
      </w:r>
      <w:r w:rsidR="00CC6CD6" w:rsidRPr="00CC6CD6">
        <w:rPr>
          <w:i/>
          <w:iCs/>
        </w:rPr>
        <w:t>niż 31.12.2023 r.</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5FD985FA" w14:textId="77777777" w:rsidR="008B468E" w:rsidRDefault="008B468E" w:rsidP="001C7565">
      <w:pPr>
        <w:spacing w:after="0" w:line="276" w:lineRule="auto"/>
        <w:jc w:val="both"/>
        <w:rPr>
          <w:rFonts w:ascii="Open Sans" w:eastAsia="Times New Roman" w:hAnsi="Open Sans" w:cs="Open Sans"/>
          <w:i/>
          <w:iCs/>
          <w:sz w:val="20"/>
          <w:szCs w:val="20"/>
          <w:lang w:eastAsia="pl-PL"/>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1" w:name="_Hlk70503464"/>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5A73C32" w:rsidR="0064740B" w:rsidRPr="001C190C" w:rsidRDefault="00E8578D" w:rsidP="0064740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0064740B"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0064740B" w:rsidRPr="001C190C">
        <w:rPr>
          <w:rFonts w:ascii="Open Sans" w:eastAsia="Times New Roman" w:hAnsi="Open Sans" w:cs="Open Sans"/>
          <w:i/>
          <w:iCs/>
          <w:color w:val="000000"/>
          <w:sz w:val="20"/>
          <w:szCs w:val="20"/>
          <w:u w:val="single"/>
          <w:lang w:eastAsia="pl-PL"/>
        </w:rPr>
        <w:t>podmiotowych środków dowodowych</w:t>
      </w:r>
      <w:r w:rsidR="0064740B"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4EACFF1D"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E2546CE" w14:textId="77777777" w:rsidR="00E8578D" w:rsidRDefault="00E8578D" w:rsidP="008A0C7E">
      <w:pPr>
        <w:spacing w:after="0" w:line="276" w:lineRule="auto"/>
        <w:ind w:left="360"/>
        <w:jc w:val="both"/>
        <w:rPr>
          <w:rFonts w:ascii="Open Sans" w:eastAsia="Times New Roman" w:hAnsi="Open Sans" w:cs="Open Sans"/>
          <w:i/>
          <w:iCs/>
          <w:color w:val="000000"/>
          <w:sz w:val="20"/>
          <w:szCs w:val="20"/>
          <w:lang w:eastAsia="pl-PL"/>
        </w:rPr>
      </w:pPr>
    </w:p>
    <w:p w14:paraId="73F1C7E7" w14:textId="4AC8408C" w:rsidR="009A36B6" w:rsidRPr="00E8578D" w:rsidRDefault="00E8578D"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845592">
        <w:rPr>
          <w:rFonts w:ascii="Open Sans" w:eastAsia="Times New Roman" w:hAnsi="Open Sans" w:cs="Open Sans"/>
          <w:i/>
          <w:iCs/>
          <w:color w:val="000000" w:themeColor="text1"/>
          <w:sz w:val="20"/>
          <w:szCs w:val="20"/>
          <w:u w:val="single"/>
          <w:lang w:eastAsia="pl-PL"/>
        </w:rPr>
        <w:t>8.B.</w:t>
      </w:r>
      <w:r w:rsidR="009A36B6" w:rsidRPr="00845592">
        <w:rPr>
          <w:rFonts w:ascii="Open Sans" w:eastAsia="Times New Roman" w:hAnsi="Open Sans" w:cs="Open Sans"/>
          <w:i/>
          <w:iCs/>
          <w:color w:val="000000" w:themeColor="text1"/>
          <w:sz w:val="20"/>
          <w:szCs w:val="20"/>
          <w:u w:val="single"/>
          <w:lang w:eastAsia="pl-PL"/>
        </w:rPr>
        <w:t xml:space="preserve"> Dokumenty przedmiotowe</w:t>
      </w:r>
      <w:r w:rsidR="009A36B6" w:rsidRPr="00E8578D">
        <w:rPr>
          <w:rFonts w:ascii="Open Sans" w:eastAsia="Times New Roman" w:hAnsi="Open Sans" w:cs="Open Sans"/>
          <w:i/>
          <w:iCs/>
          <w:color w:val="000000" w:themeColor="text1"/>
          <w:sz w:val="20"/>
          <w:szCs w:val="20"/>
          <w:lang w:eastAsia="pl-PL"/>
        </w:rPr>
        <w:t xml:space="preserve"> jakie Wykonawcy zobowiązani są dołączyć w celu potwierdzenia zgodności oferowanych dostaw z wymaganiami związanymi z realizacją zamówienia :</w:t>
      </w:r>
    </w:p>
    <w:p w14:paraId="1D8EEDEB" w14:textId="77777777" w:rsidR="009A36B6" w:rsidRPr="00E8578D"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E8578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0F4A13BC" w14:textId="0F20DD83" w:rsidR="009A36B6" w:rsidRPr="00E8578D"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E8578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7320E1" w:rsidRPr="00E8578D">
        <w:rPr>
          <w:rFonts w:ascii="Open Sans" w:eastAsia="Times New Roman" w:hAnsi="Open Sans" w:cs="Open Sans"/>
          <w:i/>
          <w:iCs/>
          <w:color w:val="000000" w:themeColor="text1"/>
          <w:sz w:val="20"/>
          <w:szCs w:val="20"/>
          <w:lang w:eastAsia="pl-PL"/>
        </w:rPr>
        <w:t xml:space="preserve">Dostawa wraz z montażem taśm transportujących do przenośników instalacji do rozdziału strumienia odpadów do RZOO  w Sianowie. ” </w:t>
      </w:r>
      <w:r w:rsidRPr="00E8578D">
        <w:rPr>
          <w:rFonts w:ascii="Open Sans" w:eastAsia="Times New Roman" w:hAnsi="Open Sans" w:cs="Open Sans"/>
          <w:i/>
          <w:iCs/>
          <w:color w:val="000000" w:themeColor="text1"/>
          <w:sz w:val="20"/>
          <w:szCs w:val="20"/>
          <w:lang w:eastAsia="pl-PL"/>
        </w:rPr>
        <w:t xml:space="preserve">  ). </w:t>
      </w:r>
    </w:p>
    <w:p w14:paraId="27E3D217" w14:textId="0FC98018" w:rsidR="009A36B6" w:rsidRPr="00E8578D"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E8578D">
        <w:rPr>
          <w:rFonts w:ascii="Open Sans" w:eastAsia="Times New Roman" w:hAnsi="Open Sans" w:cs="Open Sans"/>
          <w:i/>
          <w:iCs/>
          <w:color w:val="000000" w:themeColor="text1"/>
          <w:sz w:val="20"/>
          <w:szCs w:val="20"/>
          <w:lang w:eastAsia="pl-PL"/>
        </w:rPr>
        <w:t xml:space="preserve">Wykonawca wraz z „Formularzem ofertowym” przedłoży wypełniony załącznik nr 1 – „Informacja </w:t>
      </w:r>
      <w:r w:rsidR="00E8578D" w:rsidRPr="00E8578D">
        <w:rPr>
          <w:rFonts w:ascii="Open Sans" w:eastAsia="Times New Roman" w:hAnsi="Open Sans" w:cs="Open Sans"/>
          <w:i/>
          <w:iCs/>
          <w:color w:val="000000" w:themeColor="text1"/>
          <w:sz w:val="20"/>
          <w:szCs w:val="20"/>
          <w:lang w:eastAsia="pl-PL"/>
        </w:rPr>
        <w:br/>
      </w:r>
      <w:r w:rsidRPr="00E8578D">
        <w:rPr>
          <w:rFonts w:ascii="Open Sans" w:eastAsia="Times New Roman" w:hAnsi="Open Sans" w:cs="Open Sans"/>
          <w:i/>
          <w:iCs/>
          <w:color w:val="000000" w:themeColor="text1"/>
          <w:sz w:val="20"/>
          <w:szCs w:val="20"/>
          <w:lang w:eastAsia="pl-PL"/>
        </w:rPr>
        <w:t>o oferowanym produkcie”.</w:t>
      </w:r>
    </w:p>
    <w:p w14:paraId="69FF7812" w14:textId="77777777" w:rsidR="009A36B6" w:rsidRPr="00E8578D"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E8578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64A0208" w14:textId="77777777" w:rsidR="00A25284" w:rsidRPr="0090600F"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90600F">
        <w:rPr>
          <w:rFonts w:ascii="Open Sans" w:eastAsia="Times New Roman" w:hAnsi="Open Sans" w:cs="Open Sans"/>
          <w:i/>
          <w:iCs/>
          <w:color w:val="000000" w:themeColor="text1"/>
          <w:sz w:val="20"/>
          <w:szCs w:val="20"/>
          <w:lang w:eastAsia="pl-PL"/>
        </w:rPr>
        <w:t xml:space="preserve">12.3.Ofertę składa się na Formularzu Ofertowym -  Rozdział IV SWZ wraz z załącznikiem nr 1 </w:t>
      </w:r>
      <w:r w:rsidRPr="0090600F">
        <w:rPr>
          <w:rFonts w:ascii="Open Sans" w:eastAsia="Times New Roman" w:hAnsi="Open Sans" w:cs="Open Sans"/>
          <w:i/>
          <w:iCs/>
          <w:color w:val="000000" w:themeColor="text1"/>
          <w:sz w:val="20"/>
          <w:szCs w:val="20"/>
          <w:lang w:eastAsia="pl-PL"/>
        </w:rPr>
        <w:br/>
        <w:t>do formularza ofertowego „Informacja o oferowanym produkcie”.</w:t>
      </w:r>
    </w:p>
    <w:p w14:paraId="14DAAE9A" w14:textId="103CE29F" w:rsidR="0064740B"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A25284">
        <w:rPr>
          <w:rFonts w:ascii="Open Sans" w:eastAsia="Times New Roman" w:hAnsi="Open Sans" w:cs="Open Sans"/>
          <w:i/>
          <w:iCs/>
          <w:color w:val="000000"/>
          <w:sz w:val="20"/>
          <w:szCs w:val="20"/>
          <w:u w:val="single"/>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48DA7AA" w14:textId="77777777" w:rsidR="00B73B32" w:rsidRDefault="00B73B32" w:rsidP="00B73B32">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przewiduje wniesienia wadium.</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071A8DFE"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B73B32">
        <w:rPr>
          <w:rFonts w:ascii="Open Sans" w:eastAsia="Times New Roman" w:hAnsi="Open Sans" w:cs="Open Sans"/>
          <w:i/>
          <w:iCs/>
          <w:color w:val="000000"/>
          <w:sz w:val="20"/>
          <w:szCs w:val="20"/>
          <w:lang w:eastAsia="pl-PL"/>
        </w:rPr>
        <w:t>2</w:t>
      </w:r>
      <w:r w:rsidR="003C1580">
        <w:rPr>
          <w:rFonts w:ascii="Open Sans" w:eastAsia="Times New Roman" w:hAnsi="Open Sans" w:cs="Open Sans"/>
          <w:i/>
          <w:iCs/>
          <w:color w:val="000000"/>
          <w:sz w:val="20"/>
          <w:szCs w:val="20"/>
          <w:lang w:eastAsia="pl-PL"/>
        </w:rPr>
        <w:t>9</w:t>
      </w:r>
      <w:r w:rsidR="00D32826">
        <w:rPr>
          <w:rFonts w:ascii="Open Sans" w:eastAsia="Times New Roman" w:hAnsi="Open Sans" w:cs="Open Sans"/>
          <w:i/>
          <w:iCs/>
          <w:color w:val="000000"/>
          <w:sz w:val="20"/>
          <w:szCs w:val="20"/>
          <w:lang w:eastAsia="pl-PL"/>
        </w:rPr>
        <w:t xml:space="preserve">.11.2023 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16380CAC"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EE12A7">
        <w:rPr>
          <w:rFonts w:ascii="Open Sans" w:eastAsia="Times New Roman" w:hAnsi="Open Sans" w:cs="Open Sans"/>
          <w:i/>
          <w:iCs/>
          <w:color w:val="0D0D0D" w:themeColor="text1" w:themeTint="F2"/>
          <w:sz w:val="20"/>
          <w:szCs w:val="20"/>
          <w:lang w:eastAsia="pl-PL"/>
        </w:rPr>
        <w:t>3</w:t>
      </w:r>
      <w:r w:rsidR="00930A3B">
        <w:rPr>
          <w:rFonts w:ascii="Open Sans" w:eastAsia="Times New Roman" w:hAnsi="Open Sans" w:cs="Open Sans"/>
          <w:i/>
          <w:iCs/>
          <w:color w:val="0D0D0D" w:themeColor="text1" w:themeTint="F2"/>
          <w:sz w:val="20"/>
          <w:szCs w:val="20"/>
          <w:lang w:eastAsia="pl-PL"/>
        </w:rPr>
        <w:t>1</w:t>
      </w:r>
      <w:r w:rsidR="00EE12A7">
        <w:rPr>
          <w:rFonts w:ascii="Open Sans" w:eastAsia="Times New Roman" w:hAnsi="Open Sans" w:cs="Open Sans"/>
          <w:i/>
          <w:iCs/>
          <w:color w:val="0D0D0D" w:themeColor="text1" w:themeTint="F2"/>
          <w:sz w:val="20"/>
          <w:szCs w:val="20"/>
          <w:lang w:eastAsia="pl-PL"/>
        </w:rPr>
        <w:t>.10</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930A3B">
        <w:rPr>
          <w:rFonts w:ascii="Open Sans" w:eastAsia="Times New Roman" w:hAnsi="Open Sans" w:cs="Open Sans"/>
          <w:i/>
          <w:iCs/>
          <w:color w:val="0D0D0D" w:themeColor="text1" w:themeTint="F2"/>
          <w:sz w:val="20"/>
          <w:szCs w:val="20"/>
          <w:lang w:eastAsia="pl-PL"/>
        </w:rPr>
        <w:t>09</w:t>
      </w:r>
      <w:r w:rsidR="00BD4BD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049CEED4"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EE12A7">
        <w:rPr>
          <w:rFonts w:ascii="Open Sans" w:eastAsia="Times New Roman" w:hAnsi="Open Sans" w:cs="Open Sans"/>
          <w:i/>
          <w:iCs/>
          <w:color w:val="0D0D0D" w:themeColor="text1" w:themeTint="F2"/>
          <w:sz w:val="20"/>
          <w:szCs w:val="20"/>
          <w:lang w:eastAsia="pl-PL"/>
        </w:rPr>
        <w:t>3</w:t>
      </w:r>
      <w:r w:rsidR="00930A3B">
        <w:rPr>
          <w:rFonts w:ascii="Open Sans" w:eastAsia="Times New Roman" w:hAnsi="Open Sans" w:cs="Open Sans"/>
          <w:i/>
          <w:iCs/>
          <w:color w:val="0D0D0D" w:themeColor="text1" w:themeTint="F2"/>
          <w:sz w:val="20"/>
          <w:szCs w:val="20"/>
          <w:lang w:eastAsia="pl-PL"/>
        </w:rPr>
        <w:t>1</w:t>
      </w:r>
      <w:r w:rsidR="00486D79">
        <w:rPr>
          <w:rFonts w:ascii="Open Sans" w:eastAsia="Times New Roman" w:hAnsi="Open Sans" w:cs="Open Sans"/>
          <w:i/>
          <w:iCs/>
          <w:color w:val="0D0D0D" w:themeColor="text1" w:themeTint="F2"/>
          <w:sz w:val="20"/>
          <w:szCs w:val="20"/>
          <w:lang w:eastAsia="pl-PL"/>
        </w:rPr>
        <w:t xml:space="preserve">.10.2023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930A3B">
        <w:rPr>
          <w:rFonts w:ascii="Open Sans" w:eastAsia="Times New Roman" w:hAnsi="Open Sans" w:cs="Open Sans"/>
          <w:i/>
          <w:iCs/>
          <w:color w:val="0D0D0D" w:themeColor="text1" w:themeTint="F2"/>
          <w:sz w:val="20"/>
          <w:szCs w:val="20"/>
          <w:lang w:eastAsia="pl-PL"/>
        </w:rPr>
        <w:t>09</w:t>
      </w:r>
      <w:r w:rsidR="00BD4BD8">
        <w:rPr>
          <w:rFonts w:ascii="Open Sans" w:eastAsia="Times New Roman" w:hAnsi="Open Sans" w:cs="Open Sans"/>
          <w:i/>
          <w:iCs/>
          <w:color w:val="0D0D0D" w:themeColor="text1" w:themeTint="F2"/>
          <w:sz w:val="20"/>
          <w:szCs w:val="20"/>
          <w:lang w:eastAsia="pl-PL"/>
        </w:rPr>
        <w:t>:15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27F069E4" w14:textId="77777777" w:rsidR="00B41C65" w:rsidRDefault="00B41C65" w:rsidP="00B41C65">
      <w:pPr>
        <w:pStyle w:val="Akapitzlist"/>
        <w:numPr>
          <w:ilvl w:val="1"/>
          <w:numId w:val="44"/>
        </w:numPr>
        <w:ind w:left="567" w:hanging="426"/>
        <w:contextualSpacing/>
        <w:jc w:val="both"/>
        <w:rPr>
          <w:rFonts w:ascii="Open Sans" w:hAnsi="Open Sans" w:cs="Open Sans"/>
          <w:i/>
          <w:iCs/>
          <w:sz w:val="20"/>
          <w:szCs w:val="20"/>
        </w:rPr>
      </w:pPr>
      <w:r w:rsidRPr="00B41C65">
        <w:rPr>
          <w:rFonts w:ascii="Open Sans" w:hAnsi="Open Sans" w:cs="Open Sans"/>
          <w:i/>
          <w:iCs/>
          <w:sz w:val="20"/>
          <w:szCs w:val="20"/>
        </w:rPr>
        <w:t>Kryterium „Cena całego zamówienia” – waga 100 punktów.</w:t>
      </w:r>
    </w:p>
    <w:p w14:paraId="61C0E766" w14:textId="77777777" w:rsidR="00B41C65" w:rsidRPr="00B41C65" w:rsidRDefault="00B41C65" w:rsidP="00B41C65">
      <w:pPr>
        <w:pStyle w:val="Akapitzlist"/>
        <w:ind w:left="567"/>
        <w:contextualSpacing/>
        <w:jc w:val="both"/>
        <w:rPr>
          <w:rFonts w:ascii="Open Sans" w:hAnsi="Open Sans" w:cs="Open Sans"/>
          <w:i/>
          <w:iCs/>
          <w:sz w:val="20"/>
          <w:szCs w:val="20"/>
        </w:rPr>
      </w:pPr>
    </w:p>
    <w:p w14:paraId="4D1B1DD4" w14:textId="77777777" w:rsid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 xml:space="preserve">Kryterium „Cena całego zamówienia” będzie rozpatrywane na podstawie ceny brutto za wykonanie   przedmiotu zamówienia, podanej przez Wykonawcę w „Formularzu ofertowym”. </w:t>
      </w:r>
    </w:p>
    <w:p w14:paraId="7BEA8C6B" w14:textId="77777777" w:rsidR="00B41C65" w:rsidRDefault="00B41C65" w:rsidP="00B41C65">
      <w:pPr>
        <w:pStyle w:val="Akapitzlist"/>
        <w:rPr>
          <w:rFonts w:ascii="Open Sans" w:hAnsi="Open Sans" w:cs="Open Sans"/>
          <w:i/>
          <w:iCs/>
          <w:sz w:val="20"/>
          <w:szCs w:val="20"/>
        </w:rPr>
      </w:pPr>
    </w:p>
    <w:p w14:paraId="24542B3A" w14:textId="77777777" w:rsidR="00B41C65" w:rsidRP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Kryterium „Cena całego zamówienia” zostanie obliczona zgodnie ze wzorem:</w:t>
      </w:r>
    </w:p>
    <w:p w14:paraId="4C0B2869" w14:textId="77777777" w:rsidR="00B41C65" w:rsidRPr="00B41C65" w:rsidRDefault="00B41C65" w:rsidP="00B41C65">
      <w:pPr>
        <w:tabs>
          <w:tab w:val="left" w:pos="993"/>
        </w:tabs>
        <w:spacing w:after="0" w:line="240" w:lineRule="auto"/>
        <w:ind w:left="993"/>
        <w:contextualSpacing/>
        <w:rPr>
          <w:rFonts w:ascii="Open Sans" w:eastAsia="Cambria" w:hAnsi="Open Sans" w:cs="Open Sans"/>
          <w:i/>
          <w:iCs/>
          <w:sz w:val="20"/>
          <w:szCs w:val="20"/>
        </w:rPr>
      </w:pPr>
    </w:p>
    <w:p w14:paraId="631A23E7"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Najniższa cena brutto z ocenianych ofert</w:t>
      </w:r>
    </w:p>
    <w:p w14:paraId="7CE03400"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 x 100 = ilość uzyskanych punktów.</w:t>
      </w:r>
    </w:p>
    <w:p w14:paraId="4037D119"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Cena brutto badanej oferty</w:t>
      </w:r>
    </w:p>
    <w:p w14:paraId="385D718B" w14:textId="77777777" w:rsidR="00B41C65" w:rsidRPr="007A4BA9" w:rsidRDefault="00B41C65" w:rsidP="00B41C65">
      <w:pPr>
        <w:autoSpaceDE w:val="0"/>
        <w:autoSpaceDN w:val="0"/>
        <w:adjustRightInd w:val="0"/>
        <w:spacing w:after="0" w:line="240" w:lineRule="auto"/>
        <w:rPr>
          <w:rFonts w:ascii="Open Sans" w:eastAsia="Times New Roman" w:hAnsi="Open Sans" w:cs="Open Sans"/>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lastRenderedPageBreak/>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76DAE1F" w14:textId="668A7A5B" w:rsidR="00552044" w:rsidRDefault="00552044" w:rsidP="00EC40A1">
      <w:pPr>
        <w:spacing w:after="0" w:line="276" w:lineRule="auto"/>
        <w:ind w:left="360"/>
        <w:jc w:val="both"/>
        <w:rPr>
          <w:rFonts w:ascii="Open Sans" w:eastAsia="Times New Roman" w:hAnsi="Open Sans" w:cs="Open Sans"/>
          <w:i/>
          <w:iCs/>
          <w:color w:val="000000"/>
          <w:sz w:val="20"/>
          <w:szCs w:val="20"/>
          <w:lang w:eastAsia="pl-PL"/>
        </w:rPr>
      </w:pPr>
      <w:r w:rsidRPr="00552044">
        <w:rPr>
          <w:rFonts w:ascii="Open Sans" w:eastAsia="Times New Roman" w:hAnsi="Open Sans" w:cs="Open Sans"/>
          <w:i/>
          <w:iCs/>
          <w:color w:val="000000"/>
          <w:sz w:val="20"/>
          <w:szCs w:val="20"/>
          <w:lang w:eastAsia="pl-PL"/>
        </w:rPr>
        <w:t xml:space="preserve">18.5. Dokumenty potwierdzające, że </w:t>
      </w:r>
      <w:r w:rsidR="00EC40A1" w:rsidRPr="00EC40A1">
        <w:rPr>
          <w:rFonts w:ascii="Open Sans" w:eastAsia="Times New Roman" w:hAnsi="Open Sans" w:cs="Open Sans"/>
          <w:i/>
          <w:iCs/>
          <w:color w:val="000000"/>
          <w:sz w:val="20"/>
          <w:szCs w:val="20"/>
          <w:lang w:eastAsia="pl-PL"/>
        </w:rPr>
        <w:t>Wykonawca  posiadać umowę ubezpieczenia odpowiedzialności cywilnej w ramach wykonywanej przez siebie działalności na kwotę co najmniej 100 000 zł w okresie trwania umowy.</w:t>
      </w:r>
    </w:p>
    <w:p w14:paraId="620C4494" w14:textId="68E6ACE7" w:rsidR="008439CB" w:rsidRDefault="008439CB" w:rsidP="009E27A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w:t>
      </w:r>
      <w:r w:rsidR="00552044">
        <w:rPr>
          <w:rFonts w:ascii="Open Sans" w:eastAsia="Times New Roman" w:hAnsi="Open Sans" w:cs="Open Sans"/>
          <w:i/>
          <w:iCs/>
          <w:color w:val="000000"/>
          <w:sz w:val="20"/>
          <w:szCs w:val="20"/>
          <w:lang w:eastAsia="pl-PL"/>
        </w:rPr>
        <w:t>6</w:t>
      </w:r>
      <w:r>
        <w:rPr>
          <w:rFonts w:ascii="Open Sans" w:eastAsia="Times New Roman" w:hAnsi="Open Sans" w:cs="Open Sans"/>
          <w:i/>
          <w:iCs/>
          <w:color w:val="000000"/>
          <w:sz w:val="20"/>
          <w:szCs w:val="20"/>
          <w:lang w:eastAsia="pl-PL"/>
        </w:rPr>
        <w:t>.</w:t>
      </w:r>
      <w:r w:rsidR="00E76606" w:rsidRPr="00E76606">
        <w:t xml:space="preserve"> </w:t>
      </w:r>
      <w:r w:rsidR="00E76606" w:rsidRPr="00E76606">
        <w:rPr>
          <w:rFonts w:ascii="Open Sans" w:eastAsia="Times New Roman" w:hAnsi="Open Sans" w:cs="Open Sans"/>
          <w:i/>
          <w:iCs/>
          <w:color w:val="000000"/>
          <w:sz w:val="20"/>
          <w:szCs w:val="20"/>
          <w:lang w:eastAsia="pl-PL"/>
        </w:rPr>
        <w:t>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49980B0F" w14:textId="77777777" w:rsidR="00674E11" w:rsidRDefault="00674E11" w:rsidP="00B73032">
      <w:pPr>
        <w:spacing w:after="0" w:line="276" w:lineRule="auto"/>
        <w:ind w:left="360"/>
        <w:rPr>
          <w:rFonts w:ascii="Open Sans" w:eastAsia="Times New Roman" w:hAnsi="Open Sans" w:cs="Open Sans"/>
          <w:i/>
          <w:iCs/>
          <w:color w:val="000000"/>
          <w:sz w:val="20"/>
          <w:szCs w:val="20"/>
          <w:u w:val="single"/>
          <w:lang w:eastAsia="pl-PL"/>
        </w:rPr>
      </w:pPr>
      <w:r w:rsidRPr="00674E11">
        <w:rPr>
          <w:rFonts w:ascii="Open Sans" w:eastAsia="Times New Roman" w:hAnsi="Open Sans" w:cs="Open Sans"/>
          <w:i/>
          <w:iCs/>
          <w:color w:val="000000"/>
          <w:sz w:val="20"/>
          <w:szCs w:val="20"/>
          <w:u w:val="single"/>
          <w:lang w:eastAsia="pl-PL"/>
        </w:rPr>
        <w:t>18.A.1.</w:t>
      </w:r>
      <w:r w:rsidRPr="00674E11">
        <w:rPr>
          <w:rFonts w:ascii="Open Sans" w:eastAsia="Times New Roman" w:hAnsi="Open Sans" w:cs="Open Sans"/>
          <w:i/>
          <w:iCs/>
          <w:color w:val="000000"/>
          <w:sz w:val="20"/>
          <w:szCs w:val="20"/>
          <w:u w:val="single"/>
          <w:lang w:eastAsia="pl-PL"/>
        </w:rPr>
        <w:tab/>
        <w:t>Zamawiający  wymaga od Wykonawcy wniesienia  zabezpieczenia należytego wykonania umowy.</w:t>
      </w:r>
    </w:p>
    <w:p w14:paraId="4A8FEB08" w14:textId="77777777" w:rsidR="00B73032" w:rsidRPr="00674E11" w:rsidRDefault="00B73032" w:rsidP="00B73032">
      <w:pPr>
        <w:spacing w:after="0" w:line="276" w:lineRule="auto"/>
        <w:ind w:left="360"/>
        <w:rPr>
          <w:rFonts w:ascii="Open Sans" w:eastAsia="Times New Roman" w:hAnsi="Open Sans" w:cs="Open Sans"/>
          <w:i/>
          <w:iCs/>
          <w:color w:val="000000"/>
          <w:sz w:val="20"/>
          <w:szCs w:val="20"/>
          <w:u w:val="single"/>
          <w:lang w:eastAsia="pl-PL"/>
        </w:rPr>
      </w:pPr>
    </w:p>
    <w:p w14:paraId="68ED10F1" w14:textId="270E5E9A"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18.A.2.</w:t>
      </w:r>
      <w:r w:rsidRPr="00674E11">
        <w:rPr>
          <w:rFonts w:ascii="Open Sans" w:eastAsia="Times New Roman" w:hAnsi="Open Sans" w:cs="Open Sans"/>
          <w:i/>
          <w:iCs/>
          <w:color w:val="000000"/>
          <w:sz w:val="20"/>
          <w:szCs w:val="20"/>
          <w:lang w:eastAsia="pl-PL"/>
        </w:rPr>
        <w:tab/>
        <w:t xml:space="preserve">Kwota zabezpieczenia wynosi </w:t>
      </w:r>
      <w:r w:rsidR="00B73032">
        <w:rPr>
          <w:rFonts w:ascii="Open Sans" w:eastAsia="Times New Roman" w:hAnsi="Open Sans" w:cs="Open Sans"/>
          <w:i/>
          <w:iCs/>
          <w:color w:val="000000"/>
          <w:sz w:val="20"/>
          <w:szCs w:val="20"/>
          <w:lang w:eastAsia="pl-PL"/>
        </w:rPr>
        <w:t>5</w:t>
      </w:r>
      <w:r w:rsidRPr="00674E11">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69AFED3A" w14:textId="223A0646"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18.A.3.</w:t>
      </w:r>
      <w:r w:rsidRPr="00674E11">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D832E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w art. 450 ustawy Prawo zamówień publicznych.</w:t>
      </w:r>
    </w:p>
    <w:p w14:paraId="1D2CB7B1" w14:textId="0A8E83C3"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18.A.4.</w:t>
      </w:r>
      <w:r w:rsidRPr="00674E11">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sidR="00D572D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 xml:space="preserve">„Tytuł postępowania”. </w:t>
      </w:r>
    </w:p>
    <w:p w14:paraId="578FD12C" w14:textId="1E2050A1"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18.A.5.</w:t>
      </w:r>
      <w:r w:rsidRPr="00674E11">
        <w:rPr>
          <w:rFonts w:ascii="Open Sans" w:eastAsia="Times New Roman" w:hAnsi="Open Sans" w:cs="Open Sans"/>
          <w:i/>
          <w:iCs/>
          <w:color w:val="000000"/>
          <w:sz w:val="20"/>
          <w:szCs w:val="20"/>
          <w:lang w:eastAsia="pl-PL"/>
        </w:rPr>
        <w:tab/>
        <w:t xml:space="preserve">Cel zabezpieczenia oraz zasady jego wnoszenia, przechowywania, zmiany formy </w:t>
      </w:r>
      <w:r w:rsidR="00983A2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oraz zwrotu określają art. 449-453 ustawy Prawo zamówień publicznych.</w:t>
      </w:r>
    </w:p>
    <w:p w14:paraId="435876F3" w14:textId="77777777"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18.A.6.</w:t>
      </w:r>
      <w:r w:rsidRPr="00674E11">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62E1CF03" w14:textId="348DAEA5"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18.A.7.</w:t>
      </w:r>
      <w:r w:rsidRPr="00674E11">
        <w:rPr>
          <w:rFonts w:ascii="Open Sans" w:eastAsia="Times New Roman" w:hAnsi="Open Sans" w:cs="Open Sans"/>
          <w:i/>
          <w:iCs/>
          <w:color w:val="000000"/>
          <w:sz w:val="20"/>
          <w:szCs w:val="20"/>
          <w:lang w:eastAsia="pl-PL"/>
        </w:rPr>
        <w:tab/>
        <w:t xml:space="preserve">Kwota należytego zabezpieczenia umowy może zostać zaliczona na poczet kar umownych lub wyrządzonych szkód z powodu wad wykonania usługi, jeśli zaistnieją przesłanki </w:t>
      </w:r>
      <w:r w:rsidR="006B75F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jej zatrzymania określone w umowie.</w:t>
      </w:r>
    </w:p>
    <w:p w14:paraId="32D8DA38" w14:textId="77777777"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p>
    <w:p w14:paraId="3B579C0C" w14:textId="134A33F4" w:rsidR="00F80DB8" w:rsidRPr="00674E11"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6E128193" w14:textId="6BAEE9A9" w:rsidR="001321A5" w:rsidRDefault="00D363C5" w:rsidP="0087063A">
      <w:pPr>
        <w:spacing w:after="0" w:line="276" w:lineRule="auto"/>
        <w:ind w:left="360"/>
        <w:jc w:val="both"/>
        <w:rPr>
          <w:rFonts w:ascii="Open Sans" w:eastAsia="Times New Roman" w:hAnsi="Open Sans" w:cs="Open Sans"/>
          <w:i/>
          <w:iCs/>
          <w:spacing w:val="1"/>
          <w:sz w:val="20"/>
          <w:szCs w:val="20"/>
          <w:lang w:eastAsia="pl-PL"/>
        </w:rPr>
      </w:pPr>
      <w:r>
        <w:rPr>
          <w:rFonts w:ascii="Open Sans" w:eastAsia="Times New Roman" w:hAnsi="Open Sans" w:cs="Open Sans"/>
          <w:i/>
          <w:iCs/>
          <w:spacing w:val="1"/>
          <w:sz w:val="20"/>
          <w:szCs w:val="20"/>
          <w:lang w:eastAsia="pl-PL"/>
        </w:rPr>
        <w:t>Z</w:t>
      </w:r>
      <w:r w:rsidRPr="00D363C5">
        <w:rPr>
          <w:rFonts w:ascii="Open Sans" w:eastAsia="Times New Roman" w:hAnsi="Open Sans" w:cs="Open Sans"/>
          <w:i/>
          <w:iCs/>
          <w:spacing w:val="1"/>
          <w:sz w:val="20"/>
          <w:szCs w:val="20"/>
          <w:lang w:eastAsia="pl-PL"/>
        </w:rPr>
        <w:t xml:space="preserve">amawiający zaleca odbycie wizji lokalnej przez </w:t>
      </w:r>
      <w:r>
        <w:rPr>
          <w:rFonts w:ascii="Open Sans" w:eastAsia="Times New Roman" w:hAnsi="Open Sans" w:cs="Open Sans"/>
          <w:i/>
          <w:iCs/>
          <w:spacing w:val="1"/>
          <w:sz w:val="20"/>
          <w:szCs w:val="20"/>
          <w:lang w:eastAsia="pl-PL"/>
        </w:rPr>
        <w:t xml:space="preserve">Wykonawców </w:t>
      </w:r>
      <w:r w:rsidRPr="00D363C5">
        <w:rPr>
          <w:rFonts w:ascii="Open Sans" w:eastAsia="Times New Roman" w:hAnsi="Open Sans" w:cs="Open Sans"/>
          <w:i/>
          <w:iCs/>
          <w:spacing w:val="1"/>
          <w:sz w:val="20"/>
          <w:szCs w:val="20"/>
          <w:lang w:eastAsia="pl-PL"/>
        </w:rPr>
        <w:t xml:space="preserve"> oraz dokonanie szczegółowego pomiaru taśm transportujących oraz zgarniaczy</w:t>
      </w:r>
      <w:r>
        <w:rPr>
          <w:rFonts w:ascii="Open Sans" w:eastAsia="Times New Roman" w:hAnsi="Open Sans" w:cs="Open Sans"/>
          <w:i/>
          <w:iCs/>
          <w:spacing w:val="1"/>
          <w:sz w:val="20"/>
          <w:szCs w:val="20"/>
          <w:lang w:eastAsia="pl-PL"/>
        </w:rPr>
        <w:t>.</w:t>
      </w:r>
    </w:p>
    <w:p w14:paraId="0931A8BE" w14:textId="77777777" w:rsidR="00D363C5" w:rsidRDefault="00D363C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0BF8" w14:textId="77777777" w:rsidR="00013564" w:rsidRDefault="00013564" w:rsidP="00ED6C3D">
      <w:pPr>
        <w:spacing w:after="0" w:line="240" w:lineRule="auto"/>
      </w:pPr>
      <w:r>
        <w:separator/>
      </w:r>
    </w:p>
  </w:endnote>
  <w:endnote w:type="continuationSeparator" w:id="0">
    <w:p w14:paraId="662F9DFA" w14:textId="77777777" w:rsidR="00013564" w:rsidRDefault="00013564"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3AE5" w14:textId="77777777" w:rsidR="00013564" w:rsidRDefault="00013564" w:rsidP="00ED6C3D">
      <w:pPr>
        <w:spacing w:after="0" w:line="240" w:lineRule="auto"/>
      </w:pPr>
      <w:r>
        <w:separator/>
      </w:r>
    </w:p>
  </w:footnote>
  <w:footnote w:type="continuationSeparator" w:id="0">
    <w:p w14:paraId="43BB318C" w14:textId="77777777" w:rsidR="00013564" w:rsidRDefault="00013564"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0"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5"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8"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0"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1"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4"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2"/>
  </w:num>
  <w:num w:numId="4" w16cid:durableId="1145512988">
    <w:abstractNumId w:val="63"/>
  </w:num>
  <w:num w:numId="5" w16cid:durableId="1446776075">
    <w:abstractNumId w:val="59"/>
  </w:num>
  <w:num w:numId="6" w16cid:durableId="548692337">
    <w:abstractNumId w:val="40"/>
  </w:num>
  <w:num w:numId="7" w16cid:durableId="1363093790">
    <w:abstractNumId w:val="0"/>
  </w:num>
  <w:num w:numId="8" w16cid:durableId="852959478">
    <w:abstractNumId w:val="35"/>
  </w:num>
  <w:num w:numId="9" w16cid:durableId="1041856113">
    <w:abstractNumId w:val="65"/>
  </w:num>
  <w:num w:numId="10" w16cid:durableId="1004018410">
    <w:abstractNumId w:val="60"/>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7"/>
  </w:num>
  <w:num w:numId="14" w16cid:durableId="881092026">
    <w:abstractNumId w:val="47"/>
  </w:num>
  <w:num w:numId="15" w16cid:durableId="20321422">
    <w:abstractNumId w:val="61"/>
  </w:num>
  <w:num w:numId="16" w16cid:durableId="870606497">
    <w:abstractNumId w:val="31"/>
  </w:num>
  <w:num w:numId="17" w16cid:durableId="1985231053">
    <w:abstractNumId w:val="34"/>
  </w:num>
  <w:num w:numId="18" w16cid:durableId="2111657554">
    <w:abstractNumId w:val="39"/>
  </w:num>
  <w:num w:numId="19" w16cid:durableId="1211117430">
    <w:abstractNumId w:val="66"/>
  </w:num>
  <w:num w:numId="20" w16cid:durableId="759719022">
    <w:abstractNumId w:val="27"/>
  </w:num>
  <w:num w:numId="21" w16cid:durableId="942032449">
    <w:abstractNumId w:val="45"/>
  </w:num>
  <w:num w:numId="22" w16cid:durableId="142697794">
    <w:abstractNumId w:val="53"/>
  </w:num>
  <w:num w:numId="23" w16cid:durableId="579753562">
    <w:abstractNumId w:val="55"/>
  </w:num>
  <w:num w:numId="24" w16cid:durableId="2031182545">
    <w:abstractNumId w:val="42"/>
  </w:num>
  <w:num w:numId="25" w16cid:durableId="813717206">
    <w:abstractNumId w:val="50"/>
  </w:num>
  <w:num w:numId="26" w16cid:durableId="1395081372">
    <w:abstractNumId w:val="56"/>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1"/>
  </w:num>
  <w:num w:numId="33" w16cid:durableId="465969877">
    <w:abstractNumId w:val="29"/>
  </w:num>
  <w:num w:numId="34" w16cid:durableId="954096149">
    <w:abstractNumId w:val="28"/>
  </w:num>
  <w:num w:numId="35" w16cid:durableId="681519081">
    <w:abstractNumId w:val="46"/>
  </w:num>
  <w:num w:numId="36" w16cid:durableId="1268734003">
    <w:abstractNumId w:val="64"/>
  </w:num>
  <w:num w:numId="37" w16cid:durableId="1309826256">
    <w:abstractNumId w:val="52"/>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8"/>
  </w:num>
  <w:num w:numId="43" w16cid:durableId="1573277955">
    <w:abstractNumId w:val="37"/>
  </w:num>
  <w:num w:numId="44" w16cid:durableId="1646231232">
    <w:abstractNumId w:val="4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13564"/>
    <w:rsid w:val="00021532"/>
    <w:rsid w:val="00021910"/>
    <w:rsid w:val="00023DBB"/>
    <w:rsid w:val="0002656D"/>
    <w:rsid w:val="000267C6"/>
    <w:rsid w:val="000319C0"/>
    <w:rsid w:val="000328AF"/>
    <w:rsid w:val="00033FBC"/>
    <w:rsid w:val="000349F3"/>
    <w:rsid w:val="000371D2"/>
    <w:rsid w:val="00040AF6"/>
    <w:rsid w:val="00040C9F"/>
    <w:rsid w:val="00041088"/>
    <w:rsid w:val="0004241D"/>
    <w:rsid w:val="0004444D"/>
    <w:rsid w:val="00046028"/>
    <w:rsid w:val="0004677B"/>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BE"/>
    <w:rsid w:val="000A4490"/>
    <w:rsid w:val="000B0B79"/>
    <w:rsid w:val="000B2F27"/>
    <w:rsid w:val="000B434F"/>
    <w:rsid w:val="000B435C"/>
    <w:rsid w:val="000C238A"/>
    <w:rsid w:val="000C273F"/>
    <w:rsid w:val="000C53DC"/>
    <w:rsid w:val="000C5DDF"/>
    <w:rsid w:val="000C7FA0"/>
    <w:rsid w:val="000D54A9"/>
    <w:rsid w:val="000D570F"/>
    <w:rsid w:val="000E2113"/>
    <w:rsid w:val="000E3949"/>
    <w:rsid w:val="000E624F"/>
    <w:rsid w:val="000E7D07"/>
    <w:rsid w:val="000F0A43"/>
    <w:rsid w:val="000F0D8A"/>
    <w:rsid w:val="000F1EE4"/>
    <w:rsid w:val="000F233B"/>
    <w:rsid w:val="000F32C4"/>
    <w:rsid w:val="000F3DE6"/>
    <w:rsid w:val="00100197"/>
    <w:rsid w:val="0010108D"/>
    <w:rsid w:val="0010363E"/>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3E21"/>
    <w:rsid w:val="001D7EF9"/>
    <w:rsid w:val="001E1751"/>
    <w:rsid w:val="001E2A71"/>
    <w:rsid w:val="001E33B8"/>
    <w:rsid w:val="001E4122"/>
    <w:rsid w:val="001E5DAA"/>
    <w:rsid w:val="001E6677"/>
    <w:rsid w:val="001E716A"/>
    <w:rsid w:val="001F0ACA"/>
    <w:rsid w:val="001F3DDA"/>
    <w:rsid w:val="001F5D75"/>
    <w:rsid w:val="0020271C"/>
    <w:rsid w:val="00204D2A"/>
    <w:rsid w:val="002070B6"/>
    <w:rsid w:val="002128F8"/>
    <w:rsid w:val="00216B15"/>
    <w:rsid w:val="00217A7B"/>
    <w:rsid w:val="00220619"/>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B52"/>
    <w:rsid w:val="00274E41"/>
    <w:rsid w:val="00281FBB"/>
    <w:rsid w:val="00287173"/>
    <w:rsid w:val="00292014"/>
    <w:rsid w:val="002951CB"/>
    <w:rsid w:val="00296BCA"/>
    <w:rsid w:val="002A1C1C"/>
    <w:rsid w:val="002A280C"/>
    <w:rsid w:val="002A4B3A"/>
    <w:rsid w:val="002B1624"/>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8771F"/>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158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6E2D"/>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2044"/>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4E11"/>
    <w:rsid w:val="00676B9E"/>
    <w:rsid w:val="00681A4B"/>
    <w:rsid w:val="0068364C"/>
    <w:rsid w:val="006837A4"/>
    <w:rsid w:val="00692401"/>
    <w:rsid w:val="00693132"/>
    <w:rsid w:val="00697E41"/>
    <w:rsid w:val="006A1F35"/>
    <w:rsid w:val="006A48A4"/>
    <w:rsid w:val="006A5815"/>
    <w:rsid w:val="006B0547"/>
    <w:rsid w:val="006B1221"/>
    <w:rsid w:val="006B30BD"/>
    <w:rsid w:val="006B75F3"/>
    <w:rsid w:val="006C04DA"/>
    <w:rsid w:val="006C2E9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5FB8"/>
    <w:rsid w:val="00727413"/>
    <w:rsid w:val="0073100C"/>
    <w:rsid w:val="007320E1"/>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96AB4"/>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39CB"/>
    <w:rsid w:val="008447E2"/>
    <w:rsid w:val="00845592"/>
    <w:rsid w:val="008505AA"/>
    <w:rsid w:val="00850803"/>
    <w:rsid w:val="008516F8"/>
    <w:rsid w:val="008566C0"/>
    <w:rsid w:val="00863457"/>
    <w:rsid w:val="00864B9D"/>
    <w:rsid w:val="00865BA8"/>
    <w:rsid w:val="0087063A"/>
    <w:rsid w:val="008735CF"/>
    <w:rsid w:val="00875E71"/>
    <w:rsid w:val="00881C2B"/>
    <w:rsid w:val="00883CFD"/>
    <w:rsid w:val="00884266"/>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00F"/>
    <w:rsid w:val="0090689D"/>
    <w:rsid w:val="00910A68"/>
    <w:rsid w:val="00913BA0"/>
    <w:rsid w:val="00915D99"/>
    <w:rsid w:val="00915E6C"/>
    <w:rsid w:val="00923373"/>
    <w:rsid w:val="009275EA"/>
    <w:rsid w:val="00927FC8"/>
    <w:rsid w:val="009303B8"/>
    <w:rsid w:val="00930A3B"/>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1A7B"/>
    <w:rsid w:val="009731B1"/>
    <w:rsid w:val="0097502C"/>
    <w:rsid w:val="009751D0"/>
    <w:rsid w:val="0097788E"/>
    <w:rsid w:val="009819A1"/>
    <w:rsid w:val="00981C15"/>
    <w:rsid w:val="00983A23"/>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8A1"/>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610B"/>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63F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53A"/>
    <w:rsid w:val="00B6074A"/>
    <w:rsid w:val="00B60D6A"/>
    <w:rsid w:val="00B62515"/>
    <w:rsid w:val="00B63EC0"/>
    <w:rsid w:val="00B67298"/>
    <w:rsid w:val="00B7002D"/>
    <w:rsid w:val="00B73032"/>
    <w:rsid w:val="00B73AFC"/>
    <w:rsid w:val="00B73B32"/>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49F0"/>
    <w:rsid w:val="00BC52B2"/>
    <w:rsid w:val="00BC72E8"/>
    <w:rsid w:val="00BC78DE"/>
    <w:rsid w:val="00BD04C4"/>
    <w:rsid w:val="00BD2F3D"/>
    <w:rsid w:val="00BD386D"/>
    <w:rsid w:val="00BD4BD8"/>
    <w:rsid w:val="00BD62DD"/>
    <w:rsid w:val="00BD6F5B"/>
    <w:rsid w:val="00BE505D"/>
    <w:rsid w:val="00BE5178"/>
    <w:rsid w:val="00BE7556"/>
    <w:rsid w:val="00BF21AD"/>
    <w:rsid w:val="00BF78D7"/>
    <w:rsid w:val="00C00E56"/>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70B8"/>
    <w:rsid w:val="00C87427"/>
    <w:rsid w:val="00C878BA"/>
    <w:rsid w:val="00C87F29"/>
    <w:rsid w:val="00C9300E"/>
    <w:rsid w:val="00C9681F"/>
    <w:rsid w:val="00C9741B"/>
    <w:rsid w:val="00CA0079"/>
    <w:rsid w:val="00CA1008"/>
    <w:rsid w:val="00CA64B5"/>
    <w:rsid w:val="00CB24CD"/>
    <w:rsid w:val="00CB30B3"/>
    <w:rsid w:val="00CB5AA3"/>
    <w:rsid w:val="00CB61DD"/>
    <w:rsid w:val="00CC0501"/>
    <w:rsid w:val="00CC2456"/>
    <w:rsid w:val="00CC300A"/>
    <w:rsid w:val="00CC4091"/>
    <w:rsid w:val="00CC45EE"/>
    <w:rsid w:val="00CC56AA"/>
    <w:rsid w:val="00CC5E8B"/>
    <w:rsid w:val="00CC6ABD"/>
    <w:rsid w:val="00CC6CD6"/>
    <w:rsid w:val="00CC79F4"/>
    <w:rsid w:val="00CD1649"/>
    <w:rsid w:val="00CD2395"/>
    <w:rsid w:val="00CD3500"/>
    <w:rsid w:val="00CD38AC"/>
    <w:rsid w:val="00CD547D"/>
    <w:rsid w:val="00CE188F"/>
    <w:rsid w:val="00CE2AA9"/>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363C5"/>
    <w:rsid w:val="00D45A5C"/>
    <w:rsid w:val="00D46207"/>
    <w:rsid w:val="00D46DE1"/>
    <w:rsid w:val="00D50223"/>
    <w:rsid w:val="00D502F1"/>
    <w:rsid w:val="00D51200"/>
    <w:rsid w:val="00D53204"/>
    <w:rsid w:val="00D53A33"/>
    <w:rsid w:val="00D543DA"/>
    <w:rsid w:val="00D54B72"/>
    <w:rsid w:val="00D56A33"/>
    <w:rsid w:val="00D572D8"/>
    <w:rsid w:val="00D57D02"/>
    <w:rsid w:val="00D60829"/>
    <w:rsid w:val="00D61A92"/>
    <w:rsid w:val="00D670FD"/>
    <w:rsid w:val="00D7032B"/>
    <w:rsid w:val="00D70BDD"/>
    <w:rsid w:val="00D71360"/>
    <w:rsid w:val="00D714E1"/>
    <w:rsid w:val="00D73143"/>
    <w:rsid w:val="00D74735"/>
    <w:rsid w:val="00D75923"/>
    <w:rsid w:val="00D8160F"/>
    <w:rsid w:val="00D81DC3"/>
    <w:rsid w:val="00D832E8"/>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6E05"/>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6606"/>
    <w:rsid w:val="00E7724B"/>
    <w:rsid w:val="00E77CA8"/>
    <w:rsid w:val="00E80881"/>
    <w:rsid w:val="00E80B94"/>
    <w:rsid w:val="00E81FC6"/>
    <w:rsid w:val="00E8578D"/>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0A1"/>
    <w:rsid w:val="00EC4C77"/>
    <w:rsid w:val="00EC6F4E"/>
    <w:rsid w:val="00ED0C32"/>
    <w:rsid w:val="00ED2146"/>
    <w:rsid w:val="00ED4C21"/>
    <w:rsid w:val="00ED5861"/>
    <w:rsid w:val="00ED649C"/>
    <w:rsid w:val="00ED6C3D"/>
    <w:rsid w:val="00ED70EC"/>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29E7"/>
    <w:rsid w:val="00F9432D"/>
    <w:rsid w:val="00F9504A"/>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5932</Words>
  <Characters>35592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30</cp:revision>
  <cp:lastPrinted>2023-04-13T07:56:00Z</cp:lastPrinted>
  <dcterms:created xsi:type="dcterms:W3CDTF">2023-10-19T06:46:00Z</dcterms:created>
  <dcterms:modified xsi:type="dcterms:W3CDTF">2023-10-23T18:22:00Z</dcterms:modified>
</cp:coreProperties>
</file>