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2595EF7B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54D19">
        <w:rPr>
          <w:rFonts w:asciiTheme="majorHAnsi" w:hAnsiTheme="majorHAnsi" w:cstheme="majorHAnsi"/>
          <w:sz w:val="20"/>
          <w:szCs w:val="20"/>
        </w:rPr>
        <w:t>Rozbudowa oraz modernizacja oczyszczalni ścieków w Żywcu – dostawy: zadanie 2- montaż wirówki osadu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bookmarkStart w:id="0" w:name="_GoBack"/>
      <w:bookmarkEnd w:id="0"/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0A2A749C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854D19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854D19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7441E9EE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54D19">
      <w:rPr>
        <w:rFonts w:asciiTheme="majorHAnsi" w:hAnsiTheme="majorHAnsi" w:cstheme="majorHAnsi"/>
        <w:sz w:val="20"/>
        <w:szCs w:val="20"/>
      </w:rPr>
      <w:t>Rozbudowa oraz modernizacja oczyszczalni ścieków w Żywcu – dostawy: zadanie 2- montaż wirówki osadu</w: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F7ECD"/>
    <w:rsid w:val="00F24DB6"/>
    <w:rsid w:val="00F50FCD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17</cp:revision>
  <dcterms:created xsi:type="dcterms:W3CDTF">2021-05-05T06:59:00Z</dcterms:created>
  <dcterms:modified xsi:type="dcterms:W3CDTF">2023-12-06T06:57:00Z</dcterms:modified>
</cp:coreProperties>
</file>