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07A8769F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BB02F4">
        <w:rPr>
          <w:b w:val="0"/>
          <w:bCs w:val="0"/>
          <w:sz w:val="24"/>
          <w:szCs w:val="24"/>
        </w:rPr>
        <w:t>09</w:t>
      </w:r>
      <w:r w:rsidR="00A65046" w:rsidRPr="00A65046">
        <w:rPr>
          <w:b w:val="0"/>
          <w:bCs w:val="0"/>
          <w:sz w:val="24"/>
          <w:szCs w:val="24"/>
        </w:rPr>
        <w:t>.0</w:t>
      </w:r>
      <w:r w:rsidR="00BB02F4">
        <w:rPr>
          <w:b w:val="0"/>
          <w:bCs w:val="0"/>
          <w:sz w:val="24"/>
          <w:szCs w:val="24"/>
        </w:rPr>
        <w:t>4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BB02F4">
        <w:rPr>
          <w:b w:val="0"/>
          <w:bCs w:val="0"/>
          <w:sz w:val="24"/>
          <w:szCs w:val="24"/>
        </w:rPr>
        <w:t>3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BB02F4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BB02F4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10293BE8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BB02F4">
        <w:rPr>
          <w:lang w:eastAsia="pl-PL"/>
        </w:rPr>
        <w:t>1</w:t>
      </w:r>
      <w:r w:rsidR="00A65046">
        <w:rPr>
          <w:lang w:eastAsia="pl-PL"/>
        </w:rPr>
        <w:t>/2024/</w:t>
      </w:r>
      <w:r w:rsidR="00BB02F4">
        <w:rPr>
          <w:lang w:eastAsia="pl-PL"/>
        </w:rPr>
        <w:t>TA</w:t>
      </w:r>
      <w:r w:rsidR="00A65046">
        <w:rPr>
          <w:lang w:eastAsia="pl-PL"/>
        </w:rPr>
        <w:t xml:space="preserve"> - </w:t>
      </w:r>
      <w:r w:rsidR="00BB02F4" w:rsidRPr="00BB02F4">
        <w:t>Świadczenie usług prawnych (usługi doradztwa prawnego oraz występowania przed sądami/organami administracji publicznej) z zakresu pomocy publicznej oraz funduszy unijnych realizowanych na zlecenie CPPC zgodnie z jego potrzebami</w:t>
      </w:r>
    </w:p>
    <w:p w14:paraId="4E5C2483" w14:textId="659C01BD" w:rsidR="00A65046" w:rsidRDefault="00A65046" w:rsidP="00A65046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 xml:space="preserve">działając na podstawie art. 284 ust. </w:t>
      </w:r>
      <w:r>
        <w:rPr>
          <w:b w:val="0"/>
          <w:bCs w:val="0"/>
          <w:sz w:val="24"/>
          <w:szCs w:val="24"/>
        </w:rPr>
        <w:t>2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Pr="00A65046">
        <w:rPr>
          <w:b w:val="0"/>
          <w:bCs w:val="0"/>
          <w:sz w:val="24"/>
          <w:szCs w:val="24"/>
        </w:rPr>
        <w:t>– Zamawiający przekazuje odpowiedź na pytani</w:t>
      </w:r>
      <w:r w:rsidR="00587A1E">
        <w:rPr>
          <w:b w:val="0"/>
          <w:bCs w:val="0"/>
          <w:sz w:val="24"/>
          <w:szCs w:val="24"/>
        </w:rPr>
        <w:t>a</w:t>
      </w:r>
      <w:r w:rsidRPr="00A65046">
        <w:rPr>
          <w:b w:val="0"/>
          <w:bCs w:val="0"/>
          <w:sz w:val="24"/>
          <w:szCs w:val="24"/>
        </w:rPr>
        <w:t xml:space="preserve"> Wykonawcy przesłane w dniu </w:t>
      </w:r>
      <w:r w:rsidR="00BB02F4">
        <w:rPr>
          <w:b w:val="0"/>
          <w:bCs w:val="0"/>
          <w:sz w:val="24"/>
          <w:szCs w:val="24"/>
        </w:rPr>
        <w:t>05</w:t>
      </w:r>
      <w:r>
        <w:rPr>
          <w:b w:val="0"/>
          <w:bCs w:val="0"/>
          <w:sz w:val="24"/>
          <w:szCs w:val="24"/>
        </w:rPr>
        <w:t>.0</w:t>
      </w:r>
      <w:r w:rsidR="00BB02F4">
        <w:rPr>
          <w:b w:val="0"/>
          <w:bCs w:val="0"/>
          <w:sz w:val="24"/>
          <w:szCs w:val="24"/>
        </w:rPr>
        <w:t>4</w:t>
      </w:r>
      <w:r>
        <w:rPr>
          <w:b w:val="0"/>
          <w:bCs w:val="0"/>
          <w:sz w:val="24"/>
          <w:szCs w:val="24"/>
        </w:rPr>
        <w:t>.2024 r.</w:t>
      </w:r>
      <w:r w:rsidR="00BB02F4">
        <w:rPr>
          <w:b w:val="0"/>
          <w:bCs w:val="0"/>
          <w:sz w:val="24"/>
          <w:szCs w:val="24"/>
        </w:rPr>
        <w:t xml:space="preserve"> i 08.04.2024 r.</w:t>
      </w:r>
    </w:p>
    <w:p w14:paraId="48ECF991" w14:textId="77777777" w:rsidR="0075663E" w:rsidRDefault="00A65046" w:rsidP="00717E73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247BF0">
        <w:rPr>
          <w:sz w:val="24"/>
          <w:szCs w:val="24"/>
        </w:rPr>
        <w:t>Pytanie</w:t>
      </w:r>
      <w:r w:rsidR="00717E73" w:rsidRPr="00247BF0">
        <w:rPr>
          <w:sz w:val="24"/>
          <w:szCs w:val="24"/>
        </w:rPr>
        <w:t xml:space="preserve"> nr 1</w:t>
      </w:r>
      <w:r w:rsidRPr="00247BF0">
        <w:rPr>
          <w:sz w:val="24"/>
          <w:szCs w:val="24"/>
        </w:rPr>
        <w:t>:</w:t>
      </w:r>
      <w:r w:rsidR="000769AC">
        <w:rPr>
          <w:sz w:val="24"/>
          <w:szCs w:val="24"/>
        </w:rPr>
        <w:br/>
      </w:r>
      <w:r w:rsidR="00717E73" w:rsidRPr="00717E73">
        <w:rPr>
          <w:b w:val="0"/>
          <w:bCs w:val="0"/>
          <w:sz w:val="24"/>
          <w:szCs w:val="24"/>
        </w:rPr>
        <w:t>W treści Rozdziału XVIII ust. 2 Specyfikacji Warunków Zamówienia</w:t>
      </w:r>
      <w:r w:rsidR="00B574B6">
        <w:rPr>
          <w:b w:val="0"/>
          <w:bCs w:val="0"/>
          <w:sz w:val="24"/>
          <w:szCs w:val="24"/>
        </w:rPr>
        <w:t xml:space="preserve"> (dalej: „SWZ”)</w:t>
      </w:r>
      <w:r w:rsidR="00717E73" w:rsidRPr="00717E73">
        <w:rPr>
          <w:b w:val="0"/>
          <w:bCs w:val="0"/>
          <w:sz w:val="24"/>
          <w:szCs w:val="24"/>
        </w:rPr>
        <w:t>, Zamawiający zawarł zapis, iż:</w:t>
      </w:r>
      <w:r w:rsidR="00717E73">
        <w:rPr>
          <w:b w:val="0"/>
          <w:bCs w:val="0"/>
          <w:sz w:val="24"/>
          <w:szCs w:val="24"/>
        </w:rPr>
        <w:t xml:space="preserve"> </w:t>
      </w:r>
      <w:r w:rsidR="00717E73" w:rsidRPr="00717E73">
        <w:rPr>
          <w:b w:val="0"/>
          <w:bCs w:val="0"/>
          <w:sz w:val="24"/>
          <w:szCs w:val="24"/>
        </w:rPr>
        <w:t>„Uwaga: Usługi doradztwa prawnego obejmują udzielenie wsparcia, m.in. poprzez sporządzenie</w:t>
      </w:r>
      <w:r w:rsidR="00587A1E">
        <w:rPr>
          <w:b w:val="0"/>
          <w:bCs w:val="0"/>
          <w:sz w:val="24"/>
          <w:szCs w:val="24"/>
        </w:rPr>
        <w:t xml:space="preserve"> </w:t>
      </w:r>
      <w:r w:rsidR="00717E73" w:rsidRPr="00717E73">
        <w:rPr>
          <w:b w:val="0"/>
          <w:bCs w:val="0"/>
          <w:sz w:val="24"/>
          <w:szCs w:val="24"/>
        </w:rPr>
        <w:t>pisemnych stanowisk, opinii prawnych, konsultacje w siedzibie Zamawiającego, konsultacje telefoniczne</w:t>
      </w:r>
      <w:r w:rsidR="00717E73">
        <w:rPr>
          <w:b w:val="0"/>
          <w:bCs w:val="0"/>
          <w:sz w:val="24"/>
          <w:szCs w:val="24"/>
        </w:rPr>
        <w:t xml:space="preserve"> </w:t>
      </w:r>
      <w:r w:rsidR="00717E73" w:rsidRPr="00717E73">
        <w:rPr>
          <w:b w:val="0"/>
          <w:bCs w:val="0"/>
          <w:sz w:val="24"/>
          <w:szCs w:val="24"/>
        </w:rPr>
        <w:t>lub mailowe lub za pośrednictwem aplikacji MS Teams lub innej wskazanej przez Zamawiającego,</w:t>
      </w:r>
      <w:r w:rsidR="00717E73">
        <w:rPr>
          <w:b w:val="0"/>
          <w:bCs w:val="0"/>
          <w:sz w:val="24"/>
          <w:szCs w:val="24"/>
        </w:rPr>
        <w:t xml:space="preserve"> </w:t>
      </w:r>
      <w:r w:rsidR="00717E73" w:rsidRPr="00717E73">
        <w:rPr>
          <w:b w:val="0"/>
          <w:bCs w:val="0"/>
          <w:sz w:val="24"/>
          <w:szCs w:val="24"/>
        </w:rPr>
        <w:t>dotyczące zagadnień stanowiących przedmiot zamówienia. Szczegółowy zakres usług doradztwa</w:t>
      </w:r>
      <w:r w:rsidR="00717E73">
        <w:rPr>
          <w:b w:val="0"/>
          <w:bCs w:val="0"/>
          <w:sz w:val="24"/>
          <w:szCs w:val="24"/>
        </w:rPr>
        <w:t xml:space="preserve"> </w:t>
      </w:r>
      <w:r w:rsidR="00717E73" w:rsidRPr="00717E73">
        <w:rPr>
          <w:b w:val="0"/>
          <w:bCs w:val="0"/>
          <w:sz w:val="24"/>
          <w:szCs w:val="24"/>
        </w:rPr>
        <w:t>prawnego został wskazany w SOPZ, stanowiącym załącznik nr 1 do SWZ”.</w:t>
      </w:r>
    </w:p>
    <w:p w14:paraId="43E04A37" w14:textId="7B500C18" w:rsidR="00717E73" w:rsidRPr="00717E73" w:rsidRDefault="00717E73" w:rsidP="00717E73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717E73">
        <w:rPr>
          <w:b w:val="0"/>
          <w:bCs w:val="0"/>
          <w:sz w:val="24"/>
          <w:szCs w:val="24"/>
        </w:rPr>
        <w:lastRenderedPageBreak/>
        <w:t>Zaś w treści Opisu Przedmiotu Zamówienia stanowiącego załącznik nr 1 do Specyfikacji Warunków</w:t>
      </w:r>
      <w:r w:rsidR="00587A1E"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Zamówienia, Zamawiający wskazuje, że „Usługi doradztwa prawnego świadczone będą w siedzibie</w:t>
      </w:r>
      <w:r w:rsidR="00587A1E"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Zamawiającego, chyba, że Zamawiający w ramach kontaktów roboczych z Wykonawcą ustali, że</w:t>
      </w:r>
      <w:r w:rsidR="00587A1E"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konsultacje będą prowadzone w miejscu wskazanym przez Zamawiającego lub telefonicznie lub z</w:t>
      </w:r>
      <w:r w:rsidR="00587A1E"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wykorzystaniem poczty elektronicznej lub za pomocą aplikacji MS Teams lub innej wskazanej przez</w:t>
      </w:r>
      <w:r w:rsidR="00587A1E"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Zamawiającego. Usługi doradztwa prawnego świadczone będą w dniach i godzinach pracy</w:t>
      </w:r>
      <w:r w:rsidR="00587A1E"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Zamawiającego, tj. w dni powszednie w godzinach 815-1615, z wyłączeniem dni ustawowo wolnych od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pracy. Doradztwo prawne będzie polegało na udzielaniu odpowiedzi na pytania zgłaszane przez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Zamawiającego i będzie prowadzone w terminie wskazanym w formularzu zlecenia wykonawczego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wystawionym przez Zamawiającego”.</w:t>
      </w:r>
    </w:p>
    <w:p w14:paraId="0E8BEFC8" w14:textId="77777777" w:rsidR="00717E73" w:rsidRPr="00717E73" w:rsidRDefault="00717E73" w:rsidP="00717E73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717E73">
        <w:rPr>
          <w:b w:val="0"/>
          <w:bCs w:val="0"/>
          <w:sz w:val="24"/>
          <w:szCs w:val="24"/>
        </w:rPr>
        <w:t>Zadający pytanie wskazać pragnie, iż z uwagi na rozwój techniczny, możliwe jest całkowite świadczenie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objętych przedmiotem niniejszego zamówienia usług w sposób zdalny, poprzez konsultacje telefoniczne,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mailowe czy za pośrednictwem aplikacji MS Teams lub innej aplikacji służącej do nawiązywania połączeń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audiowizualnych. Wymaganie, aby usługi były świadczone w siedzibie Zamawiającego (tj. w Warszawie)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stawia w gorszej sytuacji wykonawców, którzy nie mają siedziby w Warszawie, gdyż kalkulując cenę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ofertową uwzględnić muszą oni koszty dojazdu do siedziby Zamawiającego.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Czy świadczenie usług doradztwa prawnego w siedzibie Zamawiającego, o których mowa w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przytoczonych powyżej postanowieniach ma mieć charakter ciągły czy incydentalny?</w:t>
      </w:r>
    </w:p>
    <w:p w14:paraId="297A904B" w14:textId="77777777" w:rsidR="00A65046" w:rsidRPr="00717E73" w:rsidRDefault="00717E73" w:rsidP="00717E73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717E73">
        <w:rPr>
          <w:b w:val="0"/>
          <w:bCs w:val="0"/>
          <w:sz w:val="24"/>
          <w:szCs w:val="24"/>
        </w:rPr>
        <w:t>W poprzednio realizowanej umowie dotyczącej doradztwa prawnego jak często Wykonawca świadczył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usługi w siedzibie Zamawiającego?</w:t>
      </w:r>
      <w:r>
        <w:rPr>
          <w:b w:val="0"/>
          <w:bCs w:val="0"/>
          <w:sz w:val="24"/>
          <w:szCs w:val="24"/>
        </w:rPr>
        <w:t xml:space="preserve"> </w:t>
      </w:r>
      <w:r w:rsidRPr="00717E73">
        <w:rPr>
          <w:b w:val="0"/>
          <w:bCs w:val="0"/>
          <w:sz w:val="24"/>
          <w:szCs w:val="24"/>
        </w:rPr>
        <w:t>Uzyskanie powyższych informacji będzie przydatne przy kalkulacji ceny ofert.</w:t>
      </w:r>
    </w:p>
    <w:p w14:paraId="6BE9AFC1" w14:textId="5942E895" w:rsidR="000769AC" w:rsidRDefault="00BF102F" w:rsidP="000769AC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A2859">
        <w:rPr>
          <w:sz w:val="24"/>
          <w:szCs w:val="24"/>
        </w:rPr>
        <w:lastRenderedPageBreak/>
        <w:t>Odpowiedź</w:t>
      </w:r>
      <w:r w:rsidR="00717E73">
        <w:rPr>
          <w:sz w:val="24"/>
          <w:szCs w:val="24"/>
        </w:rPr>
        <w:t xml:space="preserve"> na pytanie nr 1</w:t>
      </w:r>
      <w:r w:rsidRPr="008A2859">
        <w:rPr>
          <w:sz w:val="24"/>
          <w:szCs w:val="24"/>
        </w:rPr>
        <w:t>:</w:t>
      </w:r>
      <w:r w:rsidR="000769AC">
        <w:rPr>
          <w:sz w:val="24"/>
          <w:szCs w:val="24"/>
        </w:rPr>
        <w:br/>
      </w:r>
      <w:r w:rsidR="002F4D8A" w:rsidRPr="002F4D8A">
        <w:rPr>
          <w:b w:val="0"/>
          <w:bCs w:val="0"/>
          <w:sz w:val="24"/>
          <w:szCs w:val="24"/>
        </w:rPr>
        <w:t xml:space="preserve">Zamawiający </w:t>
      </w:r>
      <w:r w:rsidR="002F4D8A">
        <w:rPr>
          <w:b w:val="0"/>
          <w:bCs w:val="0"/>
          <w:sz w:val="24"/>
          <w:szCs w:val="24"/>
        </w:rPr>
        <w:t>wyjaśnia</w:t>
      </w:r>
      <w:r w:rsidR="002F4D8A" w:rsidRPr="002F4D8A">
        <w:rPr>
          <w:b w:val="0"/>
          <w:bCs w:val="0"/>
          <w:sz w:val="24"/>
          <w:szCs w:val="24"/>
        </w:rPr>
        <w:t xml:space="preserve">, że świadczenie usług doradztwa prawnego w siedzibie Zamawiającego będzie mieć charakter incydentalny. Na podstawie dotychczas realizowanej umowy nie było konieczności spotkań z Wykonawcą w siedzibie Zamawiającego. Jednakże Zamawiający nie wyklucza, że w ramach realizacji niniejszego zamówienia może powstać konieczność zorganizowania takich spotkań stacjonarnie w siedzibie Zamawiającego, w zależności od </w:t>
      </w:r>
      <w:r w:rsidR="00766B0C">
        <w:rPr>
          <w:b w:val="0"/>
          <w:bCs w:val="0"/>
          <w:sz w:val="24"/>
          <w:szCs w:val="24"/>
        </w:rPr>
        <w:t xml:space="preserve">jego </w:t>
      </w:r>
      <w:r w:rsidR="002F4D8A" w:rsidRPr="002F4D8A">
        <w:rPr>
          <w:b w:val="0"/>
          <w:bCs w:val="0"/>
          <w:sz w:val="24"/>
          <w:szCs w:val="24"/>
        </w:rPr>
        <w:t>aktualnych potrzeb.</w:t>
      </w:r>
    </w:p>
    <w:p w14:paraId="01004903" w14:textId="0C7ADAA0" w:rsidR="00717E73" w:rsidRPr="000405D6" w:rsidRDefault="00717E73" w:rsidP="000405D6">
      <w:pPr>
        <w:pStyle w:val="Nagwek1"/>
        <w:spacing w:line="360" w:lineRule="auto"/>
        <w:rPr>
          <w:sz w:val="24"/>
          <w:szCs w:val="24"/>
        </w:rPr>
      </w:pPr>
      <w:r w:rsidRPr="00247BF0">
        <w:rPr>
          <w:sz w:val="24"/>
          <w:szCs w:val="24"/>
        </w:rPr>
        <w:t>Pytanie nr 2:</w:t>
      </w:r>
      <w:r w:rsidR="000405D6">
        <w:rPr>
          <w:sz w:val="24"/>
          <w:szCs w:val="24"/>
        </w:rPr>
        <w:br/>
      </w:r>
      <w:r w:rsidRPr="000405D6">
        <w:rPr>
          <w:b w:val="0"/>
          <w:bCs w:val="0"/>
          <w:sz w:val="24"/>
          <w:szCs w:val="24"/>
        </w:rPr>
        <w:t>W treści Opisu Przedmiotu Zamówienia stanowiącego załącznik nr 1 do Specyfikacji Warunków</w:t>
      </w:r>
      <w:r w:rsidR="00587A1E" w:rsidRPr="000405D6">
        <w:rPr>
          <w:b w:val="0"/>
          <w:bCs w:val="0"/>
          <w:sz w:val="24"/>
          <w:szCs w:val="24"/>
        </w:rPr>
        <w:t xml:space="preserve"> </w:t>
      </w:r>
      <w:r w:rsidRPr="000405D6">
        <w:rPr>
          <w:b w:val="0"/>
          <w:bCs w:val="0"/>
          <w:sz w:val="24"/>
          <w:szCs w:val="24"/>
        </w:rPr>
        <w:t>Zamówienia, Zamawiający wskazuje, że Wykonawca będzie zobowiązany do świadczenia pomocy</w:t>
      </w:r>
      <w:r w:rsidR="00587A1E" w:rsidRPr="000405D6">
        <w:rPr>
          <w:b w:val="0"/>
          <w:bCs w:val="0"/>
          <w:sz w:val="24"/>
          <w:szCs w:val="24"/>
        </w:rPr>
        <w:t xml:space="preserve"> </w:t>
      </w:r>
      <w:r w:rsidRPr="000405D6">
        <w:rPr>
          <w:b w:val="0"/>
          <w:bCs w:val="0"/>
          <w:sz w:val="24"/>
          <w:szCs w:val="24"/>
        </w:rPr>
        <w:t>prawnej w zakresie m. in. „występowania przed sądami/organami administracji publicznej, przy czym wykonanie usługi będzie poprzedzone konsultacjami z Wykonawcą w celu ustalenia, w szczególności sposobu reprezentacji Zamawiającego, realizacji zlecenia wykonawczego i sposobu wykonania tego typu usług prawniczych”</w:t>
      </w:r>
      <w:r w:rsidRPr="000405D6">
        <w:rPr>
          <w:sz w:val="24"/>
          <w:szCs w:val="24"/>
        </w:rPr>
        <w:t>.</w:t>
      </w:r>
    </w:p>
    <w:p w14:paraId="5DFE4F68" w14:textId="77777777" w:rsidR="00717E73" w:rsidRPr="000405D6" w:rsidRDefault="00717E73" w:rsidP="000405D6">
      <w:r w:rsidRPr="000405D6">
        <w:t>Jednocześnie jedno z kryteriów oceny ofert dotyczy: „Cena za reprezentację Zamawiającego (Cp) – 10%. Ocena złożonych ofert w zakresie kryterium „Cena za reprezentację Zamawiającego” (Cp) zostanie dokonana na podstawie ceny brutto za reprezentację Zamawiającego przed sądem lub organem administracji publicznej w ramach jednej sprawy (tj. wynikającej z uwzględnienia wszystkich kosztów jakie wykonawca poniesie w związku z realizacją danego zakresu przedmiotu zamówienia, w tym z VAT), podanej w formularzu ofertowym, stanowiącym załącznik nr 2 do SWZ.”. W związku z powyższym prosimy o wyjaśnienie lub udzielenie informacji w zakresie:</w:t>
      </w:r>
    </w:p>
    <w:p w14:paraId="3F833EFA" w14:textId="77777777" w:rsidR="00247BF0" w:rsidRPr="000405D6" w:rsidRDefault="00717E73" w:rsidP="000405D6">
      <w:pPr>
        <w:pStyle w:val="Akapitzlist"/>
        <w:numPr>
          <w:ilvl w:val="0"/>
          <w:numId w:val="23"/>
        </w:numPr>
        <w:ind w:left="426" w:hanging="426"/>
      </w:pPr>
      <w:r w:rsidRPr="000405D6">
        <w:t>Jaka była liczba tożsamych usług zrealizowana w toku poprzedniego zamówienia o tym samych charakterze i zakresie (tj. zamówienia poprzedzającego zamówienie, które ma być realizowane na podstawie przedmiotowego postępowania)?</w:t>
      </w:r>
    </w:p>
    <w:p w14:paraId="25ABA9B2" w14:textId="77777777" w:rsidR="00247BF0" w:rsidRPr="000405D6" w:rsidRDefault="00717E73" w:rsidP="000405D6">
      <w:pPr>
        <w:pStyle w:val="Akapitzlist"/>
        <w:numPr>
          <w:ilvl w:val="0"/>
          <w:numId w:val="23"/>
        </w:numPr>
        <w:ind w:left="426" w:hanging="426"/>
      </w:pPr>
      <w:r w:rsidRPr="000405D6">
        <w:t>Jakiej (choćby przybliżonej) liczby tego rodzaju usług należy spodziewać się w toku realizowanego zamówienia?</w:t>
      </w:r>
    </w:p>
    <w:p w14:paraId="56E0DF30" w14:textId="77777777" w:rsidR="00247BF0" w:rsidRPr="000405D6" w:rsidRDefault="00717E73" w:rsidP="000405D6">
      <w:pPr>
        <w:pStyle w:val="Akapitzlist"/>
        <w:numPr>
          <w:ilvl w:val="0"/>
          <w:numId w:val="23"/>
        </w:numPr>
        <w:ind w:left="426" w:hanging="426"/>
      </w:pPr>
      <w:r w:rsidRPr="000405D6">
        <w:lastRenderedPageBreak/>
        <w:t>Czy usługi te mogą wyniknąć wyłącznie ze spraw zleconych Wykonawcy w ramach przedmiotowego zamówienia, czy też mogą dotyczyć innych spraw, np. wszczętych w przeszłości?</w:t>
      </w:r>
    </w:p>
    <w:p w14:paraId="6D46DE7E" w14:textId="77777777" w:rsidR="00247BF0" w:rsidRPr="000405D6" w:rsidRDefault="00717E73" w:rsidP="000405D6">
      <w:pPr>
        <w:pStyle w:val="Akapitzlist"/>
        <w:numPr>
          <w:ilvl w:val="0"/>
          <w:numId w:val="23"/>
        </w:numPr>
        <w:ind w:left="426" w:hanging="426"/>
      </w:pPr>
      <w:r w:rsidRPr="000405D6">
        <w:t>Czy usługi te mogą dotyczyć kontynuacji obsługi spraw po Wykonawcy zamówienia poprzedzającego zamówienie, które ma być realizowane na podstawie przedmiotowego postępowania?</w:t>
      </w:r>
    </w:p>
    <w:p w14:paraId="1B208082" w14:textId="77777777" w:rsidR="00766B0C" w:rsidRDefault="00717E73" w:rsidP="00766B0C">
      <w:r w:rsidRPr="000405D6">
        <w:t>Uzyskanie powyższych informacji jest konieczne przy kalkulacji ceny ofert.</w:t>
      </w:r>
    </w:p>
    <w:p w14:paraId="77A60B3E" w14:textId="77777777" w:rsidR="00766B0C" w:rsidRDefault="00717E73" w:rsidP="00766B0C">
      <w:r w:rsidRPr="00766B0C">
        <w:rPr>
          <w:b/>
          <w:bCs/>
        </w:rPr>
        <w:t>Odpowiedź na pytanie 2:</w:t>
      </w:r>
      <w:r w:rsidR="000405D6" w:rsidRPr="00766B0C">
        <w:rPr>
          <w:b/>
          <w:bCs/>
        </w:rPr>
        <w:br/>
      </w:r>
      <w:r w:rsidR="002F4D8A" w:rsidRPr="000405D6">
        <w:t>Zamawiający wskazuje, że tożsama usługa nie była zlecana w toku realizacji poprzedniego zamówienia. Na obecnym etapie trudno jest przewidzieć, jakiej liczby tego rodzaju usług w ramach przedmiotowego zamówienia należy się spodziewać, jednak w oparciu o dotychczasowe doświadczenie można uznać, że będą one miały charakter incydentalny. Odnosząc się natomiast do pytań ujętych w pkt 3 i 4 - w związku z tym, że usługi w tym zakresie nie były zlecane na podstawie dotychczasowej umowy o tożsamym zakresie, usługi te mogą obejmować jedynie sprawy przyszłe.</w:t>
      </w:r>
    </w:p>
    <w:p w14:paraId="4930684E" w14:textId="77777777" w:rsidR="00766B0C" w:rsidRDefault="00717E73" w:rsidP="00766B0C">
      <w:r w:rsidRPr="00766B0C">
        <w:rPr>
          <w:b/>
          <w:bCs/>
        </w:rPr>
        <w:t>Pytanie nr 3:</w:t>
      </w:r>
      <w:r w:rsidR="000405D6" w:rsidRPr="00766B0C">
        <w:rPr>
          <w:b/>
          <w:bCs/>
        </w:rPr>
        <w:br/>
      </w:r>
      <w:r w:rsidRPr="000405D6">
        <w:t>Prosimy o potwierdzenie, że wykazanie spełnienia warunków udziału w postępowaniu określonych w pkt VI. 2. b) tiret i. – iv. SWZ może nastąpić w ten sposób, że jedna ze wskazanych przez Wykonawcę osób będzie spełniała więcej niż jeden z określonych w powyższym zakresie warunków udziału w postępowaniu.</w:t>
      </w:r>
    </w:p>
    <w:p w14:paraId="19608560" w14:textId="7E1A11F9" w:rsidR="00717E73" w:rsidRPr="00717E73" w:rsidRDefault="00717E73" w:rsidP="00766B0C">
      <w:r w:rsidRPr="00766B0C">
        <w:rPr>
          <w:b/>
          <w:bCs/>
        </w:rPr>
        <w:t>Odpowiedź na pytanie nr 3:</w:t>
      </w:r>
      <w:r w:rsidR="000405D6" w:rsidRPr="00766B0C">
        <w:rPr>
          <w:b/>
          <w:bCs/>
        </w:rPr>
        <w:br/>
      </w:r>
      <w:r w:rsidR="002F4D8A" w:rsidRPr="000405D6">
        <w:t xml:space="preserve">Zamawiający dopuszcza taką możliwość, aby jedna osoba </w:t>
      </w:r>
      <w:r w:rsidR="00B574B6" w:rsidRPr="000405D6">
        <w:t xml:space="preserve">była </w:t>
      </w:r>
      <w:r w:rsidR="002F4D8A" w:rsidRPr="000405D6">
        <w:t xml:space="preserve">wykazana przez Wykonawcę </w:t>
      </w:r>
      <w:r w:rsidR="00B574B6" w:rsidRPr="000405D6">
        <w:t xml:space="preserve">na potwierdzenie </w:t>
      </w:r>
      <w:r w:rsidR="002F4D8A" w:rsidRPr="000405D6">
        <w:t>spełni</w:t>
      </w:r>
      <w:r w:rsidR="00B574B6" w:rsidRPr="000405D6">
        <w:t>enia</w:t>
      </w:r>
      <w:r w:rsidR="002F4D8A" w:rsidRPr="000405D6">
        <w:t xml:space="preserve"> więcej niż jed</w:t>
      </w:r>
      <w:r w:rsidR="00B574B6" w:rsidRPr="000405D6">
        <w:t>nego z warunków</w:t>
      </w:r>
      <w:r w:rsidR="002F4D8A" w:rsidRPr="000405D6">
        <w:t xml:space="preserve"> określonych w </w:t>
      </w:r>
      <w:r w:rsidR="00B574B6" w:rsidRPr="000405D6">
        <w:t>rozdziale</w:t>
      </w:r>
      <w:r w:rsidR="002F4D8A" w:rsidRPr="000405D6">
        <w:t xml:space="preserve"> VI</w:t>
      </w:r>
      <w:r w:rsidR="00B574B6" w:rsidRPr="000405D6">
        <w:t xml:space="preserve"> ust.</w:t>
      </w:r>
      <w:r w:rsidR="002F4D8A" w:rsidRPr="000405D6">
        <w:t xml:space="preserve"> 2</w:t>
      </w:r>
      <w:r w:rsidR="00B574B6" w:rsidRPr="000405D6">
        <w:t xml:space="preserve"> pkt 4 lit.</w:t>
      </w:r>
      <w:r w:rsidR="002F4D8A" w:rsidRPr="000405D6">
        <w:t xml:space="preserve"> b) tiret i. – iv. SWZ.</w:t>
      </w:r>
    </w:p>
    <w:p w14:paraId="35B287F9" w14:textId="1B2615DB" w:rsidR="00BF102F" w:rsidRDefault="00BF102F" w:rsidP="00C34D96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8A2859">
        <w:rPr>
          <w:rFonts w:cs="Calibri"/>
          <w:b w:val="0"/>
          <w:bCs w:val="0"/>
          <w:sz w:val="24"/>
          <w:szCs w:val="24"/>
        </w:rPr>
        <w:lastRenderedPageBreak/>
        <w:t>Zamawiający zaznacza, że wyjaśnienia treści SWZ są wiążące dla wszystkich Wykonawców. Termin składania i otwarcia ofert nie ulega zmianie.</w:t>
      </w:r>
    </w:p>
    <w:p w14:paraId="6F7739FA" w14:textId="77777777" w:rsidR="00BF20E4" w:rsidRPr="008A2859" w:rsidRDefault="00BF20E4" w:rsidP="00BF20E4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50904BB7" w14:textId="3C36AB0C" w:rsidR="00BF20E4" w:rsidRPr="00BF20E4" w:rsidRDefault="00217F89" w:rsidP="00BF20E4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Agnieszka Krauzowicz</w:t>
      </w:r>
      <w:r w:rsidR="00BF20E4" w:rsidRPr="008A2859">
        <w:rPr>
          <w:rFonts w:cs="Calibri"/>
          <w:b w:val="0"/>
          <w:bCs w:val="0"/>
          <w:sz w:val="24"/>
          <w:szCs w:val="22"/>
        </w:rPr>
        <w:br/>
      </w:r>
      <w:r>
        <w:rPr>
          <w:rFonts w:cs="Calibri"/>
          <w:b w:val="0"/>
          <w:bCs w:val="0"/>
          <w:sz w:val="24"/>
          <w:szCs w:val="22"/>
        </w:rPr>
        <w:t xml:space="preserve">Zastępca </w:t>
      </w:r>
      <w:r w:rsidR="00BF20E4" w:rsidRPr="008A2859">
        <w:rPr>
          <w:rFonts w:cs="Calibri"/>
          <w:b w:val="0"/>
          <w:bCs w:val="0"/>
          <w:sz w:val="24"/>
          <w:szCs w:val="22"/>
        </w:rPr>
        <w:t>Dyrektor</w:t>
      </w:r>
      <w:r>
        <w:rPr>
          <w:rFonts w:cs="Calibri"/>
          <w:b w:val="0"/>
          <w:bCs w:val="0"/>
          <w:sz w:val="24"/>
          <w:szCs w:val="22"/>
        </w:rPr>
        <w:t>a</w:t>
      </w:r>
      <w:r w:rsidR="00BF20E4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BF20E4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sectPr w:rsidR="00BF20E4" w:rsidRPr="00BF20E4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8869" w14:textId="77777777" w:rsidR="00C95668" w:rsidRDefault="00C95668">
      <w:r>
        <w:separator/>
      </w:r>
    </w:p>
  </w:endnote>
  <w:endnote w:type="continuationSeparator" w:id="0">
    <w:p w14:paraId="319A338F" w14:textId="77777777" w:rsidR="00C95668" w:rsidRDefault="00C9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3D5AD561" w:rsidR="00545A4B" w:rsidRPr="00BB02F4" w:rsidRDefault="00000000" w:rsidP="00BB02F4">
    <w:pPr>
      <w:pStyle w:val="Stopka"/>
      <w:tabs>
        <w:tab w:val="right" w:pos="9720"/>
      </w:tabs>
      <w:spacing w:before="0" w:after="0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left:0;text-align:left;margin-left:-62.45pt;margin-top:514.6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BB02F4" w:rsidRPr="00BB02F4">
      <w:rPr>
        <w:rFonts w:asciiTheme="minorHAnsi" w:hAnsiTheme="minorHAnsi" w:cstheme="minorHAnsi"/>
        <w:sz w:val="14"/>
        <w:szCs w:val="14"/>
        <w:lang w:eastAsia="ar-SA"/>
      </w:rPr>
      <w:t xml:space="preserve">Zamówienie jest </w:t>
    </w:r>
    <w:r w:rsidR="00BB02F4" w:rsidRPr="00BB02F4">
      <w:rPr>
        <w:rFonts w:asciiTheme="minorHAnsi" w:hAnsiTheme="minorHAnsi" w:cstheme="minorHAnsi"/>
        <w:sz w:val="14"/>
        <w:szCs w:val="14"/>
        <w:lang w:eastAsia="it-IT"/>
      </w:rPr>
      <w:t xml:space="preserve">współfinansowane </w:t>
    </w:r>
    <w:r w:rsidR="00BB02F4" w:rsidRPr="00BB02F4">
      <w:rPr>
        <w:rFonts w:asciiTheme="minorHAnsi" w:hAnsiTheme="minorHAnsi" w:cstheme="minorHAnsi"/>
        <w:sz w:val="14"/>
        <w:szCs w:val="14"/>
        <w:lang w:eastAsia="ar-SA"/>
      </w:rPr>
      <w:t>ze środków Europejskiego Funduszu Rozwoju Regionalnego w ramach Pomocy Technicznej Programu Operacyjnego Fundusze Europejskie na Rozwój Cyfrowy 2021-2027 oraz Pomocy Technicznej Programu Fundusze Europejskie dla Rozwoju Społecznego 2021-2027, a także ze środków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A220" w14:textId="77777777" w:rsidR="00C95668" w:rsidRDefault="00C95668">
      <w:r>
        <w:separator/>
      </w:r>
    </w:p>
  </w:footnote>
  <w:footnote w:type="continuationSeparator" w:id="0">
    <w:p w14:paraId="6E47B833" w14:textId="77777777" w:rsidR="00C95668" w:rsidRDefault="00C9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58BF2A97" w:rsidR="00AF3CB9" w:rsidRDefault="00BB02F4" w:rsidP="00545A4B">
    <w:pPr>
      <w:pStyle w:val="Nagwek"/>
      <w:jc w:val="center"/>
    </w:pPr>
    <w:r w:rsidRPr="00BB02F4">
      <w:rPr>
        <w:rFonts w:ascii="Times New Roman" w:hAnsi="Times New Roman"/>
        <w:noProof/>
        <w:lang w:eastAsia="ar-SA"/>
      </w:rPr>
      <w:drawing>
        <wp:inline distT="0" distB="0" distL="0" distR="0" wp14:anchorId="3B84CC85" wp14:editId="15F204E7">
          <wp:extent cx="5426710" cy="433705"/>
          <wp:effectExtent l="0" t="0" r="2540" b="4445"/>
          <wp:docPr id="35964060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406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22F6"/>
    <w:multiLevelType w:val="hybridMultilevel"/>
    <w:tmpl w:val="01DA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5"/>
  </w:num>
  <w:num w:numId="23" w16cid:durableId="885215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05D6"/>
    <w:rsid w:val="0004603C"/>
    <w:rsid w:val="00065C40"/>
    <w:rsid w:val="00070D87"/>
    <w:rsid w:val="000769AC"/>
    <w:rsid w:val="00094EF6"/>
    <w:rsid w:val="000C58C0"/>
    <w:rsid w:val="000C6BC1"/>
    <w:rsid w:val="000E21EF"/>
    <w:rsid w:val="000F75A5"/>
    <w:rsid w:val="001561C5"/>
    <w:rsid w:val="00214307"/>
    <w:rsid w:val="00217F89"/>
    <w:rsid w:val="00247BF0"/>
    <w:rsid w:val="002571F6"/>
    <w:rsid w:val="002B08FC"/>
    <w:rsid w:val="002D66BB"/>
    <w:rsid w:val="002E6BDD"/>
    <w:rsid w:val="002F4D8A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87A1E"/>
    <w:rsid w:val="005A056A"/>
    <w:rsid w:val="005B71B6"/>
    <w:rsid w:val="005B7917"/>
    <w:rsid w:val="005E22E2"/>
    <w:rsid w:val="006760F1"/>
    <w:rsid w:val="006D19B4"/>
    <w:rsid w:val="006E040C"/>
    <w:rsid w:val="007021C9"/>
    <w:rsid w:val="007077F2"/>
    <w:rsid w:val="00717E73"/>
    <w:rsid w:val="0075663E"/>
    <w:rsid w:val="00760990"/>
    <w:rsid w:val="00761B48"/>
    <w:rsid w:val="00766B0C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7B93"/>
    <w:rsid w:val="00AD274B"/>
    <w:rsid w:val="00AD33C6"/>
    <w:rsid w:val="00AF3CB9"/>
    <w:rsid w:val="00AF4EB4"/>
    <w:rsid w:val="00B371AE"/>
    <w:rsid w:val="00B40CF7"/>
    <w:rsid w:val="00B546E9"/>
    <w:rsid w:val="00B574B6"/>
    <w:rsid w:val="00B619ED"/>
    <w:rsid w:val="00B82EF6"/>
    <w:rsid w:val="00BB02F4"/>
    <w:rsid w:val="00BC79CC"/>
    <w:rsid w:val="00BF102F"/>
    <w:rsid w:val="00BF20E4"/>
    <w:rsid w:val="00C06AC7"/>
    <w:rsid w:val="00C0733F"/>
    <w:rsid w:val="00C14A13"/>
    <w:rsid w:val="00C3461A"/>
    <w:rsid w:val="00C34D96"/>
    <w:rsid w:val="00C95668"/>
    <w:rsid w:val="00C965EE"/>
    <w:rsid w:val="00CA4211"/>
    <w:rsid w:val="00CB3F91"/>
    <w:rsid w:val="00CB53C1"/>
    <w:rsid w:val="00CC431D"/>
    <w:rsid w:val="00CF1AB9"/>
    <w:rsid w:val="00D518A2"/>
    <w:rsid w:val="00DC0C56"/>
    <w:rsid w:val="00E1663C"/>
    <w:rsid w:val="00E33827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 09.04</vt:lpstr>
    </vt:vector>
  </TitlesOfParts>
  <Company>MRR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 09.04</dc:title>
  <dc:creator>Soon</dc:creator>
  <cp:lastModifiedBy>Mateusz Stachurski</cp:lastModifiedBy>
  <cp:revision>16</cp:revision>
  <cp:lastPrinted>2018-03-26T09:55:00Z</cp:lastPrinted>
  <dcterms:created xsi:type="dcterms:W3CDTF">2024-04-09T11:06:00Z</dcterms:created>
  <dcterms:modified xsi:type="dcterms:W3CDTF">2024-04-09T12:54:00Z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