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9C15" w14:textId="403E5506" w:rsidR="001C3550" w:rsidRPr="00FB626D" w:rsidRDefault="007C3C8A" w:rsidP="001C3550">
      <w:pPr>
        <w:rPr>
          <w:rFonts w:ascii="Arial" w:hAnsi="Arial" w:cs="Arial"/>
          <w:sz w:val="24"/>
          <w:szCs w:val="24"/>
        </w:rPr>
      </w:pPr>
      <w:r>
        <w:rPr>
          <w:rFonts w:ascii="Arial" w:hAnsi="Arial" w:cs="Arial"/>
          <w:sz w:val="24"/>
          <w:szCs w:val="24"/>
        </w:rPr>
        <w:t xml:space="preserve"> </w:t>
      </w:r>
      <w:r w:rsidR="001C3550" w:rsidRPr="007D6D5C">
        <w:rPr>
          <w:rFonts w:ascii="Arial" w:hAnsi="Arial" w:cs="Arial"/>
          <w:sz w:val="24"/>
          <w:szCs w:val="24"/>
        </w:rPr>
        <w:t>OR.271.</w:t>
      </w:r>
      <w:r w:rsidR="00365D97">
        <w:rPr>
          <w:rFonts w:ascii="Arial" w:hAnsi="Arial" w:cs="Arial"/>
          <w:sz w:val="24"/>
          <w:szCs w:val="24"/>
        </w:rPr>
        <w:t>6</w:t>
      </w:r>
      <w:r w:rsidR="001C3550" w:rsidRPr="007D6D5C">
        <w:rPr>
          <w:rFonts w:ascii="Arial" w:hAnsi="Arial" w:cs="Arial"/>
          <w:sz w:val="24"/>
          <w:szCs w:val="24"/>
        </w:rPr>
        <w:t>.202</w:t>
      </w:r>
      <w:r w:rsidR="003B275C" w:rsidRPr="007D6D5C">
        <w:rPr>
          <w:rFonts w:ascii="Arial" w:hAnsi="Arial" w:cs="Arial"/>
          <w:sz w:val="24"/>
          <w:szCs w:val="24"/>
        </w:rPr>
        <w:t>3</w:t>
      </w:r>
    </w:p>
    <w:p w14:paraId="5CE543F9" w14:textId="0CFE2492" w:rsidR="00B87759" w:rsidRPr="00FB626D" w:rsidRDefault="001C3550" w:rsidP="001C3550">
      <w:pPr>
        <w:jc w:val="center"/>
        <w:rPr>
          <w:rFonts w:ascii="Arial" w:hAnsi="Arial" w:cs="Arial"/>
          <w:sz w:val="28"/>
          <w:szCs w:val="28"/>
        </w:rPr>
      </w:pPr>
      <w:r w:rsidRPr="00FB626D">
        <w:rPr>
          <w:rFonts w:ascii="Arial" w:hAnsi="Arial" w:cs="Arial"/>
          <w:sz w:val="28"/>
          <w:szCs w:val="28"/>
        </w:rPr>
        <w:t>Opis przedmiotu zamówienia</w:t>
      </w:r>
    </w:p>
    <w:p w14:paraId="4B27DB01" w14:textId="6E2FC8FA" w:rsidR="001C3550" w:rsidRPr="00E96B39" w:rsidRDefault="001C3550">
      <w:pPr>
        <w:rPr>
          <w:rFonts w:ascii="Arial" w:hAnsi="Arial" w:cs="Arial"/>
          <w:sz w:val="24"/>
          <w:szCs w:val="24"/>
        </w:rPr>
      </w:pPr>
    </w:p>
    <w:p w14:paraId="4F48EEAA" w14:textId="6410C0E7" w:rsidR="001C3550" w:rsidRDefault="001C3550" w:rsidP="00E96B39">
      <w:pPr>
        <w:jc w:val="both"/>
        <w:rPr>
          <w:rFonts w:ascii="Arial" w:hAnsi="Arial" w:cs="Arial"/>
          <w:sz w:val="24"/>
          <w:szCs w:val="24"/>
        </w:rPr>
      </w:pPr>
      <w:r w:rsidRPr="001C3550">
        <w:rPr>
          <w:rFonts w:ascii="Arial" w:hAnsi="Arial" w:cs="Arial"/>
          <w:sz w:val="24"/>
          <w:szCs w:val="24"/>
        </w:rPr>
        <w:t xml:space="preserve">Przedmiotem </w:t>
      </w:r>
      <w:r w:rsidR="00FB626D">
        <w:rPr>
          <w:rFonts w:ascii="Arial" w:hAnsi="Arial" w:cs="Arial"/>
          <w:sz w:val="24"/>
          <w:szCs w:val="24"/>
        </w:rPr>
        <w:t>zamówienia</w:t>
      </w:r>
      <w:r w:rsidRPr="001C3550">
        <w:rPr>
          <w:rFonts w:ascii="Arial" w:hAnsi="Arial" w:cs="Arial"/>
          <w:sz w:val="24"/>
          <w:szCs w:val="24"/>
        </w:rPr>
        <w:t xml:space="preserve"> </w:t>
      </w:r>
      <w:r w:rsidRPr="0007391B">
        <w:rPr>
          <w:rFonts w:ascii="Arial" w:hAnsi="Arial" w:cs="Arial"/>
          <w:sz w:val="24"/>
          <w:szCs w:val="24"/>
        </w:rPr>
        <w:t>j</w:t>
      </w:r>
      <w:r w:rsidR="001F57D6" w:rsidRPr="0007391B">
        <w:rPr>
          <w:rFonts w:ascii="Arial" w:hAnsi="Arial" w:cs="Arial"/>
          <w:sz w:val="24"/>
          <w:szCs w:val="24"/>
        </w:rPr>
        <w:t xml:space="preserve">est </w:t>
      </w:r>
      <w:r w:rsidR="00365D97" w:rsidRPr="00365D97">
        <w:rPr>
          <w:rFonts w:ascii="Arial" w:hAnsi="Arial" w:cs="Arial"/>
          <w:sz w:val="24"/>
          <w:szCs w:val="24"/>
        </w:rPr>
        <w:t>remont drogi gminnej nr 840 591P Plugawice - Tonia</w:t>
      </w:r>
      <w:r w:rsidR="003B275C" w:rsidRPr="00365D97">
        <w:rPr>
          <w:rFonts w:ascii="Arial" w:hAnsi="Arial" w:cs="Arial"/>
          <w:sz w:val="24"/>
          <w:szCs w:val="24"/>
        </w:rPr>
        <w:t xml:space="preserve">. </w:t>
      </w:r>
      <w:r w:rsidR="001F57D6">
        <w:rPr>
          <w:rFonts w:ascii="Arial" w:hAnsi="Arial" w:cs="Arial"/>
          <w:sz w:val="24"/>
          <w:szCs w:val="24"/>
        </w:rPr>
        <w:t>Inwestycja realizowana będzie w miejscowości</w:t>
      </w:r>
      <w:r w:rsidR="00612E4E">
        <w:rPr>
          <w:rFonts w:ascii="Arial" w:hAnsi="Arial" w:cs="Arial"/>
          <w:sz w:val="24"/>
          <w:szCs w:val="24"/>
        </w:rPr>
        <w:t xml:space="preserve"> </w:t>
      </w:r>
      <w:r w:rsidR="00365D97">
        <w:rPr>
          <w:rFonts w:ascii="Arial" w:hAnsi="Arial" w:cs="Arial"/>
          <w:sz w:val="24"/>
          <w:szCs w:val="24"/>
        </w:rPr>
        <w:t>Tonia</w:t>
      </w:r>
      <w:r w:rsidR="001F57D6">
        <w:rPr>
          <w:rFonts w:ascii="Arial" w:hAnsi="Arial" w:cs="Arial"/>
          <w:sz w:val="24"/>
          <w:szCs w:val="24"/>
        </w:rPr>
        <w:t>.</w:t>
      </w:r>
    </w:p>
    <w:p w14:paraId="31386564" w14:textId="77777777" w:rsidR="008E0017" w:rsidRDefault="008E0017" w:rsidP="00E96B39">
      <w:pPr>
        <w:jc w:val="both"/>
        <w:rPr>
          <w:rFonts w:ascii="Arial" w:hAnsi="Arial" w:cs="Arial"/>
          <w:sz w:val="24"/>
          <w:szCs w:val="24"/>
        </w:rPr>
      </w:pPr>
    </w:p>
    <w:p w14:paraId="2611FC2B" w14:textId="7B1526C0" w:rsidR="00465639" w:rsidRPr="00465639" w:rsidRDefault="008E0017" w:rsidP="00465639">
      <w:pPr>
        <w:spacing w:after="0"/>
        <w:jc w:val="both"/>
        <w:rPr>
          <w:rFonts w:ascii="Arial" w:hAnsi="Arial" w:cs="Arial"/>
          <w:sz w:val="24"/>
          <w:szCs w:val="24"/>
        </w:rPr>
      </w:pPr>
      <w:r w:rsidRPr="008E0017">
        <w:rPr>
          <w:rFonts w:ascii="Arial" w:hAnsi="Arial" w:cs="Arial"/>
          <w:sz w:val="24"/>
          <w:szCs w:val="24"/>
        </w:rPr>
        <w:t xml:space="preserve">W ramach zadania planuje się wykonanie </w:t>
      </w:r>
      <w:r w:rsidR="00465639">
        <w:rPr>
          <w:rFonts w:ascii="Arial" w:hAnsi="Arial" w:cs="Arial"/>
          <w:sz w:val="24"/>
          <w:szCs w:val="24"/>
        </w:rPr>
        <w:t>remontu</w:t>
      </w:r>
      <w:r w:rsidR="00A24CB5">
        <w:rPr>
          <w:rFonts w:ascii="Arial" w:hAnsi="Arial" w:cs="Arial"/>
          <w:sz w:val="24"/>
          <w:szCs w:val="24"/>
        </w:rPr>
        <w:t xml:space="preserve"> </w:t>
      </w:r>
      <w:r w:rsidRPr="0075698B">
        <w:rPr>
          <w:rFonts w:ascii="Arial" w:hAnsi="Arial" w:cs="Arial"/>
          <w:sz w:val="24"/>
          <w:szCs w:val="24"/>
        </w:rPr>
        <w:t>odcin</w:t>
      </w:r>
      <w:r w:rsidR="00A24CB5">
        <w:rPr>
          <w:rFonts w:ascii="Arial" w:hAnsi="Arial" w:cs="Arial"/>
          <w:sz w:val="24"/>
          <w:szCs w:val="24"/>
        </w:rPr>
        <w:t>ka drogi</w:t>
      </w:r>
      <w:r w:rsidRPr="0075698B">
        <w:rPr>
          <w:rFonts w:ascii="Arial" w:hAnsi="Arial" w:cs="Arial"/>
          <w:sz w:val="24"/>
          <w:szCs w:val="24"/>
        </w:rPr>
        <w:t xml:space="preserve"> o dł.</w:t>
      </w:r>
      <w:r w:rsidR="0075698B" w:rsidRPr="0075698B">
        <w:rPr>
          <w:rFonts w:ascii="Arial" w:hAnsi="Arial" w:cs="Arial"/>
          <w:sz w:val="24"/>
          <w:szCs w:val="24"/>
        </w:rPr>
        <w:t xml:space="preserve"> </w:t>
      </w:r>
      <w:r w:rsidR="008F4B17">
        <w:rPr>
          <w:rFonts w:ascii="Arial" w:hAnsi="Arial" w:cs="Arial"/>
          <w:sz w:val="24"/>
          <w:szCs w:val="24"/>
        </w:rPr>
        <w:t>1800</w:t>
      </w:r>
      <w:r w:rsidR="00A24CB5">
        <w:rPr>
          <w:rFonts w:ascii="Arial" w:hAnsi="Arial" w:cs="Arial"/>
          <w:sz w:val="24"/>
          <w:szCs w:val="24"/>
        </w:rPr>
        <w:t>,</w:t>
      </w:r>
      <w:r w:rsidR="008F4B17">
        <w:rPr>
          <w:rFonts w:ascii="Arial" w:hAnsi="Arial" w:cs="Arial"/>
          <w:sz w:val="24"/>
          <w:szCs w:val="24"/>
        </w:rPr>
        <w:t>0</w:t>
      </w:r>
      <w:r w:rsidR="00A24CB5">
        <w:rPr>
          <w:rFonts w:ascii="Arial" w:hAnsi="Arial" w:cs="Arial"/>
          <w:sz w:val="24"/>
          <w:szCs w:val="24"/>
        </w:rPr>
        <w:t>0</w:t>
      </w:r>
      <w:r w:rsidRPr="0075698B">
        <w:rPr>
          <w:rFonts w:ascii="Arial" w:hAnsi="Arial" w:cs="Arial"/>
          <w:sz w:val="24"/>
          <w:szCs w:val="24"/>
        </w:rPr>
        <w:t xml:space="preserve"> </w:t>
      </w:r>
      <w:r w:rsidR="0075698B" w:rsidRPr="0075698B">
        <w:rPr>
          <w:rFonts w:ascii="Arial" w:hAnsi="Arial" w:cs="Arial"/>
          <w:sz w:val="24"/>
          <w:szCs w:val="24"/>
        </w:rPr>
        <w:t>m</w:t>
      </w:r>
      <w:r w:rsidRPr="0075698B">
        <w:rPr>
          <w:rFonts w:ascii="Arial" w:hAnsi="Arial" w:cs="Arial"/>
          <w:sz w:val="24"/>
          <w:szCs w:val="24"/>
        </w:rPr>
        <w:t xml:space="preserve">. </w:t>
      </w:r>
      <w:r w:rsidR="008F4B17" w:rsidRPr="008F4B17">
        <w:rPr>
          <w:rFonts w:ascii="Arial" w:hAnsi="Arial" w:cs="Arial"/>
          <w:sz w:val="24"/>
          <w:szCs w:val="24"/>
        </w:rPr>
        <w:t xml:space="preserve">Krawędzie jezdni wykazują wiele deformacji, </w:t>
      </w:r>
      <w:proofErr w:type="spellStart"/>
      <w:r w:rsidR="008F4B17" w:rsidRPr="008F4B17">
        <w:rPr>
          <w:rFonts w:ascii="Arial" w:hAnsi="Arial" w:cs="Arial"/>
          <w:sz w:val="24"/>
          <w:szCs w:val="24"/>
        </w:rPr>
        <w:t>obłupań</w:t>
      </w:r>
      <w:proofErr w:type="spellEnd"/>
      <w:r w:rsidR="008F4B17" w:rsidRPr="008F4B17">
        <w:rPr>
          <w:rFonts w:ascii="Arial" w:hAnsi="Arial" w:cs="Arial"/>
          <w:sz w:val="24"/>
          <w:szCs w:val="24"/>
        </w:rPr>
        <w:t xml:space="preserve"> i ubytków. Stan techniczny poboczy jest niedostateczny.</w:t>
      </w:r>
      <w:r w:rsidR="00465639" w:rsidRPr="00465639">
        <w:rPr>
          <w:rFonts w:ascii="Arial" w:hAnsi="Arial" w:cs="Arial"/>
          <w:color w:val="000000"/>
        </w:rPr>
        <w:t xml:space="preserve"> </w:t>
      </w:r>
      <w:r w:rsidR="00465639" w:rsidRPr="00465639">
        <w:rPr>
          <w:rFonts w:ascii="Arial" w:hAnsi="Arial" w:cs="Arial"/>
          <w:sz w:val="24"/>
          <w:szCs w:val="24"/>
        </w:rPr>
        <w:t xml:space="preserve">W przekroju poprzecznym droga składa się z jednej jezdni o szerokości 2,50 m, o nawierzchni bitumicznej, spadku o wartości ~2,0% w kierunku pobocza. Jezdnia posiada pobocza częściowo z kruszywa oraz częściowo gruntowe porośnięte zielenią trawiastą. Występują liczne nierówności, ubytki </w:t>
      </w:r>
      <w:r w:rsidR="00A12B09">
        <w:rPr>
          <w:rFonts w:ascii="Arial" w:hAnsi="Arial" w:cs="Arial"/>
          <w:sz w:val="24"/>
          <w:szCs w:val="24"/>
        </w:rPr>
        <w:t xml:space="preserve">                               </w:t>
      </w:r>
      <w:r w:rsidR="00465639" w:rsidRPr="00465639">
        <w:rPr>
          <w:rFonts w:ascii="Arial" w:hAnsi="Arial" w:cs="Arial"/>
          <w:sz w:val="24"/>
          <w:szCs w:val="24"/>
        </w:rPr>
        <w:t xml:space="preserve">i </w:t>
      </w:r>
      <w:proofErr w:type="spellStart"/>
      <w:r w:rsidR="00465639" w:rsidRPr="00465639">
        <w:rPr>
          <w:rFonts w:ascii="Arial" w:hAnsi="Arial" w:cs="Arial"/>
          <w:sz w:val="24"/>
          <w:szCs w:val="24"/>
        </w:rPr>
        <w:t>zadolenia</w:t>
      </w:r>
      <w:proofErr w:type="spellEnd"/>
      <w:r w:rsidR="00465639" w:rsidRPr="00465639">
        <w:rPr>
          <w:rFonts w:ascii="Arial" w:hAnsi="Arial" w:cs="Arial"/>
          <w:sz w:val="24"/>
          <w:szCs w:val="24"/>
        </w:rPr>
        <w:t xml:space="preserve">. Po obu stronach drogi znajdują się gospodarstwa rolnicze, pola uprawne. </w:t>
      </w:r>
    </w:p>
    <w:p w14:paraId="1DF6E8A6" w14:textId="1B03CE52" w:rsidR="00A24CB5" w:rsidRDefault="00465639" w:rsidP="00465639">
      <w:pPr>
        <w:spacing w:after="0"/>
        <w:jc w:val="both"/>
        <w:rPr>
          <w:rFonts w:ascii="Arial" w:hAnsi="Arial" w:cs="Arial"/>
          <w:sz w:val="24"/>
          <w:szCs w:val="24"/>
        </w:rPr>
      </w:pPr>
      <w:r w:rsidRPr="00465639">
        <w:rPr>
          <w:rFonts w:ascii="Arial" w:hAnsi="Arial" w:cs="Arial"/>
          <w:sz w:val="24"/>
          <w:szCs w:val="24"/>
        </w:rPr>
        <w:t>W obszarze inwestycji występują również sieci: telekomunikacyjna, wodociągowa, energetyczna, które nie kolidują z zakresem robót.</w:t>
      </w:r>
    </w:p>
    <w:p w14:paraId="3BDB5FC9" w14:textId="0B7BBBFE" w:rsidR="00BE1AE5" w:rsidRPr="00532EFB" w:rsidRDefault="00BE1AE5" w:rsidP="00722D6C">
      <w:pPr>
        <w:spacing w:after="0"/>
        <w:jc w:val="both"/>
        <w:rPr>
          <w:rFonts w:ascii="Arial" w:hAnsi="Arial" w:cs="Arial"/>
          <w:sz w:val="24"/>
          <w:szCs w:val="24"/>
        </w:rPr>
      </w:pPr>
      <w:r w:rsidRPr="00532EFB">
        <w:rPr>
          <w:rFonts w:ascii="Arial" w:hAnsi="Arial" w:cs="Arial"/>
          <w:sz w:val="24"/>
          <w:szCs w:val="24"/>
        </w:rPr>
        <w:t xml:space="preserve">Zakres prac obejmuje m.in.: </w:t>
      </w:r>
    </w:p>
    <w:p w14:paraId="622F127F" w14:textId="77777777" w:rsidR="008F4B17" w:rsidRPr="008F4B17" w:rsidRDefault="008F4B17" w:rsidP="008F4B17">
      <w:pPr>
        <w:spacing w:after="0"/>
        <w:jc w:val="both"/>
        <w:rPr>
          <w:rFonts w:ascii="Arial" w:hAnsi="Arial" w:cs="Arial"/>
          <w:sz w:val="24"/>
          <w:szCs w:val="24"/>
        </w:rPr>
      </w:pPr>
      <w:r w:rsidRPr="008F4B17">
        <w:rPr>
          <w:rFonts w:ascii="Arial" w:hAnsi="Arial" w:cs="Arial"/>
          <w:sz w:val="24"/>
          <w:szCs w:val="24"/>
        </w:rPr>
        <w:t>- remont nawierzchni drogi poprzez wykonanie w-wy wyrównawczej z BA,</w:t>
      </w:r>
    </w:p>
    <w:p w14:paraId="42E5714C" w14:textId="77777777" w:rsidR="008F4B17" w:rsidRPr="008F4B17" w:rsidRDefault="008F4B17" w:rsidP="008F4B17">
      <w:pPr>
        <w:spacing w:after="0"/>
        <w:jc w:val="both"/>
        <w:rPr>
          <w:rFonts w:ascii="Arial" w:hAnsi="Arial" w:cs="Arial"/>
          <w:sz w:val="24"/>
          <w:szCs w:val="24"/>
        </w:rPr>
      </w:pPr>
      <w:r w:rsidRPr="008F4B17">
        <w:rPr>
          <w:rFonts w:ascii="Arial" w:hAnsi="Arial" w:cs="Arial"/>
          <w:sz w:val="24"/>
          <w:szCs w:val="24"/>
        </w:rPr>
        <w:t>- remont nawierzchni drogi poprzez wykonanie w-wy ścieralnej z BA,</w:t>
      </w:r>
    </w:p>
    <w:p w14:paraId="77383E4F" w14:textId="77777777" w:rsidR="008F4B17" w:rsidRPr="008F4B17" w:rsidRDefault="008F4B17" w:rsidP="008F4B17">
      <w:pPr>
        <w:spacing w:after="0"/>
        <w:jc w:val="both"/>
        <w:rPr>
          <w:rFonts w:ascii="Arial" w:hAnsi="Arial" w:cs="Arial"/>
          <w:sz w:val="24"/>
          <w:szCs w:val="24"/>
        </w:rPr>
      </w:pPr>
      <w:r w:rsidRPr="008F4B17">
        <w:rPr>
          <w:rFonts w:ascii="Arial" w:hAnsi="Arial" w:cs="Arial"/>
          <w:sz w:val="24"/>
          <w:szCs w:val="24"/>
        </w:rPr>
        <w:t>- remont obustronnego pobocza i zjazdu z kruszywa łamanego,</w:t>
      </w:r>
    </w:p>
    <w:p w14:paraId="066920F5" w14:textId="395511CF" w:rsidR="0075698B" w:rsidRDefault="008F4B17" w:rsidP="008F4B17">
      <w:pPr>
        <w:spacing w:after="0"/>
        <w:jc w:val="both"/>
        <w:rPr>
          <w:rFonts w:ascii="Arial" w:hAnsi="Arial" w:cs="Arial"/>
          <w:sz w:val="24"/>
          <w:szCs w:val="24"/>
        </w:rPr>
      </w:pPr>
      <w:r w:rsidRPr="008F4B17">
        <w:rPr>
          <w:rFonts w:ascii="Arial" w:hAnsi="Arial" w:cs="Arial"/>
          <w:sz w:val="24"/>
          <w:szCs w:val="24"/>
        </w:rPr>
        <w:t>- uzupełnienie oznakowania pionowego</w:t>
      </w:r>
      <w:r>
        <w:rPr>
          <w:rFonts w:ascii="Arial" w:hAnsi="Arial" w:cs="Arial"/>
          <w:sz w:val="24"/>
          <w:szCs w:val="24"/>
        </w:rPr>
        <w:t>.</w:t>
      </w:r>
    </w:p>
    <w:p w14:paraId="7EDF9CBF" w14:textId="77777777" w:rsidR="008F4B17" w:rsidRDefault="008F4B17" w:rsidP="008F4B17">
      <w:pPr>
        <w:spacing w:after="0"/>
        <w:jc w:val="both"/>
        <w:rPr>
          <w:rFonts w:ascii="Arial" w:hAnsi="Arial" w:cs="Arial"/>
          <w:sz w:val="24"/>
          <w:szCs w:val="24"/>
        </w:rPr>
      </w:pPr>
    </w:p>
    <w:p w14:paraId="5D352347" w14:textId="7187E784" w:rsidR="001E3D76" w:rsidRPr="00D6622F" w:rsidRDefault="00FE759F" w:rsidP="00722D6C">
      <w:pPr>
        <w:spacing w:after="0"/>
        <w:jc w:val="both"/>
        <w:rPr>
          <w:rFonts w:ascii="Arial" w:hAnsi="Arial" w:cs="Arial"/>
          <w:sz w:val="24"/>
          <w:szCs w:val="24"/>
        </w:rPr>
      </w:pPr>
      <w:r w:rsidRPr="00D6622F">
        <w:rPr>
          <w:rFonts w:ascii="Arial" w:hAnsi="Arial" w:cs="Arial"/>
          <w:sz w:val="24"/>
          <w:szCs w:val="24"/>
        </w:rPr>
        <w:t>Wykonawca zobowiązany będzie</w:t>
      </w:r>
      <w:r w:rsidR="0075698B" w:rsidRPr="00D6622F">
        <w:rPr>
          <w:rFonts w:ascii="Arial" w:hAnsi="Arial" w:cs="Arial"/>
          <w:sz w:val="24"/>
          <w:szCs w:val="24"/>
        </w:rPr>
        <w:t xml:space="preserve"> </w:t>
      </w:r>
      <w:r w:rsidRPr="00D6622F">
        <w:rPr>
          <w:rFonts w:ascii="Arial" w:hAnsi="Arial" w:cs="Arial"/>
          <w:sz w:val="24"/>
          <w:szCs w:val="24"/>
        </w:rPr>
        <w:t xml:space="preserve">do opracowania oraz wdrożenia projektu tymczasowej organizacji ruchu na czas realizacji </w:t>
      </w:r>
      <w:r w:rsidR="000039AE">
        <w:rPr>
          <w:rFonts w:ascii="Arial" w:hAnsi="Arial" w:cs="Arial"/>
          <w:sz w:val="24"/>
          <w:szCs w:val="24"/>
        </w:rPr>
        <w:t>przebudowy</w:t>
      </w:r>
      <w:r w:rsidRPr="00D6622F">
        <w:rPr>
          <w:rFonts w:ascii="Arial" w:hAnsi="Arial" w:cs="Arial"/>
          <w:sz w:val="24"/>
          <w:szCs w:val="24"/>
        </w:rPr>
        <w:t xml:space="preserve"> drogi.</w:t>
      </w:r>
    </w:p>
    <w:p w14:paraId="7D26CE7D" w14:textId="77777777" w:rsidR="00AE4B6F" w:rsidRPr="00D6622F" w:rsidRDefault="00AE4B6F" w:rsidP="00AE4B6F">
      <w:pPr>
        <w:pStyle w:val="Akapitzlist"/>
        <w:spacing w:after="0"/>
        <w:jc w:val="both"/>
        <w:rPr>
          <w:rFonts w:ascii="Arial" w:hAnsi="Arial" w:cs="Arial"/>
          <w:sz w:val="24"/>
          <w:szCs w:val="24"/>
        </w:rPr>
      </w:pPr>
    </w:p>
    <w:p w14:paraId="3A3E2252" w14:textId="051FBBE9" w:rsidR="001C3550" w:rsidRPr="00D6622F" w:rsidRDefault="001C44F1" w:rsidP="006C2F43">
      <w:pPr>
        <w:jc w:val="both"/>
        <w:rPr>
          <w:rFonts w:ascii="Arial" w:hAnsi="Arial" w:cs="Arial"/>
          <w:sz w:val="24"/>
          <w:szCs w:val="24"/>
        </w:rPr>
      </w:pPr>
      <w:r w:rsidRPr="00D6622F">
        <w:rPr>
          <w:rFonts w:ascii="Arial" w:hAnsi="Arial" w:cs="Arial"/>
          <w:sz w:val="24"/>
          <w:szCs w:val="24"/>
        </w:rPr>
        <w:t>W ramach zamówienia wykonawca zobowiązany będzie zatrudnić kierownika budowy posiadającego uprawnienia budowlane do kierowania robotami budowlanymi w specjalności</w:t>
      </w:r>
      <w:r w:rsidR="00357E93" w:rsidRPr="00D6622F">
        <w:rPr>
          <w:rFonts w:ascii="Arial" w:hAnsi="Arial" w:cs="Arial"/>
          <w:sz w:val="24"/>
          <w:szCs w:val="24"/>
        </w:rPr>
        <w:t xml:space="preserve"> drogowej oraz doświadczenie opisane w rozdziale VIII ust.2 pkt 4b</w:t>
      </w:r>
      <w:r w:rsidR="00380FC4" w:rsidRPr="00D6622F">
        <w:rPr>
          <w:rFonts w:ascii="Arial" w:hAnsi="Arial" w:cs="Arial"/>
          <w:sz w:val="24"/>
          <w:szCs w:val="24"/>
        </w:rPr>
        <w:t xml:space="preserve"> Specyfikacji Warunków Zamówienia</w:t>
      </w:r>
      <w:r w:rsidR="00357E93" w:rsidRPr="00D6622F">
        <w:rPr>
          <w:rFonts w:ascii="Arial" w:hAnsi="Arial" w:cs="Arial"/>
          <w:sz w:val="24"/>
          <w:szCs w:val="24"/>
        </w:rPr>
        <w:t xml:space="preserve">. </w:t>
      </w:r>
      <w:r w:rsidRPr="00D6622F">
        <w:rPr>
          <w:rFonts w:ascii="Arial" w:hAnsi="Arial" w:cs="Arial"/>
          <w:sz w:val="24"/>
          <w:szCs w:val="24"/>
        </w:rPr>
        <w:t xml:space="preserve"> </w:t>
      </w:r>
    </w:p>
    <w:p w14:paraId="2D788208" w14:textId="02A2EB9E" w:rsidR="008B2D68" w:rsidRDefault="008B2D68" w:rsidP="006C2F43">
      <w:pPr>
        <w:jc w:val="both"/>
        <w:rPr>
          <w:rFonts w:ascii="Arial" w:hAnsi="Arial" w:cs="Arial"/>
          <w:sz w:val="24"/>
          <w:szCs w:val="24"/>
        </w:rPr>
      </w:pPr>
      <w:r w:rsidRPr="008B2D68">
        <w:rPr>
          <w:rFonts w:ascii="Arial" w:hAnsi="Arial" w:cs="Arial"/>
          <w:sz w:val="24"/>
          <w:szCs w:val="24"/>
        </w:rPr>
        <w:t>W przypadku wystąpienia</w:t>
      </w:r>
      <w:r w:rsidR="001850D0">
        <w:rPr>
          <w:rFonts w:ascii="Arial" w:hAnsi="Arial" w:cs="Arial"/>
          <w:sz w:val="24"/>
          <w:szCs w:val="24"/>
        </w:rPr>
        <w:t xml:space="preserve"> ewentualnych</w:t>
      </w:r>
      <w:r w:rsidRPr="008B2D68">
        <w:rPr>
          <w:rFonts w:ascii="Arial" w:hAnsi="Arial" w:cs="Arial"/>
          <w:sz w:val="24"/>
          <w:szCs w:val="24"/>
        </w:rPr>
        <w:t xml:space="preserve"> rozbieżności pomiędzy poszczególnymi dokumentami załączonymi do niniejszego postępowania zamawiający wskazuje wyższość zapisów projektu budowlanego nad pozostałymi dokumentami</w:t>
      </w:r>
      <w:r>
        <w:rPr>
          <w:rFonts w:ascii="Arial" w:hAnsi="Arial" w:cs="Arial"/>
          <w:sz w:val="24"/>
          <w:szCs w:val="24"/>
        </w:rPr>
        <w:t>.</w:t>
      </w:r>
    </w:p>
    <w:p w14:paraId="2CFD0C01" w14:textId="32BA6ED5" w:rsidR="008B2D68" w:rsidRDefault="008B2D68" w:rsidP="008B2D68">
      <w:pPr>
        <w:jc w:val="both"/>
        <w:rPr>
          <w:rFonts w:ascii="Arial" w:hAnsi="Arial" w:cs="Arial"/>
          <w:sz w:val="24"/>
          <w:szCs w:val="24"/>
        </w:rPr>
      </w:pPr>
      <w:r w:rsidRPr="008B2D68">
        <w:rPr>
          <w:rFonts w:ascii="Arial" w:hAnsi="Arial" w:cs="Arial"/>
          <w:sz w:val="24"/>
          <w:szCs w:val="24"/>
        </w:rPr>
        <w:t>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w:t>
      </w:r>
      <w:r w:rsidR="00900C02">
        <w:rPr>
          <w:rFonts w:ascii="Arial" w:hAnsi="Arial" w:cs="Arial"/>
          <w:sz w:val="24"/>
          <w:szCs w:val="24"/>
        </w:rPr>
        <w:t>ch</w:t>
      </w:r>
      <w:r w:rsidRPr="008B2D68">
        <w:rPr>
          <w:rFonts w:ascii="Arial" w:hAnsi="Arial" w:cs="Arial"/>
          <w:sz w:val="24"/>
          <w:szCs w:val="24"/>
        </w:rPr>
        <w:t xml:space="preserve"> w dokumentacji, ale nie podaje minimalnych parametrów, które by tę równoważność potwierdzały – wykonawca obowiązany jest zaoferować produkt o właściwościach zbliżonych, nadający się funkcjonalnie do zapotrzebowanego zastosowania. Zgodnie z art. 101 ust. 5 ustawy </w:t>
      </w:r>
      <w:r w:rsidRPr="008B2D68">
        <w:rPr>
          <w:rFonts w:ascii="Arial" w:hAnsi="Arial" w:cs="Arial"/>
          <w:sz w:val="24"/>
          <w:szCs w:val="24"/>
        </w:rPr>
        <w:lastRenderedPageBreak/>
        <w:t>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0F3D21F9" w14:textId="07213695" w:rsidR="00481983" w:rsidRDefault="00EF5BBC" w:rsidP="008B2D68">
      <w:pPr>
        <w:jc w:val="both"/>
        <w:rPr>
          <w:rFonts w:ascii="Arial" w:hAnsi="Arial" w:cs="Arial"/>
          <w:sz w:val="24"/>
          <w:szCs w:val="24"/>
        </w:rPr>
      </w:pPr>
      <w:r>
        <w:rPr>
          <w:rFonts w:ascii="Arial" w:hAnsi="Arial" w:cs="Arial"/>
          <w:sz w:val="24"/>
          <w:szCs w:val="24"/>
        </w:rPr>
        <w:t>Po zrealizowaniu inwestycji w</w:t>
      </w:r>
      <w:r w:rsidR="00481983">
        <w:rPr>
          <w:rFonts w:ascii="Arial" w:hAnsi="Arial" w:cs="Arial"/>
          <w:sz w:val="24"/>
          <w:szCs w:val="24"/>
        </w:rPr>
        <w:t xml:space="preserve">ykonawca zobowiązany będzie </w:t>
      </w:r>
      <w:r>
        <w:rPr>
          <w:rFonts w:ascii="Arial" w:hAnsi="Arial" w:cs="Arial"/>
          <w:sz w:val="24"/>
          <w:szCs w:val="24"/>
        </w:rPr>
        <w:t xml:space="preserve">przygotować </w:t>
      </w:r>
      <w:r w:rsidR="00481983">
        <w:rPr>
          <w:rFonts w:ascii="Arial" w:hAnsi="Arial" w:cs="Arial"/>
          <w:sz w:val="24"/>
          <w:szCs w:val="24"/>
        </w:rPr>
        <w:t>dokumentację powykonawczą, zawierającą w szczególności:</w:t>
      </w:r>
    </w:p>
    <w:p w14:paraId="059D6B8C" w14:textId="5F9748D8"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Rozliczenie końcowe budowy,</w:t>
      </w:r>
    </w:p>
    <w:p w14:paraId="20FDD33B" w14:textId="03B4F5F1"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Geodezyjną inwentaryzację powykonawczą lub oświadczenie uprawnionego geodety o fakcie jej sporządzenia,</w:t>
      </w:r>
    </w:p>
    <w:p w14:paraId="504BDEC3" w14:textId="77A9E66A" w:rsid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Aprobaty i atesty na wbudowane materiały,</w:t>
      </w:r>
    </w:p>
    <w:p w14:paraId="4BF976B4" w14:textId="454C60DB" w:rsidR="00481983" w:rsidRPr="00481983" w:rsidRDefault="00481983" w:rsidP="00481983">
      <w:pPr>
        <w:pStyle w:val="Akapitzlist"/>
        <w:numPr>
          <w:ilvl w:val="0"/>
          <w:numId w:val="1"/>
        </w:numPr>
        <w:jc w:val="both"/>
        <w:rPr>
          <w:rFonts w:ascii="Arial" w:hAnsi="Arial" w:cs="Arial"/>
          <w:sz w:val="24"/>
          <w:szCs w:val="24"/>
        </w:rPr>
      </w:pPr>
      <w:r>
        <w:rPr>
          <w:rFonts w:ascii="Arial" w:hAnsi="Arial" w:cs="Arial"/>
          <w:sz w:val="24"/>
          <w:szCs w:val="24"/>
        </w:rPr>
        <w:t>Protokoły odbiorów technicznych.</w:t>
      </w:r>
    </w:p>
    <w:p w14:paraId="41F69D4B" w14:textId="77777777" w:rsidR="008B2D68" w:rsidRDefault="008B2D68" w:rsidP="006C2F43">
      <w:pPr>
        <w:jc w:val="both"/>
        <w:rPr>
          <w:rFonts w:ascii="Arial" w:hAnsi="Arial" w:cs="Arial"/>
          <w:sz w:val="24"/>
          <w:szCs w:val="24"/>
        </w:rPr>
      </w:pPr>
    </w:p>
    <w:p w14:paraId="5CE20AD1" w14:textId="77777777" w:rsidR="008B2D68" w:rsidRPr="006C2F43" w:rsidRDefault="008B2D68" w:rsidP="006C2F43">
      <w:pPr>
        <w:jc w:val="both"/>
        <w:rPr>
          <w:rFonts w:ascii="Arial" w:hAnsi="Arial" w:cs="Arial"/>
          <w:sz w:val="24"/>
          <w:szCs w:val="24"/>
        </w:rPr>
      </w:pPr>
    </w:p>
    <w:sectPr w:rsidR="008B2D68" w:rsidRPr="006C2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E9E"/>
    <w:multiLevelType w:val="hybridMultilevel"/>
    <w:tmpl w:val="C3E6F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C8031D"/>
    <w:multiLevelType w:val="hybridMultilevel"/>
    <w:tmpl w:val="314ED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420872"/>
    <w:multiLevelType w:val="hybridMultilevel"/>
    <w:tmpl w:val="F946B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7505969">
    <w:abstractNumId w:val="0"/>
  </w:num>
  <w:num w:numId="2" w16cid:durableId="1322544671">
    <w:abstractNumId w:val="1"/>
  </w:num>
  <w:num w:numId="3" w16cid:durableId="1979795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50"/>
    <w:rsid w:val="000039AE"/>
    <w:rsid w:val="00014AD9"/>
    <w:rsid w:val="0007391B"/>
    <w:rsid w:val="00101C02"/>
    <w:rsid w:val="001850D0"/>
    <w:rsid w:val="001C3550"/>
    <w:rsid w:val="001C44F1"/>
    <w:rsid w:val="001E3D76"/>
    <w:rsid w:val="001F57D6"/>
    <w:rsid w:val="002249BB"/>
    <w:rsid w:val="0023011E"/>
    <w:rsid w:val="00243712"/>
    <w:rsid w:val="00357E93"/>
    <w:rsid w:val="00365D97"/>
    <w:rsid w:val="00374750"/>
    <w:rsid w:val="00380FC4"/>
    <w:rsid w:val="003B1B21"/>
    <w:rsid w:val="003B275C"/>
    <w:rsid w:val="003C1060"/>
    <w:rsid w:val="00465639"/>
    <w:rsid w:val="00481983"/>
    <w:rsid w:val="00532EFB"/>
    <w:rsid w:val="00562169"/>
    <w:rsid w:val="00612E4E"/>
    <w:rsid w:val="006C2F43"/>
    <w:rsid w:val="006E3F2A"/>
    <w:rsid w:val="00722D6C"/>
    <w:rsid w:val="00731848"/>
    <w:rsid w:val="0075698B"/>
    <w:rsid w:val="00767B84"/>
    <w:rsid w:val="007C3C8A"/>
    <w:rsid w:val="007D6D5C"/>
    <w:rsid w:val="008B2D68"/>
    <w:rsid w:val="008E0017"/>
    <w:rsid w:val="008F4B17"/>
    <w:rsid w:val="00900C02"/>
    <w:rsid w:val="00920DA2"/>
    <w:rsid w:val="0093609C"/>
    <w:rsid w:val="009604C3"/>
    <w:rsid w:val="0098411B"/>
    <w:rsid w:val="009E5A73"/>
    <w:rsid w:val="00A12B09"/>
    <w:rsid w:val="00A24CB5"/>
    <w:rsid w:val="00AA1370"/>
    <w:rsid w:val="00AB2AF0"/>
    <w:rsid w:val="00AE4B6F"/>
    <w:rsid w:val="00B87759"/>
    <w:rsid w:val="00BB60A3"/>
    <w:rsid w:val="00BE1AE5"/>
    <w:rsid w:val="00C2332A"/>
    <w:rsid w:val="00D6622F"/>
    <w:rsid w:val="00DB2D7D"/>
    <w:rsid w:val="00DF5915"/>
    <w:rsid w:val="00E96B39"/>
    <w:rsid w:val="00EF5BBC"/>
    <w:rsid w:val="00F35D13"/>
    <w:rsid w:val="00FB626D"/>
    <w:rsid w:val="00FE7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DE7F"/>
  <w15:chartTrackingRefBased/>
  <w15:docId w15:val="{12E0D2EB-4A91-448C-A994-889B8A4B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C2F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C2F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F43"/>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C2F4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uiPriority w:val="99"/>
    <w:unhideWhenUsed/>
    <w:rsid w:val="006C2F43"/>
    <w:pPr>
      <w:spacing w:after="120"/>
    </w:pPr>
  </w:style>
  <w:style w:type="character" w:customStyle="1" w:styleId="TekstpodstawowyZnak">
    <w:name w:val="Tekst podstawowy Znak"/>
    <w:basedOn w:val="Domylnaczcionkaakapitu"/>
    <w:link w:val="Tekstpodstawowy"/>
    <w:uiPriority w:val="99"/>
    <w:rsid w:val="006C2F43"/>
  </w:style>
  <w:style w:type="paragraph" w:styleId="Akapitzlist">
    <w:name w:val="List Paragraph"/>
    <w:basedOn w:val="Normalny"/>
    <w:uiPriority w:val="34"/>
    <w:qFormat/>
    <w:rsid w:val="00481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1</Pages>
  <Words>486</Words>
  <Characters>2921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Mazur</dc:creator>
  <cp:keywords/>
  <dc:description/>
  <cp:lastModifiedBy>UG Doruchów</cp:lastModifiedBy>
  <cp:revision>26</cp:revision>
  <cp:lastPrinted>2022-04-28T10:03:00Z</cp:lastPrinted>
  <dcterms:created xsi:type="dcterms:W3CDTF">2022-04-28T09:58:00Z</dcterms:created>
  <dcterms:modified xsi:type="dcterms:W3CDTF">2023-08-01T07:09:00Z</dcterms:modified>
</cp:coreProperties>
</file>