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6" w:rsidRPr="00717338" w:rsidRDefault="00B25B36" w:rsidP="00B25B3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</w:t>
      </w:r>
      <w:r w:rsidR="00162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7338" w:rsidRPr="00717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OPIS PRZEDMIOTU ZAMÓWIENIA</w:t>
      </w:r>
    </w:p>
    <w:p w:rsidR="00717338" w:rsidRDefault="00717338" w:rsidP="0071733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25B36" w:rsidRPr="00717338" w:rsidRDefault="00B25B36" w:rsidP="00B25B36">
      <w:pPr>
        <w:widowControl w:val="0"/>
        <w:shd w:val="clear" w:color="auto" w:fill="DEEAF6" w:themeFill="accent5" w:themeFillTint="33"/>
        <w:suppressAutoHyphens/>
        <w:spacing w:before="120" w:after="12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Część zamówienia nr 1 – Zakup macierzy dyskowej typu </w:t>
      </w:r>
      <w:proofErr w:type="spellStart"/>
      <w:r w:rsidR="00E85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flash</w:t>
      </w:r>
      <w:proofErr w:type="spellEnd"/>
    </w:p>
    <w:p w:rsidR="00993C10" w:rsidRPr="00717338" w:rsidRDefault="00993C10" w:rsidP="00B25B36">
      <w:pPr>
        <w:tabs>
          <w:tab w:val="left" w:pos="1418"/>
        </w:tabs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17338">
        <w:rPr>
          <w:rFonts w:ascii="Times New Roman" w:hAnsi="Times New Roman" w:cs="Times New Roman"/>
          <w:sz w:val="24"/>
          <w:szCs w:val="24"/>
        </w:rPr>
        <w:t xml:space="preserve">Dostawa 1 szt. fabrycznie nowej macierzy dyskowej do rozbudowy </w:t>
      </w:r>
      <w:r w:rsidR="00B25B36">
        <w:rPr>
          <w:rFonts w:ascii="Times New Roman" w:hAnsi="Times New Roman" w:cs="Times New Roman"/>
          <w:sz w:val="24"/>
          <w:szCs w:val="24"/>
        </w:rPr>
        <w:t>istniejącej infrastruktury, o następujących parametrach:</w:t>
      </w:r>
    </w:p>
    <w:tbl>
      <w:tblPr>
        <w:tblW w:w="482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/>
      </w:tblPr>
      <w:tblGrid>
        <w:gridCol w:w="1933"/>
        <w:gridCol w:w="7848"/>
      </w:tblGrid>
      <w:tr w:rsidR="00717338" w:rsidRPr="00717338" w:rsidTr="00B25B36">
        <w:tc>
          <w:tcPr>
            <w:tcW w:w="988" w:type="pct"/>
            <w:shd w:val="clear" w:color="auto" w:fill="F2F2F2" w:themeFill="background1" w:themeFillShade="F2"/>
            <w:vAlign w:val="center"/>
          </w:tcPr>
          <w:p w:rsidR="00717338" w:rsidRPr="00717338" w:rsidRDefault="0052426B" w:rsidP="00B25B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717338" w:rsidRPr="0071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parametru</w:t>
            </w:r>
          </w:p>
        </w:tc>
        <w:tc>
          <w:tcPr>
            <w:tcW w:w="4012" w:type="pct"/>
            <w:shd w:val="clear" w:color="auto" w:fill="F2F2F2" w:themeFill="background1" w:themeFillShade="F2"/>
            <w:vAlign w:val="center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Minimalna wartość parametru</w:t>
            </w:r>
          </w:p>
        </w:tc>
      </w:tr>
      <w:tr w:rsidR="00717338" w:rsidRPr="00717338" w:rsidTr="00B25B36"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Obudowa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System musi być dostarczony ze wszystkimi komponentami do instalacji w szafie </w:t>
            </w:r>
            <w:proofErr w:type="spellStart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 19'' </w:t>
            </w:r>
          </w:p>
        </w:tc>
      </w:tr>
      <w:tr w:rsidR="00717338" w:rsidRPr="00717338" w:rsidTr="00B25B36"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</w:p>
        </w:tc>
        <w:tc>
          <w:tcPr>
            <w:tcW w:w="4012" w:type="pct"/>
          </w:tcPr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System musi zostać dostarczony w konfiguracji zawierające</w:t>
            </w:r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>j minimum: 12 dysków 3800GB SSD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Do nowego systemu muszą zostać podłączone istniejące zasoby macierzy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Netapp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AFF C190 z 20 dyskami 960GB SSD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Nowy system po rozbudowie musi posiadać możl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iwość rozbudowy o kolejne 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dyski.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System musi wspierać dyski SSD o pojemności od  800GB do 7600GB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Budowa systemu musi umożliwiać rozbudowę do modeli wyższych bez potrzeby kopiowania/migrowania danych. (Zamawiający przez model wyższy rozumie inny model macierzy danego producenta z większą pamięcią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="0052426B">
              <w:rPr>
                <w:rFonts w:ascii="Times New Roman" w:hAnsi="Times New Roman" w:cs="Times New Roman"/>
                <w:sz w:val="24"/>
                <w:szCs w:val="24"/>
              </w:rPr>
              <w:t xml:space="preserve"> oraz mocniejszymi procesorami);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Zamawiający dopuszcza rozwiązanie które nie pozwala na rozbudowę do wyższego modelu przy założeniu, że zostanie zaoferowany najwyższy model z rodziny z pami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ęcią Cache min 1TB na kontroler;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System musi mieć możliwość rozbudowy do 500 dysków w obrębie pary kontrolerów lub w obrębie klastr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a wielu kontrolerów (</w:t>
            </w:r>
            <w:proofErr w:type="spellStart"/>
            <w:r w:rsidR="0052426B">
              <w:rPr>
                <w:rFonts w:ascii="Times New Roman" w:hAnsi="Times New Roman" w:cs="Times New Roman"/>
                <w:sz w:val="24"/>
                <w:szCs w:val="24"/>
              </w:rPr>
              <w:t>scale-out</w:t>
            </w:r>
            <w:proofErr w:type="spellEnd"/>
            <w:r w:rsidR="005242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w zależności od sposobu realizacji rozbud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owy dla oferowanego rozwiązania;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klastrowania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kontrolerów macierzy, system musi działać pod kontrolą jednego systemu operacyjnego od jednego producenta, nie dopuszczalne jest zestawienie systemu klastrowego poprzez wykorzystanie serwerów pośredniczącyc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h i oprogramowania dodatkowego;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Dla rozwiązań wykorzystujących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klastrowanie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scale-out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) musi być możliwość rozbudowy rozwiązania do co naj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mniej 12 kontrolerów w </w:t>
            </w:r>
            <w:proofErr w:type="spellStart"/>
            <w:r w:rsidR="0052426B">
              <w:rPr>
                <w:rFonts w:ascii="Times New Roman" w:hAnsi="Times New Roman" w:cs="Times New Roman"/>
                <w:sz w:val="24"/>
                <w:szCs w:val="24"/>
              </w:rPr>
              <w:t>klastrze</w:t>
            </w:r>
            <w:proofErr w:type="spellEnd"/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52426B" w:rsidRDefault="00B25B36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Rozwiązanie </w:t>
            </w:r>
            <w:r w:rsidR="00717338"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musi pozwalać na rozbudowę o dyski lub kontrolery wykonane w technologii </w:t>
            </w:r>
            <w:proofErr w:type="spellStart"/>
            <w:r w:rsidR="00717338" w:rsidRPr="0052426B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="00717338"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do min 1120 dysków w technologii NVME. Zamawiający dopuszcza zaoferowanie rozwiązania, które nie posiada takiej możliwości w przypadku gdy całość zasobów zostanie dostarczona na dyskach </w:t>
            </w:r>
            <w:proofErr w:type="spellStart"/>
            <w:r w:rsidR="00717338" w:rsidRPr="0052426B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717338" w:rsidRPr="0052426B">
              <w:rPr>
                <w:rFonts w:ascii="Times New Roman" w:hAnsi="Times New Roman" w:cs="Times New Roman"/>
                <w:sz w:val="24"/>
                <w:szCs w:val="24"/>
              </w:rPr>
              <w:t>/SSD.</w:t>
            </w:r>
          </w:p>
        </w:tc>
      </w:tr>
      <w:tr w:rsidR="00717338" w:rsidRPr="00717338" w:rsidTr="00B25B36"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Kontroler </w:t>
            </w:r>
          </w:p>
        </w:tc>
        <w:tc>
          <w:tcPr>
            <w:tcW w:w="4012" w:type="pct"/>
          </w:tcPr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Dwa kontrolery wyposażone w przynajmniej 32GB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każdy.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Procesory macierzy pow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 xml:space="preserve">inny być wykonane w technologii 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wielordzeniowej z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przynajmniej 12 r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 xml:space="preserve">dzeniami na każdy kontroler dla 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procesorów x86. Dla innych rodzajów procesorów min 64 rdzenie.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W przypadku awarii zasilania dane nie zapisane na dyski, przechowywane w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pamięci muszą być zabezpieczone za pomocą podtrzymania bateryjnego </w:t>
            </w:r>
            <w:r w:rsidRPr="0052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minimum 72 godziny lub poprzez zrzut na pamięć nieulotną</w:t>
            </w:r>
          </w:p>
          <w:p w:rsidR="00717338" w:rsidRP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Macierz musi pozwalać na poszerzenie pamięci Cache za pomocą dysków SSD do 6TB.</w:t>
            </w:r>
          </w:p>
        </w:tc>
      </w:tr>
      <w:tr w:rsidR="00717338" w:rsidRPr="00717338" w:rsidTr="00B25B36"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Interfejsy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Oferowana macierz musi posiadać minimum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338" w:rsidRPr="00B25B36" w:rsidRDefault="00717338" w:rsidP="00B25B36">
            <w:pPr>
              <w:pStyle w:val="Akapitzlist"/>
              <w:numPr>
                <w:ilvl w:val="0"/>
                <w:numId w:val="18"/>
              </w:numPr>
              <w:tabs>
                <w:tab w:val="left" w:pos="1418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36">
              <w:rPr>
                <w:rFonts w:ascii="Times New Roman" w:hAnsi="Times New Roman" w:cs="Times New Roman"/>
                <w:sz w:val="24"/>
                <w:szCs w:val="24"/>
              </w:rPr>
              <w:t>4 porty FC 16Gb</w:t>
            </w:r>
          </w:p>
          <w:p w:rsidR="00717338" w:rsidRPr="00B25B36" w:rsidRDefault="00717338" w:rsidP="00B25B36">
            <w:pPr>
              <w:pStyle w:val="Akapitzlist"/>
              <w:numPr>
                <w:ilvl w:val="0"/>
                <w:numId w:val="18"/>
              </w:numPr>
              <w:tabs>
                <w:tab w:val="left" w:pos="1418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36">
              <w:rPr>
                <w:rFonts w:ascii="Times New Roman" w:hAnsi="Times New Roman" w:cs="Times New Roman"/>
                <w:sz w:val="24"/>
                <w:szCs w:val="24"/>
              </w:rPr>
              <w:t>4 portu 10GbE SFP+</w:t>
            </w:r>
          </w:p>
          <w:p w:rsidR="00717338" w:rsidRPr="00B25B36" w:rsidRDefault="00717338" w:rsidP="00B25B36">
            <w:pPr>
              <w:pStyle w:val="Akapitzlist"/>
              <w:numPr>
                <w:ilvl w:val="0"/>
                <w:numId w:val="18"/>
              </w:numPr>
              <w:tabs>
                <w:tab w:val="left" w:pos="1418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36">
              <w:rPr>
                <w:rFonts w:ascii="Times New Roman" w:hAnsi="Times New Roman" w:cs="Times New Roman"/>
                <w:sz w:val="24"/>
                <w:szCs w:val="24"/>
              </w:rPr>
              <w:t>2 porty 1Gb do zarządzania</w:t>
            </w:r>
          </w:p>
          <w:p w:rsidR="00717338" w:rsidRPr="00B25B36" w:rsidRDefault="00717338" w:rsidP="00B25B36">
            <w:pPr>
              <w:pStyle w:val="Akapitzlist"/>
              <w:numPr>
                <w:ilvl w:val="0"/>
                <w:numId w:val="18"/>
              </w:numPr>
              <w:tabs>
                <w:tab w:val="left" w:pos="1418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36">
              <w:rPr>
                <w:rFonts w:ascii="Times New Roman" w:hAnsi="Times New Roman" w:cs="Times New Roman"/>
                <w:sz w:val="24"/>
                <w:szCs w:val="24"/>
              </w:rPr>
              <w:t xml:space="preserve">4 porty 12Gb SAS, </w:t>
            </w:r>
          </w:p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Macierz musi pozwalać na zamianę wkładek z 10GbE na 16Gb FC.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RAID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System RAID musi zapewniać taki poziom zabezpieczania danych, aby był możliwy do nich dostęp w sytuacji awarii minimum dwóch dysków w grupie RAID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Kopie migawkowe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Macierz musi być wyposażona w system kopii migawkowych, dostępny dla wszystkich rodzajów danych przechowywanych na macierzy. System kopii migawkowych nie może powodować spadku wydajności macierzy +/-5%</w:t>
            </w:r>
          </w:p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Zamawiający dopuszcza rozwiązanie, które ma wpływ na wydajność przy stosowaniu kopii migawkowych przy zapisie, przy założeniu zaoferowania całej pojemności na dyskach SSD/Flash/NVME. 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Obsługiwane protokoły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Macierz musi obsługiwać jednocześnie protokoły FC, </w:t>
            </w:r>
            <w:proofErr w:type="spellStart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, CIFS i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 NFS, S3 (macierz obiektowa) – </w:t>
            </w: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jeśli wymagane są licencje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amawiający wymaga dostarczenia ich wraz z macierzą.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Inne wymagania </w:t>
            </w:r>
          </w:p>
        </w:tc>
        <w:tc>
          <w:tcPr>
            <w:tcW w:w="4012" w:type="pct"/>
          </w:tcPr>
          <w:p w:rsid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Macierz musi posiadać wsparcie dla wielościeżkowości dla systemów Win 2018 i nowsze, Linux, </w:t>
            </w:r>
            <w:proofErr w:type="spellStart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Vmware</w:t>
            </w:r>
            <w:proofErr w:type="spellEnd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, Unix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Macierz musi umożliwiać dynamiczną zmianę rozmiaru wolumenów logicznych bez przerywania pracy macierzy i bez przerywania dostępu do danych znajdujących się na danym wolumenie</w:t>
            </w:r>
            <w:r w:rsidR="00524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Macierz musi posiadać funkc</w:t>
            </w:r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jonalność </w:t>
            </w:r>
            <w:proofErr w:type="spellStart"/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>priorytetyzacji</w:t>
            </w:r>
            <w:proofErr w:type="spellEnd"/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zadań;</w:t>
            </w:r>
          </w:p>
          <w:p w:rsidR="0052426B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Macierz musi posiadać funkcjonalność kompresji danych w trybie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in-line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>f-line</w:t>
            </w:r>
            <w:proofErr w:type="spellEnd"/>
            <w:r w:rsidR="0052426B"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na każdym rodzaju danych;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Macierz musi posiadać funkcjonalność eliminacji (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deduplikacji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) identycznych bloków danych którą można stosować na macierzy/danych produkcyjnej 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dla wszystkich rodzajów danych;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Macierz powinna mieć możliwość czynności odwrotnej tzn. cofnięcia procesu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deduplikacji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zdeduplikowanym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wolumenie. Jeżeli oferowane rozwiązanie nie posiada funkcjonalności </w:t>
            </w:r>
            <w:proofErr w:type="spellStart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>deduplikacji</w:t>
            </w:r>
            <w:proofErr w:type="spellEnd"/>
            <w:r w:rsidRPr="0052426B">
              <w:rPr>
                <w:rFonts w:ascii="Times New Roman" w:hAnsi="Times New Roman" w:cs="Times New Roman"/>
                <w:sz w:val="24"/>
                <w:szCs w:val="24"/>
              </w:rPr>
              <w:t xml:space="preserve"> danych, zamawiający wymaga dostarczenia 4-krotności przestrzeni wyspecyfikowanej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Macierz musi posiadać funkcjonalność replikacji synchronicznej i asynchronicznej pomiędzy macierzami tego samego producenta. Funkcjonalność replikacji danych musi być natywnym narzędziem macierzy. Przed procesem replikacji macierz musi umożliwiać włączenie procesu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deduplikacji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 danych w celu optymalizacji wykorzystania łącza dla repliko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wanych zasobów </w:t>
            </w: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lub zamawiający wymaga dostarczenia zewnętrznego narzędzia do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deduplikowania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 replikowanych danych lub dwukrotnego zwiększenia pojemności ze względu na rozważaną w przyszłości replikację całości zasobów. Macierz musi wspierać replikację z istniejącą macierzą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NetApp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 AFF C190 z zachowaniem wsparcia dla obu macierzy. Replikacja musi być wspierana przez firmę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NetApp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System musi posiadać specjalny moduł do zabezpieczenia przez atakiem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Ransomware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 w szczególności: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musi informować administratora w przypadku niestandardowego zachowania systemu oraz danych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wykonywać prewencyjną kopię migawkową „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snapshot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” w przypadku zagrożenia atakiem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ransomware</w:t>
            </w:r>
            <w:proofErr w:type="spellEnd"/>
            <w:r w:rsidR="00E51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monitorować niestandardowe zachowanie użytkowników serwera plików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Macierz musi posiadać zaimplementowaną funkcjonalność WORM. Jeżeli rozwiązanie wymaga do tego licencji zamawiający wymaga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 xml:space="preserve"> jej dostarczenia;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W celach bezpieczeństwa macierz musi posiadać funkcjonalność wieloetapowej akceptacji wybranych operacji, tj. operacje takie jak: skasowanie LUN/wolumenu, skasowanie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snapshotu</w:t>
            </w:r>
            <w:proofErr w:type="spellEnd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, wyłączenie replikacji. System musi pozwalać by wykonanie ww. operacji było akceptowane przez przynajmniej dwóch administratorów w celu zwiększenia bezpieczeńst</w:t>
            </w:r>
            <w:r w:rsidR="00E51A83" w:rsidRPr="00E51A83">
              <w:rPr>
                <w:rFonts w:ascii="Times New Roman" w:hAnsi="Times New Roman" w:cs="Times New Roman"/>
                <w:sz w:val="24"/>
                <w:szCs w:val="24"/>
              </w:rPr>
              <w:t>wa i uniknięcia błędów ludzkich;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Macierz musi posiadać możliwość automatycznego informowania przez system i przesyłania przez pocztę elektroniczną raportów o konfiguracji, utworzonych dyskach logicznych i woluminach oraz ich zajętości wraz z podziałem na rzeczywiste dane, kopie migawkow</w:t>
            </w:r>
            <w:r w:rsidR="00E51A83" w:rsidRPr="00E51A83">
              <w:rPr>
                <w:rFonts w:ascii="Times New Roman" w:hAnsi="Times New Roman" w:cs="Times New Roman"/>
                <w:sz w:val="24"/>
                <w:szCs w:val="24"/>
              </w:rPr>
              <w:t>e oraz dane wewnętrzne macierzy;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Macierz musi posiadać funkcjonalność wykonania wirtualnych klonów, które nie wymagają kopiow</w:t>
            </w:r>
            <w:r w:rsidR="00E51A83" w:rsidRPr="00E51A83">
              <w:rPr>
                <w:rFonts w:ascii="Times New Roman" w:hAnsi="Times New Roman" w:cs="Times New Roman"/>
                <w:sz w:val="24"/>
                <w:szCs w:val="24"/>
              </w:rPr>
              <w:t>ania bloków danych;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Z macierzą zamawiający wymaga dostarczenia oprogramowania, które pozwala na: 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monitoring wykorzystania przestrzeni na macierzy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 xml:space="preserve">monitoring grup </w:t>
            </w:r>
            <w:proofErr w:type="spellStart"/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RAIDowych</w:t>
            </w:r>
            <w:proofErr w:type="spellEnd"/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monitoring wykonywanych backupów/replikacji danych między macierzami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monitoring wydajności macierzy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anali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zę i diagnozę spadku wydajności;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Zamawiający dopuszcza zastosowanie oprogramowania zewnętrznego, na pełną max pojemność macierzy.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Wszystkie funkcjonalności muszą być dostarczone na maksymalną pojemność macierzy.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Producent musi dostarczyć usługę w postaci portalu WWW lub dodatkowego oprogramowania umożliwiającą następujące funkcjonalności:</w:t>
            </w:r>
          </w:p>
          <w:p w:rsidR="00717338" w:rsidRPr="00717338" w:rsidRDefault="00717338" w:rsidP="00B25B36">
            <w:pPr>
              <w:spacing w:after="0" w:line="240" w:lineRule="auto"/>
              <w:ind w:left="6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a) Narzędzie do tworzenia procedury aktualizacji oprogramowania macierzowego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6"/>
              </w:num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procedura musi opierać się na aktualnych danych pochodzących z macierzy oraz najlepszych praktykach producenta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6"/>
              </w:num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procedura musi uwzględniać systemy zależne, np. macierze replikujące</w:t>
            </w:r>
            <w:r w:rsidR="00E5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E51A83" w:rsidRDefault="00717338" w:rsidP="00B25B36">
            <w:pPr>
              <w:pStyle w:val="Akapitzlist"/>
              <w:numPr>
                <w:ilvl w:val="0"/>
                <w:numId w:val="16"/>
              </w:num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3">
              <w:rPr>
                <w:rFonts w:ascii="Times New Roman" w:hAnsi="Times New Roman" w:cs="Times New Roman"/>
                <w:sz w:val="24"/>
                <w:szCs w:val="24"/>
              </w:rPr>
              <w:t>procedura musi umożliwiać generowanie planu cofnięcia aktualizacji.</w:t>
            </w:r>
          </w:p>
          <w:p w:rsidR="00717338" w:rsidRPr="00717338" w:rsidRDefault="00717338" w:rsidP="00B25B36">
            <w:pPr>
              <w:tabs>
                <w:tab w:val="left" w:pos="601"/>
              </w:tabs>
              <w:spacing w:after="0" w:line="240" w:lineRule="auto"/>
              <w:ind w:left="60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Wyświetlanie statystyk dotyczących wydajności, utylizacji, oszczędności uzyskanych dzięki </w:t>
            </w:r>
            <w:proofErr w:type="spellStart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funkcjonalnościom</w:t>
            </w:r>
            <w:proofErr w:type="spellEnd"/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 macierzy,</w:t>
            </w:r>
          </w:p>
          <w:p w:rsidR="00717338" w:rsidRPr="00717338" w:rsidRDefault="00717338" w:rsidP="00B25B36">
            <w:pPr>
              <w:spacing w:after="0" w:line="240" w:lineRule="auto"/>
              <w:ind w:left="60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c) Wyświetlanie konfiguracji macierzy oraz porównywanie jej z najlepszymi praktykami producenta w celu usunięcia błędów konfiguracji.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Portal lub oprogramowanie może pochodzić od innego producenta niż producent macierzy, z tym że zostanie dostarczona odpowiednia licencja do maksymalnej pojemności macierzy. </w:t>
            </w:r>
          </w:p>
          <w:p w:rsidR="00E51A83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by wszystkie funkcjonalności działały wspólnie tj. włączenie jednej funkcjonalności nie eliminowało innej. 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dostarczenia niezbędnego okablowania, wkładek, modułów SAS do poprawnego wykonania rozbudowy macierzy AFF C190 do AFF A150. 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E51A83" w:rsidP="00B25B3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Gwarancja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717338"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serwis 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3 lata serwisu producenta z 2 godzinnym czasem odpowiedzi na awarie krytyczne i dostawą elementów na następny dzień roboczy</w:t>
            </w:r>
          </w:p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Dostarczony system musi posiadać również 3 lata subskrypcji dla dostarczonego wraz z macierzą oprogramowania, dostęp do portalu serwisowego producenta, dostęp do wiedzy i informacji technicznych dotyczących oferowanego urządzenia.</w:t>
            </w:r>
          </w:p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 xml:space="preserve">Zepsute nośniki pozostają własnością zamawiającego </w:t>
            </w:r>
          </w:p>
        </w:tc>
      </w:tr>
      <w:tr w:rsidR="00717338" w:rsidRPr="00717338" w:rsidTr="00B25B36">
        <w:trPr>
          <w:trHeight w:val="440"/>
        </w:trPr>
        <w:tc>
          <w:tcPr>
            <w:tcW w:w="988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4012" w:type="pct"/>
          </w:tcPr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sz w:val="24"/>
                <w:szCs w:val="24"/>
              </w:rPr>
              <w:t>Macierz musi posiadać deklarację zgodności CE oraz być wyprodukowana zgodnie z normą ISO:9001</w:t>
            </w:r>
            <w:r w:rsidRPr="0071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7338" w:rsidRPr="00717338" w:rsidRDefault="00717338" w:rsidP="00B25B3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 złoży dokumenty (kopie certyfikatów) potwierdzające spełnianie wymogów.</w:t>
            </w:r>
          </w:p>
        </w:tc>
      </w:tr>
    </w:tbl>
    <w:p w:rsidR="00B25B36" w:rsidRPr="00B25B36" w:rsidRDefault="00717338" w:rsidP="00B2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338">
        <w:rPr>
          <w:rFonts w:ascii="Times New Roman" w:hAnsi="Times New Roman" w:cs="Times New Roman"/>
          <w:sz w:val="24"/>
          <w:szCs w:val="24"/>
        </w:rPr>
        <w:br w:type="page"/>
      </w:r>
    </w:p>
    <w:p w:rsidR="00B25B36" w:rsidRPr="00B25B36" w:rsidRDefault="00B25B36" w:rsidP="00B25B36">
      <w:pPr>
        <w:widowControl w:val="0"/>
        <w:shd w:val="clear" w:color="auto" w:fill="E2EFD9" w:themeFill="accent6" w:themeFillTint="33"/>
        <w:suppressAutoHyphens/>
        <w:spacing w:before="120" w:after="120" w:line="240" w:lineRule="auto"/>
        <w:ind w:left="142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Część zamówienia nr </w:t>
      </w:r>
      <w:r w:rsidR="005E5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="00422CA5" w:rsidRPr="00422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Zakup dwóch serwerów w celu rozbudowy istniejącego </w:t>
      </w:r>
      <w:proofErr w:type="spellStart"/>
      <w:r w:rsidR="00422CA5" w:rsidRPr="00422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klastra</w:t>
      </w:r>
      <w:proofErr w:type="spellEnd"/>
      <w:r w:rsidR="00422CA5" w:rsidRPr="00422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HA</w:t>
      </w:r>
    </w:p>
    <w:p w:rsidR="00717338" w:rsidRPr="00717338" w:rsidRDefault="00717338" w:rsidP="00B25B36">
      <w:pPr>
        <w:spacing w:before="2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7338">
        <w:rPr>
          <w:rFonts w:ascii="Times New Roman" w:eastAsia="Calibri" w:hAnsi="Times New Roman" w:cs="Times New Roman"/>
          <w:sz w:val="24"/>
          <w:szCs w:val="24"/>
        </w:rPr>
        <w:t>Dostawa</w:t>
      </w:r>
      <w:r w:rsidR="00B25B3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>dwóch</w:t>
      </w:r>
      <w:proofErr w:type="spellEnd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szt</w:t>
      </w:r>
      <w:proofErr w:type="spellEnd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4E17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7A6">
        <w:rPr>
          <w:rFonts w:ascii="Times New Roman" w:eastAsia="Calibri" w:hAnsi="Times New Roman" w:cs="Times New Roman"/>
          <w:sz w:val="24"/>
          <w:szCs w:val="24"/>
          <w:lang w:val="en-US"/>
        </w:rPr>
        <w:t>fabr</w:t>
      </w:r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>ycznie</w:t>
      </w:r>
      <w:proofErr w:type="spellEnd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>nowych</w:t>
      </w:r>
      <w:proofErr w:type="spellEnd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>serwerów</w:t>
      </w:r>
      <w:proofErr w:type="spellEnd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nast</w:t>
      </w:r>
      <w:r w:rsidR="004E17A6">
        <w:rPr>
          <w:rFonts w:ascii="Times New Roman" w:eastAsia="Calibri" w:hAnsi="Times New Roman" w:cs="Times New Roman"/>
          <w:sz w:val="24"/>
          <w:szCs w:val="24"/>
          <w:lang w:val="en-US"/>
        </w:rPr>
        <w:t>ę</w:t>
      </w:r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pujących</w:t>
      </w:r>
      <w:proofErr w:type="spellEnd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338">
        <w:rPr>
          <w:rFonts w:ascii="Times New Roman" w:eastAsia="Calibri" w:hAnsi="Times New Roman" w:cs="Times New Roman"/>
          <w:sz w:val="24"/>
          <w:szCs w:val="24"/>
          <w:lang w:val="en-US"/>
        </w:rPr>
        <w:t>parametrach</w:t>
      </w:r>
      <w:proofErr w:type="spellEnd"/>
      <w:r w:rsidR="00B25B3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985"/>
        <w:gridCol w:w="7796"/>
      </w:tblGrid>
      <w:tr w:rsidR="00717338" w:rsidRPr="00717338" w:rsidTr="00E51A83">
        <w:trPr>
          <w:trHeight w:val="629"/>
        </w:trPr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717338" w:rsidRPr="00717338" w:rsidRDefault="00717338" w:rsidP="0052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  <w:hideMark/>
          </w:tcPr>
          <w:p w:rsidR="00717338" w:rsidRPr="00717338" w:rsidRDefault="00717338" w:rsidP="0052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Charakterystyka (wymagania minimalne)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Obudowa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o wysokości max 1U z możliwością instalacji min. 8 dysków 2.5”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Obudowa z możliwością wyposażenia w panel LCD umieszczony na froncie obudowy, umożliwiający wyświetlenie informacji o stanie procesora, pamięci, dysków,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  <w:proofErr w:type="spellEnd"/>
            <w:r w:rsidR="00735667">
              <w:rPr>
                <w:rFonts w:ascii="Times New Roman" w:hAnsi="Times New Roman" w:cs="Times New Roman"/>
                <w:sz w:val="24"/>
                <w:szCs w:val="24"/>
              </w:rPr>
              <w:t>, zasilaniu oraz temperaturze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Komplet wysuwan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ych szyn umożliwiających montaż w szafie </w:t>
            </w:r>
            <w:proofErr w:type="spellStart"/>
            <w:r w:rsidR="00B25B36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="00B2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5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wysuwanie serwera do celów serwisow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ych oraz organizatorem do kabli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Obudowa z możliwością wyposażenia w kartę umożliwiającą dostęp bezpośredni poprzez urządzenia mobilne - serwer musi posiadać możliwość konfiguracji oraz monitoringu najważniejszych komponentów serwera przy użyciu dedykowanej aplikacji mobilnej (Android/ Apple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) przy użyciu jednego z protokołów BLE/ WIFI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Płyta główna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Płyta główna z możliwością zainstalowania minimum jednego procesora.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Płyta główna musi być zaprojektowana przez producenta serwera i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oznaczona jego znakiem firmowym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obsługi procesorów 128C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Na płycie głównej p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 xml:space="preserve">owinno znajdować się minimum 12 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slotów przezn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aczonych do instalacji pamięci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Płyta główna powinna obsługiwać do 3TB pamięci RAM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Chipset</w:t>
            </w:r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Dedykowany przez producenta procesora do pracy w serwerach jednoprocesorowych.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Zainstalowany jeden procesor 16-rdzeniowy klasy x86 z rodziny AMD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Epyc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, min. 3.0GHz, dedykowany do pracy z zaoferowanym serwerem umożliwiający osiągnięcie wyniku min. 177</w:t>
            </w:r>
            <w:r w:rsidRPr="0071733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punktów w teście SPECrate2017_int_base dostępnym na stronie </w:t>
            </w:r>
            <w:hyperlink r:id="rId8" w:history="1">
              <w:r w:rsidRPr="007173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www.spec.org</w:t>
              </w:r>
            </w:hyperlink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oferowanego serwera oraz wspierający technologię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AMD-V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AMD NX</w:t>
            </w:r>
          </w:p>
          <w:p w:rsidR="00717338" w:rsidRPr="00717338" w:rsidRDefault="00717338" w:rsidP="0073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Dostarczone serwery będą służyły Zamawiającemu do rozbudowy istniejącego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klastra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Hyper-v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 celu zachowania wszystkich funkcjonalności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klastra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, w</w:t>
            </w:r>
            <w:r w:rsidR="007356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tym w szczególności Live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Migration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maszyn wirtualnych pomiędzy wszystkimi węzłami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klastra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wymagane jest by procesory były z tej samej rodziny oraz wspierały te same technologie wirtualizacji. Obecnie Zamawiający wykorzystuje w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klastrze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procesory AMD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Epyc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7338" w:rsidRPr="00717338" w:rsidTr="00735667">
        <w:trPr>
          <w:trHeight w:val="397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RAM</w:t>
            </w:r>
          </w:p>
        </w:tc>
        <w:tc>
          <w:tcPr>
            <w:tcW w:w="7796" w:type="dxa"/>
            <w:hideMark/>
          </w:tcPr>
          <w:p w:rsidR="00717338" w:rsidRPr="00717338" w:rsidRDefault="00735667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717338" w:rsidRPr="00717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in. 256GB DDR5 RDIMM 4800MT/s, </w:t>
            </w:r>
          </w:p>
        </w:tc>
      </w:tr>
      <w:tr w:rsidR="00717338" w:rsidRPr="00717338" w:rsidTr="00735667">
        <w:trPr>
          <w:trHeight w:val="397"/>
        </w:trPr>
        <w:tc>
          <w:tcPr>
            <w:tcW w:w="1985" w:type="dxa"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Gniazda </w:t>
            </w:r>
            <w:proofErr w:type="spellStart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7796" w:type="dxa"/>
          </w:tcPr>
          <w:p w:rsidR="00717338" w:rsidRPr="00717338" w:rsidRDefault="00735667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717338"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r w:rsidR="00717338"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trzy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17338"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sloty </w:t>
            </w:r>
            <w:proofErr w:type="spellStart"/>
            <w:r w:rsidR="00717338"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PCIe</w:t>
            </w:r>
            <w:proofErr w:type="spellEnd"/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Zabezpieczenia pamięci RAM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Memory demand and patrol scrubbing,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Failed DIMM isolation, 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Memory address parity protection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Interfejsy sieciowe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Wbudowane min. 2 interfejsy sieciowe 1Gb Ethernet w standardzie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BaseT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oraz 2 interfejsy sieciowe 10Gb Ethernet w standardzie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BaseT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(porty nie mogą być osiągnięte poprzez karty w slotach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Dodatkowa, dwuportowa karta 10Gb Ethernet w standardzie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BaseT</w:t>
            </w:r>
            <w:proofErr w:type="spellEnd"/>
          </w:p>
        </w:tc>
      </w:tr>
      <w:tr w:rsidR="00717338" w:rsidRPr="00717338" w:rsidTr="00E51A83">
        <w:tc>
          <w:tcPr>
            <w:tcW w:w="1985" w:type="dxa"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Kontroler RAID</w:t>
            </w:r>
          </w:p>
        </w:tc>
        <w:tc>
          <w:tcPr>
            <w:tcW w:w="7796" w:type="dxa"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Sprzętowy kontroler dyskowy, posiadający możliwość konfiguracji poziomów RAID: 0, 1, 10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Dyski twarde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Zainstalowane 2x dysk SSD SATA o pojemności min. 480GB, 2,5“ Hot-Plug.</w:t>
            </w:r>
          </w:p>
          <w:p w:rsidR="00717338" w:rsidRPr="00717338" w:rsidRDefault="00717338" w:rsidP="00735667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Możliwość zainstalowania dwóch dysków M.2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SSD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Hot-Plug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pojemności min. 960GB z możliwością konfiguracji RAID 1.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Wbudowane</w:t>
            </w:r>
            <w:proofErr w:type="spellEnd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porty</w:t>
            </w:r>
            <w:proofErr w:type="spellEnd"/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min. 4 porty USB w tym przynajmniej 1 portu USB 3.0,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2 port VGA z czego jeden na tylnym panelu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rozbudowy o Serial Port</w:t>
            </w:r>
          </w:p>
        </w:tc>
      </w:tr>
      <w:tr w:rsidR="00717338" w:rsidRPr="00717338" w:rsidTr="00735667">
        <w:trPr>
          <w:trHeight w:val="397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Karta</w:t>
            </w:r>
            <w:proofErr w:type="spellEnd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graficzna</w:t>
            </w:r>
            <w:proofErr w:type="spellEnd"/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Zintegrowana umożliwiająca wyświetlenie rozdzielczości min. 1600x900.</w:t>
            </w:r>
          </w:p>
        </w:tc>
      </w:tr>
      <w:tr w:rsidR="00717338" w:rsidRPr="00717338" w:rsidTr="00735667">
        <w:trPr>
          <w:trHeight w:val="397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Wentylatory</w:t>
            </w:r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Redundantne</w:t>
            </w:r>
            <w:proofErr w:type="spellEnd"/>
          </w:p>
        </w:tc>
      </w:tr>
      <w:tr w:rsidR="00717338" w:rsidRPr="00717338" w:rsidTr="00735667">
        <w:trPr>
          <w:trHeight w:val="397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Zasilacze</w:t>
            </w:r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Redundantne,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Hot-Plug</w:t>
            </w:r>
            <w:proofErr w:type="spellEnd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maksymalnie 1100W klasy </w:t>
            </w:r>
            <w:proofErr w:type="spellStart"/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Titanium</w:t>
            </w:r>
            <w:proofErr w:type="spellEnd"/>
          </w:p>
        </w:tc>
      </w:tr>
      <w:tr w:rsidR="00717338" w:rsidRPr="00717338" w:rsidTr="00E51A83">
        <w:tc>
          <w:tcPr>
            <w:tcW w:w="1985" w:type="dxa"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7796" w:type="dxa"/>
          </w:tcPr>
          <w:p w:rsidR="00717338" w:rsidRPr="00717338" w:rsidRDefault="00717338" w:rsidP="00B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Windows Server 2022 </w:t>
            </w: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Datacenter</w:t>
            </w:r>
            <w:proofErr w:type="spellEnd"/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Bezpieczeństwo</w:t>
            </w: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Zatrzask górnej pokrywy oraz blokada na ramce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panela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zamykana na klucz służąca do ochrony nieautoryzowanego dostępu do dysków twardych. 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Wbudowany czujnik otwarcia obudowy współpracujący z BIOS i kartą zarządzającą.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Moduł TPM 2.0 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wyłączenia w BIOS funkcji przycisku zasilania. 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BIOS ma możliwość przejścia do 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 xml:space="preserve">bezpiecznego trybu rozruchowego 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możliwością zarządzania blokadą zasilania, panelem sterowania oraz zmianą hasła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dynamicznego włączania I wyłączania portów USB na obudowie – bez potrzeby restartu serwera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Możliwość wymazania danych ze znajdujących się dysków wewnątrz serwera – niezależne od zainstalowanego systemu operacyjnego, uruchamiane z poziomu zarządzania serwerem 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Serwer musi być wyposażony w rozwiązanie zapewniające ochronę oprogramowania układowego przed manipulacją złośliwego oprogramowania. Ochrona taka musi być zgodna z zaleceniami NIST SP 800- 147B i NIST SP 800-155. Jednocześnie Zamawiający wymaga, aby dostarczony serwer posiadał zaimplementowane sprzętowo mechanizmy kryptograficzne poświadczające integralność oprogramowania BIOS (Root of Trust).</w:t>
            </w:r>
          </w:p>
        </w:tc>
      </w:tr>
      <w:tr w:rsidR="00717338" w:rsidRPr="00717338" w:rsidTr="00E51A83"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Karta Zarządzania</w:t>
            </w:r>
          </w:p>
        </w:tc>
        <w:tc>
          <w:tcPr>
            <w:tcW w:w="7796" w:type="dxa"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Niezależna od zainstalowanego na serwerze systemu operacyjnego, karta zarządzająca, posiadająca dedykowany port Gigabit Ethernet RJ-45 i</w:t>
            </w:r>
            <w:r w:rsidR="0073566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umożliwiająca: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zdalny dostęp do graficznego interfejsu Web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 xml:space="preserve"> karty zarządzającej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zdalne monitorowanie i informowanie o statusie serwera (m.in. prędkości obrotowej went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ylatorów, konfiguracji serwera)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szyfrowane połączenie (TLS) oraz autenty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kacje i autoryzację użytkownika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podmontowania zdalnych wirtualny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ch napędów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wirtualną konsolę 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z dostępem do myszy, klawiatury</w:t>
            </w:r>
          </w:p>
          <w:p w:rsidR="00717338" w:rsidRPr="006132A0" w:rsidRDefault="00735667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IPv6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wsparcie dla WSMAN (Web Service for Management); SNMP; IPMI2.0, 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SSH, </w:t>
            </w:r>
            <w:proofErr w:type="spellStart"/>
            <w:r w:rsidR="00735667">
              <w:rPr>
                <w:rFonts w:ascii="Times New Roman" w:hAnsi="Times New Roman" w:cs="Times New Roman"/>
                <w:sz w:val="24"/>
                <w:szCs w:val="24"/>
              </w:rPr>
              <w:t>Redfish</w:t>
            </w:r>
            <w:proofErr w:type="spellEnd"/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zdalnego monitorowania w czasie rzeczyw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istym poboru prądu przez serwer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zdalnego ustawienia limitu pobo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ru prądu przez konkretny serwer</w:t>
            </w:r>
          </w:p>
          <w:p w:rsidR="00717338" w:rsidRPr="006132A0" w:rsidRDefault="00735667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integracja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obsługi przez dwóch administratorów jednocześnie;</w:t>
            </w:r>
          </w:p>
          <w:p w:rsidR="00717338" w:rsidRPr="006132A0" w:rsidRDefault="00735667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DNS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wysyłanie do administratora maila z powiadomieniem o awarii lub zmianie konfigu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racji sprzętowej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bezpośredniego zarządzania poprzez dedykowany port USB na przednim panelu serwera</w:t>
            </w:r>
          </w:p>
          <w:p w:rsid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zarządzania do 100 serwerów bezpośrednio z konsoli karty zarządzającej pojedynczego serwera</w:t>
            </w:r>
          </w:p>
          <w:p w:rsidR="00717338" w:rsidRPr="00717338" w:rsidRDefault="00717338" w:rsidP="00735667">
            <w:pPr>
              <w:spacing w:before="120"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oraz z możliwością rozszerzenia funkcjonalności o: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Wirtualny schowek ułatwiający korzystanie z konsoli zdalnej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Przesyłanie danych telemetrycznych w czasie rzeczywistym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Dostosowanie zarządzania temperaturą i przepływem powietrza w serwerze</w:t>
            </w:r>
          </w:p>
          <w:p w:rsidR="00717338" w:rsidRPr="00717338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Automatyczna rejestracja certyfikatów (ACE)</w:t>
            </w:r>
          </w:p>
        </w:tc>
      </w:tr>
      <w:tr w:rsidR="00717338" w:rsidRPr="00717338" w:rsidTr="00E51A83">
        <w:tc>
          <w:tcPr>
            <w:tcW w:w="1985" w:type="dxa"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Oprogramowanie do zarządzania</w:t>
            </w:r>
          </w:p>
        </w:tc>
        <w:tc>
          <w:tcPr>
            <w:tcW w:w="7796" w:type="dxa"/>
          </w:tcPr>
          <w:p w:rsidR="00717338" w:rsidRPr="00717338" w:rsidRDefault="00717338" w:rsidP="00B25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sz w:val="24"/>
                <w:szCs w:val="24"/>
              </w:rPr>
              <w:t>Możliwość zainstalowania oprogramowania producenta do zarządzania, spełniającego poniższe wymagania: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Wsparcie dla serwerów, urządzeń sieciowych oraz pamięci masowych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integracja z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Możliwość zarządzania dostarczonymi serwerami 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 xml:space="preserve">bez udziału 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dedykowanego agenta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Wsparcie dla protokołów SNMP, IPMI, Linux SSH,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Redfish</w:t>
            </w:r>
            <w:proofErr w:type="spellEnd"/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uruchamiania procesu wykrywania urządzeń w oparciu o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harmonogram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Szczegółowy opis wykrytych systemów oraz ich komponentów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eksportu raportu do CSV, HTML, XLS, PDF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tworzenia własnych raportów w oparciu o wszystkie informacje zawarte w inwentarzu.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Grupowanie urządzeń w oparciu o kryteria użytkownika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Tworzenie automatycznie grup urządzeń w oparciu o dowolny element konfiguracji serwera np. Nazwa, lokalizacja, system operacyjny, obsadzenie slotów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, pozostałego czasu gwarancji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uruchamiania narzędzi zarządzających w poszczególnych urządzeniach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Szybki podgląd stanu środowiska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Podsumowanie stanu dla każdego urządzenia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Szczegółowy status urządzenia/elementu/komponentu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Generowanie alertów przy zmianie stanu urządzenia.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Filtry raportów umożliwiające podgląd najważniejszych zdarzeń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Integracja z service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desk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producenta dostarczonej platformy sprzętowej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przejęcia zdalnego pulpitu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podmontowania wirtualnego napędu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Kreator umożliwiający dostosowanie akcji dla wybranych alertów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importu plików MIB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Przesyłanie alertów „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as-is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” do innych konsol firm trzecich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definiowania ról administratorów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zdalnej aktualizacji oprogramowania wewnętrznego serwerów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Aktualizacja oparta o wybranie źródła bibliotek (lokalna,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producenta oferowanego rozwiązania)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instalacji oprogramowania wewnętrznego bez potrzeby instalacji agenta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automatycznego generowania i zgłaszania incydentów awarii bezpośrednio do centrum serwisowego producenta serwerów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poziomie gwarancji, adresy IP kart sieciowych, występujących alertów, MAC adresów kart sieciowych, stanie poszczególnych komponentów serwera.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tworzenia sprzętowej konfiguracji bazowej i na jej podstawie weryfikacji środowiska w celu wykrycia rozbieżności.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Wdrażanie serwerów, rozwiązań modularnych oraz przełączników sieciowych w oparciu o profile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migracji ustawień serwera wraz z wirtualnymi adresami sieciowymi (MAC, WWN, IQN) między urządzeniami.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Tworzenie gotowych paczek informacji umożliwiających zdiagnozowanie awarii urządzenia przez serwis producenta.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Zdalne uruchamianie diagnostyki serwera.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Dedykowana aplikacja na urządzenia mobilne integrująca się z wyżej opisanymi oprogramowaniem zarządzającym.</w:t>
            </w:r>
          </w:p>
          <w:p w:rsidR="00717338" w:rsidRPr="00717338" w:rsidRDefault="00717338" w:rsidP="00735667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dostarczane jako wirtualny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dla KVM, 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ESXi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Hyper-V</w:t>
            </w:r>
            <w:proofErr w:type="spellEnd"/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338" w:rsidRPr="00717338" w:rsidTr="00735667">
        <w:trPr>
          <w:trHeight w:val="1788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Certyfikaty</w:t>
            </w:r>
          </w:p>
        </w:tc>
        <w:tc>
          <w:tcPr>
            <w:tcW w:w="7796" w:type="dxa"/>
            <w:hideMark/>
          </w:tcPr>
          <w:p w:rsidR="00717338" w:rsidRPr="00717338" w:rsidRDefault="00717338" w:rsidP="00B25B36">
            <w:pPr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Serwer musi być wyprodukowany zgodnie z normą ISO-9001:2015, ISO-50001 oraz ISO-14001 </w:t>
            </w:r>
            <w:r w:rsidR="007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Wykonawca złoży dokumenty (kopie certyfikatów) potwierdzające spełnianie wymogu.</w:t>
            </w:r>
          </w:p>
          <w:p w:rsidR="00717338" w:rsidRPr="00717338" w:rsidRDefault="00717338" w:rsidP="00B25B36">
            <w:pPr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Serw</w:t>
            </w:r>
            <w:r w:rsidR="00735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er musi posiadać deklarację CE </w:t>
            </w:r>
            <w:r w:rsidR="007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Wykonawca złoży dokumenty (kopie certyfikatów) potwierdzające spełnianie wymogu.</w:t>
            </w:r>
          </w:p>
          <w:p w:rsidR="00717338" w:rsidRPr="00717338" w:rsidRDefault="00717338" w:rsidP="00B25B36">
            <w:pPr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9" w:history="1">
              <w:r w:rsidRPr="0071733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www.epeat.net</w:t>
              </w:r>
            </w:hyperlink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potwierdzający spełnienie normy co najmniej </w:t>
            </w: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Epeat</w:t>
            </w:r>
            <w:proofErr w:type="spellEnd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Silver</w:t>
            </w:r>
            <w:proofErr w:type="spellEnd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według </w:t>
            </w:r>
            <w:r w:rsidR="00735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normy wprowadzonej w 2019 roku </w:t>
            </w:r>
            <w:r w:rsidR="007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Wykonawca złoży wydruk ze strony </w:t>
            </w:r>
            <w:proofErr w:type="spellStart"/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www</w:t>
            </w:r>
            <w:proofErr w:type="spellEnd"/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potwierdzający spełnianie wymogu.</w:t>
            </w:r>
          </w:p>
          <w:p w:rsidR="00717338" w:rsidRPr="00717338" w:rsidRDefault="00717338" w:rsidP="00735667">
            <w:pPr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Oferowany serwer musi znajdować się na liście Windows Server </w:t>
            </w: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Catalog</w:t>
            </w:r>
            <w:proofErr w:type="spellEnd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735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posiadać status „</w:t>
            </w:r>
            <w:proofErr w:type="spellStart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Certified</w:t>
            </w:r>
            <w:proofErr w:type="spellEnd"/>
            <w:r w:rsidRPr="00717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for Windows” dla systemów Microsoft Windows Server 2019, </w:t>
            </w:r>
            <w:r w:rsidR="00735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Microsoft Windows Server 2022 </w:t>
            </w:r>
            <w:r w:rsidR="007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Wykonawca złoży wydruk ze strony </w:t>
            </w:r>
            <w:proofErr w:type="spellStart"/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www</w:t>
            </w:r>
            <w:proofErr w:type="spellEnd"/>
            <w:r w:rsidRPr="007173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potwierdzający spełnianie wymogu.</w:t>
            </w:r>
          </w:p>
        </w:tc>
      </w:tr>
      <w:tr w:rsidR="00717338" w:rsidRPr="00717338" w:rsidTr="00E51A83">
        <w:trPr>
          <w:trHeight w:val="60"/>
        </w:trPr>
        <w:tc>
          <w:tcPr>
            <w:tcW w:w="1985" w:type="dxa"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Dokumentacja użytkownika</w:t>
            </w:r>
          </w:p>
        </w:tc>
        <w:tc>
          <w:tcPr>
            <w:tcW w:w="7796" w:type="dxa"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wymaga dokumentacji w języku polskim lub angielskim.</w:t>
            </w:r>
          </w:p>
          <w:p w:rsidR="00717338" w:rsidRPr="00717338" w:rsidRDefault="00717338" w:rsidP="00735667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Możliwość telefonicznego sprawdzenia konfiguracji sprzętowej serwera oraz warunków gwarancji po podaniu numeru seryjnego bezpośrednio u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producenta lub jego przedstawiciela.</w:t>
            </w:r>
          </w:p>
        </w:tc>
      </w:tr>
      <w:tr w:rsidR="00717338" w:rsidRPr="00717338" w:rsidTr="00E51A83">
        <w:trPr>
          <w:trHeight w:val="230"/>
        </w:trPr>
        <w:tc>
          <w:tcPr>
            <w:tcW w:w="1985" w:type="dxa"/>
            <w:hideMark/>
          </w:tcPr>
          <w:p w:rsidR="00717338" w:rsidRPr="00717338" w:rsidRDefault="00717338" w:rsidP="007173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hideMark/>
          </w:tcPr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zapewnienia przez wykonawcę usługi wsparcia technicznego z zakresu wdrażanej technologii na okres </w:t>
            </w:r>
            <w:r w:rsidR="005E6234">
              <w:rPr>
                <w:rFonts w:ascii="Times New Roman" w:hAnsi="Times New Roman" w:cs="Times New Roman"/>
                <w:sz w:val="24"/>
                <w:szCs w:val="24"/>
              </w:rPr>
              <w:t>3 lat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oczekuje możliwości zgłaszania zdarzeń serwisowych w trybie 24/7/365 następującymi kanałami: telefonicznie, przez Internet oraz z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wykorzystaniem aplikacji.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oczekuje bezpośredniego dostępu do wykwalifikowanej kadry inżynierów technicznych a w przypadku konieczności eskalacji zgłoszenia serwisowego wyznaczonego Kierownika Eskalacji po stronie wykonawcy (dla krytycznych zgłoszeń serwisowych)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 pojedynczego punktu kontaktu dla całego rozwiązania producenta, w tym także sprzedanego oprogramowania.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Zgłoszenie przyjęte jest potwierdzane przez zespół p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omocy technicznej (mail/telefon/aplikacja/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portal) przez nadanie unikalnego numeru zgłoszenia pozwalającego na identyfikację zgłoszenia w trakcie realizacji naprawy i po jej zakończeniu.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oczekuje możliwości samodzielnego kwalifikowania poziomu ważności naprawy.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 xml:space="preserve">Zamawiający oczekuje rozpoczęcia diagnostyki telefonicznej / internetowej już w momencie dokonania zgłoszenia. Certyfikowany Technik wykonawcy / producenta z właściwym zestawem części do naprawy (potwierdzonym na etapie diagnostyki) powinien rozpocząć naprawę w siedzibie zamawiającego najpóźniej w następnym dniu roboczym (NBD) od otrzymania zgłoszenia / zakończenia diagnostyki. Naprawa ma się odbyć w siedzibie zamawiającego, chyba, że zamawiający dla danej naprawy zgodzi się na inną formę.  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oczekuje nieodpłatnego udostępnienia narzędzi serwisowych i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procesów wsparcia umożliwiających: wykrywanie usterek sprzętowych z</w:t>
            </w:r>
            <w:r w:rsidR="007356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predykcją awarii, automatyczną diagnostykę i zdalne otwieranie zgłoszeń serwisowych, otrzymanie wskazówek dotyczących bezpieczeństwa produktów, samodzielne wysyłanie części, ocenę bezpieczeństwa cybernetycznego.</w:t>
            </w:r>
          </w:p>
          <w:p w:rsid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hAnsi="Times New Roman" w:cs="Times New Roman"/>
                <w:sz w:val="24"/>
                <w:szCs w:val="24"/>
              </w:rPr>
              <w:t>Zamawiający wymaga od podmiotu realizującego serwis lub producenta sprzętu dołączenia do oferty oświadczenia, że w przypadku wystąpienia awarii dysku twardego w urządzeniu objętym aktywnym wparciem technicznym, uszkodzony dysk twardy pozostaje u Zamawiającego.</w:t>
            </w:r>
          </w:p>
          <w:p w:rsidR="006132A0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serwisująca musi posiadać ISO 9001:2015 oraz ISO-27001 na świadczenie usług serwisowych oraz posiadać autoryzacje producenta </w:t>
            </w:r>
            <w:r w:rsidRPr="0061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urządze</w:t>
            </w:r>
            <w:r w:rsidR="0073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ń – </w:t>
            </w:r>
            <w:r w:rsidRPr="006132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Wykonawca złoży dokumenty (kopie certyfikatów) potwierdzające spełnianie wymogu.</w:t>
            </w:r>
          </w:p>
          <w:p w:rsidR="00717338" w:rsidRPr="006132A0" w:rsidRDefault="00717338" w:rsidP="00B25B36">
            <w:pPr>
              <w:pStyle w:val="Akapitzlist"/>
              <w:numPr>
                <w:ilvl w:val="0"/>
                <w:numId w:val="13"/>
              </w:numPr>
              <w:tabs>
                <w:tab w:val="left" w:pos="1418"/>
              </w:tabs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Wymagane dołączenie do oferty oświadczenia Producenta potwierdzające, że Serwis urządzeń będzie realizowany bezpośrednio przez Producenta i/lub we współpracy z Autoryzowanym Partnerem Serwisowym Producenta - </w:t>
            </w:r>
            <w:r w:rsidRPr="006132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Wykonawca złoży oświadczenie Producenta potwierdzające spełnianie wymogu.</w:t>
            </w:r>
          </w:p>
        </w:tc>
      </w:tr>
    </w:tbl>
    <w:p w:rsidR="00920C92" w:rsidRPr="00717338" w:rsidRDefault="00920C92" w:rsidP="00E51A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0C92" w:rsidRPr="00717338" w:rsidSect="00B25B36">
      <w:headerReference w:type="default" r:id="rId10"/>
      <w:footerReference w:type="default" r:id="rId11"/>
      <w:pgSz w:w="11906" w:h="16838"/>
      <w:pgMar w:top="1134" w:right="1133" w:bottom="1418" w:left="851" w:header="17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36" w:rsidRDefault="00B25B36" w:rsidP="00B446A9">
      <w:pPr>
        <w:spacing w:after="0" w:line="240" w:lineRule="auto"/>
      </w:pPr>
      <w:r>
        <w:separator/>
      </w:r>
    </w:p>
  </w:endnote>
  <w:endnote w:type="continuationSeparator" w:id="0">
    <w:p w:rsidR="00B25B36" w:rsidRDefault="00B25B36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36" w:rsidRDefault="005A0B4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7.9pt;margin-top:-20.85pt;width:479.05pt;height:1.15pt;flip:y;z-index:251666432" o:connectortype="straight"/>
      </w:pict>
    </w:r>
    <w:r w:rsidR="00B25B3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36" w:rsidRDefault="00B25B36" w:rsidP="00B446A9">
      <w:pPr>
        <w:spacing w:after="0" w:line="240" w:lineRule="auto"/>
      </w:pPr>
      <w:r>
        <w:separator/>
      </w:r>
    </w:p>
  </w:footnote>
  <w:footnote w:type="continuationSeparator" w:id="0">
    <w:p w:rsidR="00B25B36" w:rsidRDefault="00B25B36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36" w:rsidRDefault="00B25B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13"/>
    <w:multiLevelType w:val="hybridMultilevel"/>
    <w:tmpl w:val="BDB439E0"/>
    <w:lvl w:ilvl="0" w:tplc="3628F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3"/>
    <w:multiLevelType w:val="hybridMultilevel"/>
    <w:tmpl w:val="C5EC7C94"/>
    <w:lvl w:ilvl="0" w:tplc="DEDE7B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14F77"/>
    <w:multiLevelType w:val="hybridMultilevel"/>
    <w:tmpl w:val="B74ED28C"/>
    <w:lvl w:ilvl="0" w:tplc="CA247A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63F"/>
    <w:multiLevelType w:val="multilevel"/>
    <w:tmpl w:val="FF9A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B5B7BD6"/>
    <w:multiLevelType w:val="hybridMultilevel"/>
    <w:tmpl w:val="AE1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1AB2"/>
    <w:multiLevelType w:val="hybridMultilevel"/>
    <w:tmpl w:val="DB2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1C1"/>
    <w:multiLevelType w:val="hybridMultilevel"/>
    <w:tmpl w:val="803C08DC"/>
    <w:lvl w:ilvl="0" w:tplc="DEDE7B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128F"/>
    <w:multiLevelType w:val="hybridMultilevel"/>
    <w:tmpl w:val="52E21968"/>
    <w:lvl w:ilvl="0" w:tplc="92BE1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2051"/>
    <w:multiLevelType w:val="hybridMultilevel"/>
    <w:tmpl w:val="E218506C"/>
    <w:lvl w:ilvl="0" w:tplc="1B96A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A4A89"/>
    <w:multiLevelType w:val="hybridMultilevel"/>
    <w:tmpl w:val="6FC40E18"/>
    <w:lvl w:ilvl="0" w:tplc="DEDE7B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63F93"/>
    <w:multiLevelType w:val="hybridMultilevel"/>
    <w:tmpl w:val="49CA2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cumentProtection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1D5E"/>
    <w:rsid w:val="000043C4"/>
    <w:rsid w:val="00044A33"/>
    <w:rsid w:val="000A247F"/>
    <w:rsid w:val="00130D80"/>
    <w:rsid w:val="00162787"/>
    <w:rsid w:val="00171CD1"/>
    <w:rsid w:val="00184DBC"/>
    <w:rsid w:val="001A5AF1"/>
    <w:rsid w:val="001E4FB4"/>
    <w:rsid w:val="001E6FDA"/>
    <w:rsid w:val="001F3364"/>
    <w:rsid w:val="00217BE3"/>
    <w:rsid w:val="002358AD"/>
    <w:rsid w:val="002E157D"/>
    <w:rsid w:val="002F4772"/>
    <w:rsid w:val="00312B5A"/>
    <w:rsid w:val="00320226"/>
    <w:rsid w:val="0032031C"/>
    <w:rsid w:val="00340965"/>
    <w:rsid w:val="003A5202"/>
    <w:rsid w:val="003C0B05"/>
    <w:rsid w:val="003C12F4"/>
    <w:rsid w:val="00404A7F"/>
    <w:rsid w:val="00414870"/>
    <w:rsid w:val="00415FCC"/>
    <w:rsid w:val="00422CA5"/>
    <w:rsid w:val="00424D89"/>
    <w:rsid w:val="004E17A6"/>
    <w:rsid w:val="004F3C8A"/>
    <w:rsid w:val="0050139B"/>
    <w:rsid w:val="005104C1"/>
    <w:rsid w:val="0052426B"/>
    <w:rsid w:val="0058330B"/>
    <w:rsid w:val="00596776"/>
    <w:rsid w:val="005A0B4D"/>
    <w:rsid w:val="005E2D59"/>
    <w:rsid w:val="005E5803"/>
    <w:rsid w:val="005E6234"/>
    <w:rsid w:val="006132A0"/>
    <w:rsid w:val="00651CF8"/>
    <w:rsid w:val="0068178F"/>
    <w:rsid w:val="006B255A"/>
    <w:rsid w:val="006B3F3A"/>
    <w:rsid w:val="006C0C17"/>
    <w:rsid w:val="006E159A"/>
    <w:rsid w:val="006F0779"/>
    <w:rsid w:val="00707ADE"/>
    <w:rsid w:val="00717338"/>
    <w:rsid w:val="00735667"/>
    <w:rsid w:val="00742C1E"/>
    <w:rsid w:val="00770BC4"/>
    <w:rsid w:val="00780F8D"/>
    <w:rsid w:val="00787EA6"/>
    <w:rsid w:val="007931C5"/>
    <w:rsid w:val="007E1AF7"/>
    <w:rsid w:val="007E233F"/>
    <w:rsid w:val="0089780A"/>
    <w:rsid w:val="008C4CCE"/>
    <w:rsid w:val="008D07D6"/>
    <w:rsid w:val="008D2BF0"/>
    <w:rsid w:val="008D68B4"/>
    <w:rsid w:val="00900CC6"/>
    <w:rsid w:val="00920C92"/>
    <w:rsid w:val="00955E74"/>
    <w:rsid w:val="0099002E"/>
    <w:rsid w:val="0099047E"/>
    <w:rsid w:val="00993C10"/>
    <w:rsid w:val="009976B1"/>
    <w:rsid w:val="009C18CC"/>
    <w:rsid w:val="009C44E7"/>
    <w:rsid w:val="009D30AD"/>
    <w:rsid w:val="009E6DAD"/>
    <w:rsid w:val="00A244C3"/>
    <w:rsid w:val="00A53B59"/>
    <w:rsid w:val="00A73A6A"/>
    <w:rsid w:val="00A96F8E"/>
    <w:rsid w:val="00AD1D5E"/>
    <w:rsid w:val="00AF10A2"/>
    <w:rsid w:val="00B25B36"/>
    <w:rsid w:val="00B446A9"/>
    <w:rsid w:val="00B50D57"/>
    <w:rsid w:val="00B50FC5"/>
    <w:rsid w:val="00B80D4C"/>
    <w:rsid w:val="00BB43D4"/>
    <w:rsid w:val="00BC3D55"/>
    <w:rsid w:val="00BD7909"/>
    <w:rsid w:val="00C34DDB"/>
    <w:rsid w:val="00C534B1"/>
    <w:rsid w:val="00CC4F00"/>
    <w:rsid w:val="00CD22CB"/>
    <w:rsid w:val="00CD3778"/>
    <w:rsid w:val="00CD5204"/>
    <w:rsid w:val="00CE5D25"/>
    <w:rsid w:val="00CF206F"/>
    <w:rsid w:val="00D250A8"/>
    <w:rsid w:val="00D31493"/>
    <w:rsid w:val="00D65EE1"/>
    <w:rsid w:val="00E51A83"/>
    <w:rsid w:val="00E745C4"/>
    <w:rsid w:val="00E81600"/>
    <w:rsid w:val="00E8540C"/>
    <w:rsid w:val="00E85CB4"/>
    <w:rsid w:val="00E96751"/>
    <w:rsid w:val="00EE329B"/>
    <w:rsid w:val="00F05AAC"/>
    <w:rsid w:val="00F51037"/>
    <w:rsid w:val="00F63853"/>
    <w:rsid w:val="00F678FB"/>
    <w:rsid w:val="00FA730C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E9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UJ">
    <w:name w:val="NUMERUJ"/>
    <w:basedOn w:val="Normalny"/>
    <w:rsid w:val="00993C10"/>
    <w:pPr>
      <w:numPr>
        <w:numId w:val="4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E9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UJ">
    <w:name w:val="NUMERUJ"/>
    <w:basedOn w:val="Normalny"/>
    <w:rsid w:val="00993C10"/>
    <w:pPr>
      <w:numPr>
        <w:numId w:val="4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A158-DA9A-4C6E-9274-6122A22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Węglińska</dc:creator>
  <cp:lastModifiedBy>mhinc</cp:lastModifiedBy>
  <cp:revision>10</cp:revision>
  <cp:lastPrinted>2024-06-13T12:20:00Z</cp:lastPrinted>
  <dcterms:created xsi:type="dcterms:W3CDTF">2024-07-03T08:51:00Z</dcterms:created>
  <dcterms:modified xsi:type="dcterms:W3CDTF">2024-07-04T08:59:00Z</dcterms:modified>
</cp:coreProperties>
</file>