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before="240" w:after="240" w:line="360" w:lineRule="auto"/>
        <w:jc w:val="center"/>
        <w:rPr>
          <w:rFonts w:eastAsia="Calibri" w:cs="Arial"/>
          <w:b/>
          <w:color w:val="00000A"/>
          <w:sz w:val="28"/>
          <w:szCs w:val="28"/>
        </w:rPr>
      </w:pPr>
      <w:r>
        <w:rPr>
          <w:rFonts w:eastAsia="Calibri" w:cs="Arial"/>
          <w:b/>
          <w:color w:val="00000A"/>
          <w:sz w:val="28"/>
          <w:szCs w:val="28"/>
        </w:rPr>
        <w:t>Tabela opisu przedmiotu zamówienia</w:t>
      </w:r>
      <w:r>
        <w:rPr>
          <w:rFonts w:eastAsia="Calibri" w:cs="Arial"/>
          <w:b/>
          <w:color w:val="00000A"/>
          <w:sz w:val="28"/>
          <w:szCs w:val="28"/>
        </w:rPr>
        <w:br/>
        <w:t xml:space="preserve">dla części nr 1 </w:t>
      </w:r>
      <w:r>
        <w:rPr>
          <w:rFonts w:eastAsia="Calibri" w:cs="Arial"/>
          <w:b/>
          <w:bCs/>
          <w:color w:val="00000A"/>
          <w:sz w:val="28"/>
          <w:szCs w:val="28"/>
        </w:rPr>
        <w:t>– serwery, inny sprzęt IT i oprogramowanie</w:t>
      </w:r>
    </w:p>
    <w:tbl>
      <w:tblPr>
        <w:tblStyle w:val="Siatkatabelijasna"/>
        <w:tblW w:w="1530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2"/>
        <w:gridCol w:w="8599"/>
        <w:gridCol w:w="850"/>
        <w:gridCol w:w="2552"/>
        <w:gridCol w:w="2551"/>
      </w:tblGrid>
      <w:tr>
        <w:trPr>
          <w:trHeight w:val="476"/>
          <w:tblHeader/>
        </w:trPr>
        <w:tc>
          <w:tcPr>
            <w:tcW w:w="752" w:type="dxa"/>
            <w:shd w:val="clear" w:color="auto" w:fill="E7E6E6" w:themeFill="background2"/>
            <w:vAlign w:val="center"/>
          </w:tcPr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599" w:type="dxa"/>
            <w:shd w:val="clear" w:color="auto" w:fill="E7E6E6" w:themeFill="background2"/>
            <w:vAlign w:val="center"/>
          </w:tcPr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Opis 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Cena pozycji netto</w:t>
            </w:r>
          </w:p>
        </w:tc>
      </w:tr>
      <w:tr>
        <w:tc>
          <w:tcPr>
            <w:tcW w:w="752" w:type="dxa"/>
          </w:tcPr>
          <w:p>
            <w:pPr>
              <w:spacing w:before="40" w:after="40"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599" w:type="dxa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Drukarka 3D</w:t>
            </w:r>
          </w:p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Technologia druku FFF</w:t>
            </w:r>
            <w:r>
              <w:rPr>
                <w:rFonts w:cs="Calibri"/>
                <w:sz w:val="18"/>
                <w:szCs w:val="18"/>
              </w:rPr>
              <w:br/>
              <w:t xml:space="preserve">Maksymalna Tolerancja średnicy min. +/- 0.05mm </w:t>
            </w:r>
            <w:r>
              <w:rPr>
                <w:rFonts w:cs="Calibri"/>
                <w:sz w:val="18"/>
                <w:szCs w:val="18"/>
              </w:rPr>
              <w:br/>
              <w:t>Obszar pola roboczego min. 400 x 290 x 190mm</w:t>
            </w:r>
            <w:r>
              <w:rPr>
                <w:rFonts w:cs="Calibri"/>
                <w:sz w:val="18"/>
                <w:szCs w:val="18"/>
              </w:rPr>
              <w:br/>
              <w:t xml:space="preserve">Ilość </w:t>
            </w:r>
            <w:proofErr w:type="spellStart"/>
            <w:r>
              <w:rPr>
                <w:rFonts w:cs="Calibri"/>
                <w:sz w:val="18"/>
                <w:szCs w:val="18"/>
              </w:rPr>
              <w:t>ekstruderów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min. 2</w:t>
            </w:r>
            <w:r>
              <w:rPr>
                <w:rFonts w:cs="Calibri"/>
                <w:sz w:val="18"/>
                <w:szCs w:val="18"/>
              </w:rPr>
              <w:br/>
              <w:t>Temperatura dyszy min. 290°C</w:t>
            </w:r>
            <w:r>
              <w:rPr>
                <w:rFonts w:cs="Calibri"/>
                <w:sz w:val="18"/>
                <w:szCs w:val="18"/>
              </w:rPr>
              <w:br/>
              <w:t>Oprogramowanie służące do przygotowywania modeli do druku 3D w zestawie</w:t>
            </w:r>
            <w:r>
              <w:rPr>
                <w:rFonts w:cs="Calibri"/>
                <w:sz w:val="18"/>
                <w:szCs w:val="18"/>
              </w:rPr>
              <w:br/>
              <w:t>Obsługiwane typy plików STL, OBJ, 3MF</w:t>
            </w:r>
            <w:r>
              <w:rPr>
                <w:rFonts w:cs="Calibri"/>
                <w:sz w:val="18"/>
                <w:szCs w:val="18"/>
              </w:rPr>
              <w:br/>
              <w:t xml:space="preserve">Obsługa systemów operacyjnych </w:t>
            </w:r>
            <w:proofErr w:type="spellStart"/>
            <w:r>
              <w:rPr>
                <w:rFonts w:cs="Calibri"/>
                <w:sz w:val="18"/>
                <w:szCs w:val="18"/>
              </w:rPr>
              <w:t>MacOS</w:t>
            </w:r>
            <w:proofErr w:type="spellEnd"/>
            <w:r>
              <w:rPr>
                <w:rFonts w:cs="Calibri"/>
                <w:sz w:val="18"/>
                <w:szCs w:val="18"/>
              </w:rPr>
              <w:t>, Windows i Linux</w:t>
            </w:r>
            <w:r>
              <w:rPr>
                <w:rFonts w:cs="Calibri"/>
                <w:sz w:val="18"/>
                <w:szCs w:val="18"/>
              </w:rPr>
              <w:br/>
              <w:t>Dokładność pozycjonowania min. X/Y/Z - 1,25μm / 1,25μm / 1μm</w:t>
            </w:r>
            <w:r>
              <w:rPr>
                <w:rFonts w:cs="Calibri"/>
                <w:sz w:val="18"/>
                <w:szCs w:val="18"/>
              </w:rPr>
              <w:br/>
              <w:t>Wysokość warstwy min. zakres 0,05mm - 0,5mm</w:t>
            </w:r>
            <w:r>
              <w:rPr>
                <w:rFonts w:cs="Calibri"/>
                <w:sz w:val="18"/>
                <w:szCs w:val="18"/>
              </w:rPr>
              <w:br/>
              <w:t>Rodzaj drukarki FFF, FDM, LPD</w:t>
            </w:r>
            <w:r>
              <w:rPr>
                <w:rFonts w:cs="Calibri"/>
                <w:sz w:val="18"/>
                <w:szCs w:val="18"/>
              </w:rPr>
              <w:br/>
              <w:t>Ekran dotykowy min. “5</w:t>
            </w:r>
            <w:r>
              <w:rPr>
                <w:rFonts w:cs="Calibri"/>
                <w:sz w:val="18"/>
                <w:szCs w:val="18"/>
              </w:rPr>
              <w:br/>
              <w:t xml:space="preserve">Głośność max. 49 </w:t>
            </w:r>
            <w:proofErr w:type="spellStart"/>
            <w:r>
              <w:rPr>
                <w:rFonts w:cs="Calibri"/>
                <w:sz w:val="18"/>
                <w:szCs w:val="18"/>
              </w:rPr>
              <w:t>dB</w:t>
            </w:r>
            <w:proofErr w:type="spellEnd"/>
            <w:r>
              <w:rPr>
                <w:rFonts w:cs="Calibri"/>
                <w:sz w:val="18"/>
                <w:szCs w:val="18"/>
              </w:rPr>
              <w:br/>
              <w:t>Średnica dyszy min. 0,4 mm, 0,8mm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uppressAutoHyphens/>
              <w:spacing w:before="40" w:after="40" w:line="276" w:lineRule="auto"/>
              <w:ind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Oprogramowanie do tworzenia grafiki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•  Oprogramowanie CAD umożliwiające projektowanie przestrzenne części i złożeń 3D o wysokim stopniu skomplikowania.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 Licencja wieczysta oprogramowania.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 Oprogramowanie pozwalające  na błyskawiczne modelowanie i swobodną, efektywną edycję geometrii części i złożeń zaimportowanych z innych systemów CAD/CAM, wydajną kontrolę geometrii i bezpośrednią parametryzację modeli z wykorzystaniem wymiarów 3D.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 Wbudowany system PDM – rozwiązanie do zarządzania danymi projektowymi (PDM), które nie wymaga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instalacji zewnętrznych baz danych oraz dodatkowo płatnych licencji bazodanowych i licencji PDM; rozwiązanie zapewnia zarządzanie rewizjami, zmianami (procesy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worflow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) oraz cyklem życia dokumentów.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 Bezpośrednie otwieranie oraz bezproblemowa praca (edycja, parametryzacja itp.) z natywnymi plikami w formatach: *.par, *.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asm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, *.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dft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Praca z obiektami B-rep i/lub obiektami siatkowymi (fasetki, np. JT czy STL).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Modelowanie wieloobiektowe.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Modelowanie elementów blaszanych (gięte i tłoczone) - dokładne (technologiczne) rozwinięcia modeli blaszanych  z możliwością definiowania strefy plastycznej podczas gięcia, sterowane za pomocą pliku z arkusza kalkulacyjnego; bezpośrednia wymiana danych z maszynami do gięcia i cięcia blach.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Automatyczne generowanie wariantów części i złożeń.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Tworzenie konstrukcji spawanych.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Tworzenie konstrukcji ramowych.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Projektowanie elementów form i tłoczników.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Tworzenie parametrycznych modeli na podstawie dokumentacji CAD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Sterowanie geometrią modeli z wykorzystaniem arkusza kalkulacyjnego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Parametryzacja modeli importowanych przy użyciu technologii synchronicznej.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Kontrola jakości geometrii i naprawa zaimportowanego modelu.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edycji kształtu i wymiarów modeli bryłowych i powierzchniowych, nie posiadających historii modelowania (np. zaimportowanych z formatów pośrednich), jak i modeli natywnych z historią.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użycia funkcji edycji bezpośredniej na modelach parametrycznych bez naruszenia istniejącej historii modelowania.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konwersji modeli zaimportowanych na części blaszane i ich rozwijania.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Analiza powierzchni i technologiczności modelu (wypraski, odlewy itp.)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Optymalizacja geometrii pod kątem właściwości fizycznych.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Obliczenia wariantowe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Tworzenie i wymiana plików zawierających pomiary i uwagi na temat projektu.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Udostępnianie modeli wraz z uwagami i wymiarami – w formatach: PDF 3D i JT.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Portal internetowy do przeglądania i udostępniania danych.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Import/export  plików siatkowych STL i 3MF.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Bezpośredni dostęp i obsługa modeli z darmowych bibliotek modeli 3D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Udostępnianie modeli wraz z uwagami i wymiarami w formatach: PDF 3D i JT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Wsparcie dla technologii BIM – dwukierunkowa obsługa formatu IFC 2/3 i 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Bezpośrednie udostępnianie modeli dla drukarek 3D – zintegrowane narzędzia do przygotowywania (skalowanie, powielanie, dodawanie cech itp.) geometrii wytwarzanej addytywnie (np. druk 3D) z wykorzystaniem nowoczesnego formatu 3MF; bezpośrednie połączenie z drukarką 3D oraz portalem do zamawiania usług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wytwarzania on-line –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Automatyczne generowanie rysunków 2D (widoki, przekroje, wymiary itp.)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Automatyczne generowanie zaawansowanych list części BOM (Bill of Materials) i tabel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Porównywanie rysunków 2D.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Tworzenie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fotorealistycznych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wizualizacji i animacji.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Projektowanie wiązek przewodów elektrycznych 3D, w tym zautomatyzowane ich tworzenie za pośrednictwem plików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ecad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 (reprezentują komponenty i przewody obwodów elektrycznych 2D).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Ułatwiający i przyspieszający pracę interfejs oprogramowania (obsługa skrótów klawiszowych, gestów myszy, kontekstowych pasków narzędzi), przystosowany do obsługi paneli dotykowych i ekranów o wysokiej rozdzielczości (4K).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Analiza części blaszanych pod kątem kosztów i technologii wytwarzania (DFC/DFM)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Możliwości analizy generatywnej i inżynierii odwrotnej pozwalające na automatyczne generowanie zoptymalizowanych pod względem wytrzymałości i masy kształtów bionicznych wytwarzanych w technologii addytywnej; narzędzia do naprawy, optymalizacji i obróbki geometrii uzyskanej w wyniku skanowania obiektów; umożliwiają zamianę geometrii siatkowej na geometrię analityczną, która może być poddawana modyfikacjom.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Projektowanie koncepcyjne złożenia - wirtualne komponenty.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obliczeń statycznych pojedynczych części i złożeń.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globalnego i lokalnego zagęszczania siatki elementów skończonych.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nadawania obciążeń za pomocą siły, momentu, ciśnienia, przemieszczenia, grawitacją.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definiowania podpór predefiniowanych (pełne, przegubowo, bez obrotów) oraz możliwość ręcznego odebrania stopni swobody.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wyświetlenia wyników za pomocą konturu,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isolinii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isopowierzchni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wygenerowania automatycznego raportu.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wyświetlenia zakresu konturu w zakresie zdefiniowanym przez użytkownika.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wyeksportowania modelu obliczeniowego do zewnętrznego programu MES w formacie *.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modfem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Stanowiska komputerowe</w:t>
            </w:r>
          </w:p>
          <w:p>
            <w:pPr>
              <w:spacing w:after="240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Wbudowany system zabezpieczeń: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Trusted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Platform Module (TPM) Security Chip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CPU: min. 31100 pkt wg test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RAM Zainstalowana min. : 16 GB DDR4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Napęd dyskowy Typ: SSD - M.2 min. 512GB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Napęd optyczny : Nagrywarka DVD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Czytnik kart Typ: Karta pamięci SD, karta pamięci SDHC, Karta Pamięci SDXC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Monitor LED – min. 24" – min. 1920 x 1200 WUXGA @ min. 60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- IPS – min. 300 cd/m² - min. 1000:1 - 5 ms lub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lepszy – min. HDMI, DVI,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, VGA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Procesor graficzny: min. 13700 pkt w teście GPU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 Wyjście sygnału audio : Dźwięk przestrzenny 5.1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Bezprzewodowa klawiatura oraz mysz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Obsługa sieci bezprzewodowej LAN: Tak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Bezprzewodowa komunikacja: Wi-Fi 6 AX 201, Bluetooth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Interfejsy (min.):</w:t>
            </w:r>
          </w:p>
          <w:p>
            <w:pPr>
              <w:spacing w:after="240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 x słuchawki/mikrofon (1 z przodu)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4 x USB 3.2 Gen 1 (2 z przodu)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4 x USB 2.0 (2 z przodu)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1 x LAN (Gigabit Ethernet) - RJ-45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1 x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1.4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1 x HDMI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1 x wyjście liniowe audio</w:t>
            </w:r>
            <w:bookmarkStart w:id="0" w:name="_Hlk137808944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Moc wyjściowa: maksymalnie 180 wat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bookmarkEnd w:id="0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Dołączony system operacyjny: Windows 11 PRO lub równoważny 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Szafa serwerowa - akcesoria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Szafa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rack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19" 42U 600x1000mm stojąca spawana 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 1. Drzwi przednie szklane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 2. Drzwi tylne stalowe perforowane z zamkiem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 3. Drzwi boczne z możliwością montażu zamka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 4. Wyposażenie min. : 4 wentylatory, 3 półki, listwa zasilająca, 40 koszyków ze śrubami, kółka , regulowane nóżki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 5. Zgodne z standardami ANSI / EIA RS-310-D, DIN 41491 – lub równoważnymi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 6. zamki zastosowane w szafie 1333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Dedykowany serwer obliczeniowy (3 wersje oparte o: GPU, TPU, oraz NNP)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Obudowa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Rack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o wysokości max 1U z możliwością instalacji min. 8 dysków 2,5” wraz z kompletem wysuwanych szyn umożliwiających montaż w szafie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rack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i wysuwanie serwera do celów serwisowych oraz organizatorem do kabli.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Obudowa z możliwością wyposażenia w kartę umożliwiającą dostęp bezpośredni poprzez urządzenia mobilne -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serwer musi posiadać możliwość konfiguracji oraz monitoringu najważniejszych komponentów serwera przy użyciu dedykowanej aplikacji mobilnej min. (Android/ Apple iOS) przy użyciu jednego z protokołów BLE/ WIFI.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Płyta główna z możliwością zainstalowania do dwóch procesorów. Płyta główna musi być zaprojektowana przez producenta serwera i oznaczona jego znakiem firmowym.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Chipset Dedykowany przez producenta procesora do pracy w serwerach dwuprocesorowych.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Procesor Zainstalowane dwa procesory min. 16-rdzeniowe, dedykowane do pracy z zaoferowanym serwerem umożliwiające osiągnięcie wyniku min. 261 w teście SPECrate2017_int_base, dostępnym na stronie www.spec.org dla konfiguracji dwuprocesorowej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RAM Minimum 256GB DDR4 RDIMM, na płycie głównej powinno znajdować się minimum 32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sloty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przeznaczone do instalacji pamięci. Płyta główna powinna obsługiwać do 4TB pamięci RAM.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Funkcjonalność pamięci RAM Advanced ECC, Memory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Page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Retire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Fault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Resilient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Memory, Memory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Self-Healing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lub PPR,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Partial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Cache Line Sparing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Gniazda PCI - minimum trzy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sloty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x16 generacji 4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Interfejsy sieciowe/FC/SAS Wbudowane min. 2 interfejsy sieciowe 1Gb Ethernet w standardzie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BaseT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oraz min. 2 interfejsy sieciowe 10Gb Ethernet w standardzie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BaseT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(porty nie mogą być osiągnięte poprzez karty w slotach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Dyski twarde: możliwość instalacji dysków SAS, SATA, SSD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Zainstalowane 3 dyski SAS o pojemności min. 900GB, min 15K obrotów/minutę, 2,5“ Hot-Plug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Możliwość zainstalowania dwóch dysków M.2 SATA o pojemności min. 480GB Hot-Plug z możliwością konfiguracji RAID 1.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Możliwość zainstalowania dedykowanego modułu dla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hypervisora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wirtualizacyjnego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, wyposażony w 2 nośniki typu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flash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o pojemności min. 64GB, z możliwością konfiguracji zabezpieczenia synchronizacji pomiędzy nośnikami z poziomu BIOS serwera, rozwiązanie nie może powodować zmniejszenia ilości wnęk na dyski twarde.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Kontroler RAID Sprzętowy kontroler dyskowy, posiadający min. 8GB nieulotnej pamięci cache, możliwe konfiguracje poziomów RAID: 0, 1, 5, 6, 10, 50, 60. Wsparcie dla dysków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samoszyfrujących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System operacyjny/System wirtualizacji Microsoft Windows Server 2019 Standard lub równoważny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Wbudowane min. porty 4 x USB z czego nie mniej niż 1x USB 3.0, 2x VGA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Video Zintegrowana karta graficzna umożliwiająca wyświetlenie rozdzielczości min. 1920x1200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Zasilacze Redundantne, Hot-Plug min. 1400W każdy.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Bezpieczeństwo  • blokada na ramce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panela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zamykana na klucz służąca do ochrony nieautoryzowanego dostępu do dysków twardych.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wyłączenia w BIOS funkcji przycisku zasilania.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BIOS ma możliwość przejścia do bezpiecznego trybu rozruchowego z możliwością zarządzania blokadą zasilania, panelem sterowania oraz zmianą hasła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Wbudowany czujnik otwarcia obudowy współpracujący z BIOS i kartą zarządzającą.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• Moduł TPM 2.0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dynamicznego włączania I wyłączania portów USB na obudowie – bez potrzeby restartu serwera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wymazania danych ze znajdujących się dysków wewnątrz serwera – niezależne od zainstalowanego systemu operacyjnego, uruchamiane z poziomu zarządzania serwerem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Diagnostyka : panel LCD umieszczony na froncie obudowy, umożliwiający wyświetlenie informacji o stanie procesora, pamięci, dysków,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BIOS’u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, zasilaniu oraz temperaturze.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Karta Zarządzania Niezależna od zainstalowanego na serwerze systemu operacyjnego posiadająca dedykowany port Gigabit Ethernet RJ-45 i umożliwiająca: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zdalny dostęp do graficznego interfejsu Web karty zarządzającej;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zdalne monitorowanie i informowanie o statusie serwera (m.in. prędkości obrotowej wentylatorów, konfiguracji serwera);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szyfrowane połączenie (TLS) oraz autentykacje i autoryzację użytkownika;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podmontowania zdalnych wirtualnych napędów;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wirtualną konsolę z dostępem do myszy, klawiatury;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wsparcie dla IPv6;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wsparcie dla WSMAN (Web Service for Management); SNMP; IPMI2.0, SSH,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Redfish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zdalnego monitorowania w czasie rzeczywistym poboru prądu przez serwer;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zdalnego ustawienia limitu poboru prądu przez konkretny serwer;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integracja z usługą katalogowania (pozwalającą  administratorom sieci, centralnie, z poziomu jednego komputera zarządzać całym zbiorem użytkowników w sieci, określać ich uprawnienia do zasobów sieciowych, a także konfigurować komputery, na których pracują).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obsługi przez dwóch administratorów jednocześnie;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wsparcie dla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dynamic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DNS;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wysyłanie do administratora maila z powiadomieniem o awarii lub zmianie konfiguracji sprzętowej.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bezpośredniego zarządzania poprzez dedykowany port USB na przednim panelu serwera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zarządzania  min. 4 serwerami bezpośrednio z konsoli karty zarządzającej pojedynczego serwera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Oprogramowanie do zarządzania Możliwość zainstalowania oprogramowania producenta do zarządzania, spełniającego poniższe wymagania: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Wsparcie dla serwerów, urządzeń sieciowych oraz pamięci masowych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integracja z  usługą katalogowania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zarządzania dostarczonymi serwerami bez udziału dedykowanego agenta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Wsparcie dla protokołów SNMP, IPMI, Linux SSH,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Redfish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uruchamiania procesu wykrywania urządzeń w oparciu o harmonogram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Szczegółowy opis wykrytych systemów oraz ich komponentów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eksportu raportu do CSV, HTML, XLS, PDF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• Możliwość tworzenia własnych raportów w oparciu o wszystkie informacje zawarte w inwentarzu.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Grupowanie urządzeń w oparciu o kryteria użytkownika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Tworzenie automatycznie grup urządzeń w oparciu o dowolny element konfiguracji serwera np. Nazwa, lokalizacja, system operacyjny, obsadzenie slotów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, pozostałego czasu gwarancji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uruchamiania narzędzi zarządzających w poszczególnych urządzeniach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Szybki podgląd stanu środowiska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Podsumowanie stanu dla każdego urządzenia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Szczegółowy status urządzenia/elementu/komponentu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Generowanie alertów przy zmianie stanu urządzenia.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Filtry raportów umożliwiające podgląd najważniejszych zdarzeń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Integracja z service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desk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producenta dostarczonej platformy sprzętowej 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przejęcia zdalnego pulpitu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podmontowania wirtualnego napędu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Kreator umożliwiający dostosowanie akcji dla wybranych alertów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importu plików MIB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Przesyłanie alertów „as-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is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” do innych konsol firm trzecich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definiowania ról administratorów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zdalnej aktualizacji oprogramowania wewnętrznego serwerów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Aktualizacja oparta o wybranie źródła bibliotek (lokalna, on-line producenta oferowanego rozwiązania)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instalacji oprogramowania wewnętrznego bez potrzeby instalacji agenta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automatycznego generowania i zgłaszania incydentów awarii bezpośrednio do centrum serwisowego producenta serwerów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tworzenia sprzętowej konfiguracji bazowej i na jej podstawie weryfikacji środowiska w celu wykrycia rozbieżności.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Wdrażanie serwerów, rozwiązań modularnych oraz przełączników sieciowych w oparciu o profile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migracji ustawień serwera wraz z wirtualnymi adresami sieciowymi (MAC, WWN, IQN) między urządzeniami.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Tworzenie gotowych paczek informacji umożliwiających zdiagnozowanie awarii urządzenia przez serwis producenta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Zdalne uruchamianie diagnostyki serwera.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Dedykowana aplikacja na urządzenia mobilne integrująca się z wyżej opisanymi oprogramowaniem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zarządzającym.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Oprogramowanie dostarczane jako wirtualny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appliance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dla KVM,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ESXi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i Hyper-V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Certyfikaty Serwer musi być wyprodukowany zgodnie z normą ISO-9001:2015 oraz ISO-14001 – lub równoważne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Serwer musi posiadać deklarację CE.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Dokumentacja użytkownika w języku polskim lub angielskim.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Możliwość telefonicznego sprawdzenia konfiguracji sprzętowej serwera oraz warunków gwarancji po podaniu numeru seryjnego bezpośrednio u producenta lub jego przedstawiciela.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Warunki gwarancji min. 5 lat gwarancji producenta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Zamawiający oczekuje możliwości zgłaszania zdarzeń serwisowych w trybie 24/7/365 następującymi kanałami: telefonicznie, przez Internet oraz z wykorzystaniem aplikacji.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Zamawiający oczekuje rozpoczęcia diagnostyki telefonicznej / internetowej już w momencie dokonania zgłoszenia.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Certyfikowany Technik wykonawcy / producenta z właściwym zestawem części do naprawy (potwierdzonym na etapie diagnostyki) ma rozpocząć naprawę w siedzibie zamawiającego najpóźniej w następnym dniu roboczym (NBD) od otrzymania zgłoszenia / zakończenia diagnostyki. Naprawa ma się odbywać w siedzibie zamawiającego, chyba, że zamawiający dla danej naprawy zgodzi się na inną formę. 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Zamawiający oczekuje bezpośredniego dostępu do wykwalifikowanej kadry inżynierów technicznych a w przypadku konieczności eskalacji zgłoszenia serwisowego wyznaczonego Kierownika Eskalacji po stronie wykonawcy.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Zamawiający wymaga pojedynczego punktu kontaktu dla całego rozwiązania producenta, w tym także sprzedanego oprogramowania.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Zgłoszenie przyjęte jest potwierdzane przez zespół pomocy technicznej (mail/telefon / aplikacja / portal) przez nadanie unikalnego numeru zgłoszenia pozwalającego na identyfikację zgłoszenia w trakcie realizacji naprawy i po jej zakończeniu.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Zamawiający oczekuje możliwości samodzielnego kwalifikowania poziomu ważności naprawy.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Możliwość sprawdzenia statusu gwarancji poprzez stronę producenta podając unikatowy numer urządzenia oraz pobieranie uaktualnień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mikrokodu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oraz sterowników nawet w przypadku wygaśnięcia gwarancji serwera.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Zamawiający oczekuje nieodpłatnego udostępnienia narzędzi serwisowych i procesów wsparcia umożliwiających: Wykrywanie usterek sprzętowych z predykcją awarii.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Automatyczną diagnostykę i zdalne otwieranie zgłoszeń serwisowych.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Możliwość rozszerzenia gwarancji przez producenta do 7 lat.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Firma serwisująca musi posiadać ISO 9001:2015 oraz ISO-27001 lub równoważne na świadczenie usług serwisowych oraz posiadać autoryzacje producenta urządzeń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Dedykowany serwer danych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Obudowa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Rack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o wysokości max 2U. Możliwość instalacji minimum 24 dysków 3.5” z przodu serwera oraz 2 dysków 3,5” z tyłu serwera. Komplet szyn umożliwiających montaż w szafie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rack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Obudowa musi mieć możliwość wyposażenia w kartę umożliwiającą dostęp bezpośredni poprzez urządzenia mobilne - serwer musi posiadać możliwość konfiguracji oraz monitoringu najważniejszych komponentów serwera przy użyciu dedykowanej aplikacji mobilnej min. (Android/ Apple iOS) przy użyciu jednego z protokołów BLE/ WIFI.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Płyta główna Płyta główna z możliwością zainstalowania do dwóch procesorów. Płyta główna musi być zaprojektowana przez producenta serwera i oznaczona jego znakiem firmowym.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Chipset Dedykowany przez producenta procesora do pracy w serwerach dwuprocesorowych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Procesor Zainstalowane dwa procesory min. 8-rdzeniowe klasy x86 dedykowane do pracy z zaoferowanym serwerem umożliwiające osiągnięcie wyniku min. 70.2 w teście SPECrate2017_int_base, dostępnym na stronie www.spec.org dla konfiguracji dwuprocesorowej.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RAM Minimum 32GB DDR4 RDIMM 3200MT/s, na płycie głównej powinno znajdować się minimum 16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sloty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przeznaczone do instalacji pamięci.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>Płyta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>główna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>powinna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>obsługiwać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 xml:space="preserve"> do 1TB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>pamięci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 xml:space="preserve"> RAM.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br/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>Funkcjonalność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>pamięci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 xml:space="preserve"> RAM Memory Rank Sparing, Memory Mirror, Failed DIMM isolation, Memory Address Parity Protection, Memory Thermal Throttling, SDDC, Memory demand and patrol scrubbing, Dense configuration optimized profile.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br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Gniazda PCI Min. 1 slot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generacji 3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Minimum: Interfejsy sieciowe/FC/SAS Wbudowane dwa interfejsy sieciowe 1Gb Ethernet w standardzie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BaseT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oraz dwa interfejsy sieciowe 10Gb Ethernet ze złączami w standardzie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BaseT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Dodatkowe min. cztery interfejsy sieciowe 1Gb Ethernet w standardzie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BaseT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Dyski twarde Zainstalowane 12 dysków SATA o pojemności min. 4TB, 6Gb, 2,5“ Hot-Plug.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Możliwość zainstalowania dedykowanego modułu dla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hypervisora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wirtualizacyjnego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, wyposażony w 2 nośniki typu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flash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o pojemności min. 64GB, z możliwością konfiguracji zabezpieczenia synchronizacji pomiędzy nośnikami z poziomu BIOS serwera, rozwiązanie nie może powodować zmniejszenia ilości wnęk na dyski twarde.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Możliwość instalacji dwóch dysków M.2 SATA o pojemności min. 480GB oraz możliwość konfiguracji w RAID 1.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Kontroler RAID Sprzętowy kontroler dyskowy, posiadający min. 2GB nieulotnej pamięci cache, możliwe konfiguracje poziomów RAID: 0, 1, 5, 6, 10, 50, 60. Wsparcie dla dysków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samoszyfrujących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Wbudowane porty min. 5xUSB, min. 2 port USB 2.0 oraz min. 3 porty USB 3.0, min. 2 porty VGA, min. 1 port RS232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Video Zintegrowana karta graficzna umożliwiająca wyświetlenie rozdzielczości min. 1280x1024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Wentylatory Redundantne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Zasilacze Redundantne, Hot-Plug min. 750W każdy.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Bezpieczeństwo :  moduł TPM 2.0.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Wbudowany czujnik otwarcia obudowy współpracujący z BIOS i kartą zarządzającą.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Diagnostyka panel LCD umieszczony na froncie obudowy, umożliwiający wyświetlenie informacji o stanie procesora, pamięci, dysków,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BIOS’u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, zasilaniu oraz temperaturze.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Karta Zarządzania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Niezależna od zainstalowanego na serwerze systemu operacyjnego posiadająca dedykowany port Gigabit Ethernet RJ-45 i umożliwiająca: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zdalny dostęp do graficznego interfejsu Web karty zarządzającej;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zdalne monitorowanie i informowanie o statusie serwera (m.in. prędkości obrotowej wentylatorów, konfiguracji serwera);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szyfrowane połączenie (TLS) oraz autentykacje i autoryzację użytkownika;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podmontowania zdalnych wirtualnych napędów;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wirtualną konsolę z dostępem do myszy, klawiatury;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wsparcie dla IPv6;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wsparcie dla WSMAN (Web Service for Management); SNMP; IPMI2.0, SSH,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Redfish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zdalnego monitorowania w czasie rzeczywistym poboru prądu przez serwer;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zdalnego ustawienia limitu poboru prądu przez konkretny serwer;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integracja z usługą katalogowania (pozwalającą  administratorom sieci, centralnie, z poziomu jednego komputera zarządzać całym zbiorem użytkowników w sieci, określać ich uprawnienia do zasobów sieciowych, a także konfigurować komputery, na których pracują).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obsługi przez dwóch administratorów jednocześnie;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wsparcie dla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dynamic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DNS;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wysyłanie do administratora maila z powiadomieniem o awarii lub zmianie konfiguracji sprzętowej.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bezpośredniego zarządzania poprzez dedykowany port USB na przednim panelu serwera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zarządzania min. 4 serwerami bezpośrednio z konsoli karty zarządzającej pojedynczego serwera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Oprogramowanie do zarządzania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Możliwość zainstalowania oprogramowania producenta do zarządzania, spełniającego poniższe wymagania: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Wsparcie dla serwerów, urządzeń sieciowych oraz pamięci masowych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integracja z usługą katalogowania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zarządzania dostarczonymi serwerami bez udziału dedykowanego agenta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Wsparcie dla protokołów SNMP, IPMI, Linux SSH,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Redfish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uruchamiania procesu wykrywania urządzeń w oparciu o harmonogram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Szczegółowy opis wykrytych systemów oraz ich komponentów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eksportu raportu do CSV, HTML, XLS, PDF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tworzenia własnych raportów w oparciu o wszystkie informacje zawarte w inwentarzu.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Grupowanie urządzeń w oparciu o kryteria użytkownika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Tworzenie automatycznie grup urządzeń w oparciu o dowolny element konfiguracji serwera np. Nazwa, lokalizacja, system operacyjny, obsadzenie slotów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, pozostałego czasu gwarancji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uruchamiania narzędzi zarządzających w poszczególnych urządzeniach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• Szybki podgląd stanu środowiska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Podsumowanie stanu dla każdego urządzenia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Szczegółowy status urządzenia/elementu/komponentu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Generowanie alertów przy zmianie stanu urządzenia.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Filtry raportów umożliwiające podgląd najważniejszych zdarzeń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Integracja z service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desk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producenta dostarczonej platformy sprzętowej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przejęcia zdalnego pulpitu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podmontowania wirtualnego napędu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Kreator umożliwiający dostosowanie akcji dla wybranych alertów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importu plików MIB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Przesyłanie alertów „as-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is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” do innych konsol firm trzecich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definiowania ról administratorów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zdalnej aktualizacji oprogramowania wewnętrznego serwerów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Aktualizacja oparta o wybranie źródła bibliotek (lokalna, on-line producenta oferowanego rozwiązania)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instalacji oprogramowania wewnętrznego bez potrzeby instalacji agenta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automatycznego generowania i zgłaszania incydentów awarii bezpośrednio do centrum serwisowego producenta serwerów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tworzenia sprzętowej konfiguracji bazowej i na jej podstawie weryfikacji środowiska w celu wykrycia rozbieżności.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Wdrażanie serwerów, rozwiązań modularnych oraz przełączników sieciowych w oparciu o profile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Możliwość migracji ustawień serwera wraz z wirtualnymi adresami sieciowymi (MAC, WWN, IQN) między urządzeniami.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Tworzenie gotowych paczek informacji umożliwiających zdiagnozowanie awarii urządzenia przez serwis producenta.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Zdalne uruchamianie diagnostyki serwera.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Dedykowana aplikacja na urządzenia mobilne integrująca się z wyżej opisanymi oprogramowaniem zarządzającym.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Oprogramowanie dostarczane jako wirtualny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appliance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dla KVM,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ESXi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i Hyper-V.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Certyfikaty Serwer musi być wyprodukowany zgodnie z normą ISO-9001:2015 oraz ISO-14001 – lub równoważne.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Serwer musi posiadać deklaracja CE.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Warunki gwarancji min. 3 lata gwarancji producenta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Zamawiający oczekuje możliwości zgłaszania zdarzeń serwisowych w trybie 9x5 następującymi kanałami: telefonicznie oraz przez Internet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Certyfikowany Technik wykonawcy / producenta z właściwym zestawem części do naprawy (potwierdzonym na etapie diagnostyki) ma rozpocząć naprawę w siedzibie zamawiającego najpóźniej w następnym dniu roboczym (NBD) od otrzymania zgłoszenia / zakończenia diagnostyki. Naprawa ma się odbywać w siedzibie zamawiającego, chyba, że zamawiający dla danej naprawy zgodzi się na inną formę. 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Zgłoszenie przyjęte jest potwierdzane przez zespół pomocy technicznej (mail/telefon) przez nadanie unikalnego numeru zgłoszenia pozwalającego na identyfikację zgłoszenia w trakcie realizacji naprawy i po jej zakończeniu.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Firma serwisująca musi posiadać ISO 9001:2015 oraz ISO-27001 lub równoważne na świadczenie usług serwisowych oraz posiadać autoryzacje producenta urządzeń.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Dokumentacja użytkownika w języku polskim lub angielskim.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bCs/>
                <w:sz w:val="18"/>
                <w:szCs w:val="18"/>
              </w:rPr>
              <w:t>AccessPoint</w:t>
            </w:r>
            <w:proofErr w:type="spellEnd"/>
            <w:r>
              <w:rPr>
                <w:rFonts w:cs="Calibri"/>
                <w:b/>
                <w:bCs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cs="Calibri"/>
                <w:b/>
                <w:bCs/>
                <w:sz w:val="18"/>
                <w:szCs w:val="18"/>
              </w:rPr>
              <w:t>WiFi</w:t>
            </w:r>
            <w:proofErr w:type="spellEnd"/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Częstotliwość pracy Dual Band (2.4GHz, 5GHz)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Ilość portów LAN min.  1x [10/100/1000M (RJ45)]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Minimalna prędkość transmisji bezprzewodowej 5400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Standard sieci LAN Gigabit Ethernet 10/100/1000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Standardy sieci bezprzewodowej IEEE 802.11a, IEEE 802.11b, IEEE 802.11g, IEEE 802.11ax, IEEE 802.11ac, IEEE 802.11n,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Rodzaj zasilania urządzenia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802.3af/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Typ anten Zintegrowane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Typ MIMO: MU-MIMO 2x2, MU-MIMO 4x4,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Zysk anteny Poniżej 10dBi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Zasilacz awaryjny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Rodzaj: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Rack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/Tower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Moc czynna [W] min. : 5000 W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Moc pozorna [VA] min.: 5000 VA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Topologia:Online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z podwójną konwersją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Awaryjne wyłączenie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zasilania:Tak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Liczba faz na wejściu:1 (230V)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Wyświetlacz:LCD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Fazy wejściowe:1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Online o podwójnej konwersji min. VFI-SS-111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Konwencjonalny zasilacz UPS w wersji RACK/TOWER maksymalny rozmiar : 4U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Złącza min. : USB-RS232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Gniazda wyjściowe min. : 8x IEC C13 2x IEC C19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Gniazdo wejściowe: Listwa zaciskowa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Gniazda wyjściowe min.: 8x IEC C13, 2x IEC C19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Serwery techniczne budynku</w:t>
            </w:r>
          </w:p>
          <w:p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Obudowa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Rack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o wysokości max 2U. Możliwość instalacji minimum 16 dysków 2.5”. Komplet wysuwanych szyn umożliwiających montaż w szafie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rack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i wysuwanie serwera do celów serwisowych oraz organizatorem do kabli.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Obudowa musi mieć możliwość wyposażenia w kartę umożliwiającą dostęp bezpośredni poprzez urządzenia mobilne - serwer musi posiadać możliwość konfiguracji oraz monitoringu najważniejszych komponentów serwera przy użyciu dedykowanej aplikacji mobilnej min. (Android/ Apple iOS) przy użyciu jednego z protokołów BLE/ WIFI.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Płyta główna Płyta główna z możliwością zainstalowania do dwóch procesorów. Płyta główna musi być zaprojektowana przez producenta serwera i oznaczona jego znakiem firmowym.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Chipset Dedykowany przez producenta procesora do pracy w serwerach dwuprocesorowych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Procesor Zainstalowane dwa procesory min. 16-rdzeniowe klasy x86, dedykowane do pracy z zaoferowanym serwerem umożliwiające osiągnięcie wyniku min. 258 w teście SPECrate2017_int_base, dostępnym na stronie www.spec.org dla konfiguracji dwuprocesorowej.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RAM Minimum 32GB DDR4 RDIMM 3200MT/s, na płycie głównej powinno znajdować się minimum 16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sloty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przeznaczone do instalacji pamięci. Płyta główna powinna obsługiwać do 1TB pamięci RAM.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Funkcjonalność pamięci RAM Advanced ECC, Memory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Page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Retire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Fault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Resilient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Memory, Memory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Self-Healing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lub PPR,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Partial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Cache Line Sparing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Gniazda PCI Min. 5 slotów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PCIe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x16 generacji 4.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Interfejsy sieciowe/FC/SAS Wbudowane min. 2 interfejsy sieciowe 1Gb Ethernet w standardzie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BaseT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oraz 2 interfejsy sieciowe 10Gb Ethernet w standardzie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BaseT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(porty nie mogą być osiągnięte poprzez karty w slotach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PCIe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>)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Dodatkowe min. 2 interfejsy sieciowe 10Gb Ethernet w standardzie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BaseT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Dyski twarde Możliwość instalacji dysków SAS, SATA, SSD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Zainstalowane 2 dyski SAS o pojemności min. 1.2TB, 12Gb, 2,5“ Hot-Plug.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Możliwość zainstalowania dwóch dysków M.2 SATA o pojemności min. 480GB Hot-Plug z możliwością konfiguracji RAID 1.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 xml:space="preserve">Możliwość zainstalowania dedykowanego modułu dla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hypervisora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wirtualizacyjnego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, wyposażony w 2 nośniki typu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flash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o pojemności min. 64GB, z możliwością konfiguracji zabezpieczenia synchronizacji pomiędzy nośnikami z poziomu BIOS serwera, rozwiązanie nie może powodować zmniejszenia ilości wnęk na dyski twarde.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Kontroler RAID Sprzętowy kontroler dyskowy, możliwe konfiguracje poziomów RAID: 0, 1, 10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Wbudowane porty min. 4xUSB, w tym min. 1 port USB 3.0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min. 2 porty VGA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Możliwość rozbudowy o Serial Port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Video Zintegrowana karta graficzna umożliwiająca wyświetlenie rozdzielczości min. 1280x1024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Wentylatory Redundantne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Zasilacze Redundantne, Hot-Plug min. 800W każdy.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System operacyjny/System wirtualizacji Windows Server 2019 Standard lub równoważny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Bezpieczeństwo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 • Blokada na ramce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panela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zamykana na klucz służąca do ochrony nieautoryzowanego dostępu do dysków twardych.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Możliwość wyłączenia w BIOS funkcji przycisku zasilania.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BIOS ma możliwość przejścia do bezpiecznego trybu rozruchowego z możliwością zarządzania blokadą zasilania, panelem sterowania oraz zmianą hasła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Wbudowany czujnik otwarcia obudowy współpracujący z BIOS i kartą zarządzającą.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Moduł TPM 2.0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• Możliwość dynamicznego włączania I wyłączania portów USB na obudowie – bez potrzeby restartu serwera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• Możliwość wymazania danych ze znajdujących się dysków wewnątrz serwera – niezależne od zainstalowanego systemu operacyjnego, uruchamiane z poziomu zarządzania serwerem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Diagnostyka Serwer wyposażony w panel LCD umieszczony na froncie obudowy, umożliwiający wyświetlenie informacji o stanie procesora, pamięci, dysków,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BIOS’u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>, zasilaniu oraz temperaturze.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Karta Zarządzania Niezależna od zainstalowanego na serwerze systemu operacyjnego posiadająca dedykowany port Gigabit Ethernet RJ-45 i umożliwiająca: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• zdalny dostęp do graficznego interfejsu Web karty zarządzającej;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• zdalne monitorowanie i informowanie o statusie serwera (m.in. prędkości obrotowej wentylatorów, konfiguracji serwera);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• szyfrowane połączenie (TLS) oraz autentykacje i autoryzację użytkownika;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• możliwość podmontowania zdalnych wirtualnych napędów;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• wirtualną konsolę z dostępem do myszy, klawiatury;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• wsparcie dla IPv6;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wsparcie dla WSMAN (Web Service for Management); SNMP; IPMI2.0, SSH,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Redfish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>;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• możliwość zdalnego monitorowania w czasie rzeczywistym poboru prądu przez serwer;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>• możliwość zdalnego ustawienia limitu poboru prądu przez konkretny serwer;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• integracja z usługą katalogowania (pozwalającą  administratorom sieci, centralnie, z poziomu jednego komputera zarządzać całym zbiorem użytkowników w sieci, określać ich uprawnienia do zasobów sieciowych, a także konfigurować komputery, na których pracują).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• możliwość obsługi przez dwóch administratorów jednocześnie;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wsparcie dla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dynamic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DNS;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• wysyłanie do administratora maila z powiadomieniem o awarii lub zmianie konfiguracji sprzętowej.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• możliwość bezpośredniego zarządzania poprzez dedykowany port USB na przednim panelu serwera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- możliwość zarządzania min. 4 serwerami bezpośrednio z konsoli karty zarządzającej pojedynczego serwera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Oprogramowanie do zarządzania Możliwość zainstalowania oprogramowania producenta do zarządzania, spełniającego poniższe wymagania: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Wsparcie dla serwerów, urządzeń sieciowych oraz pamięci masowych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integracja z usługą katalogowania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Możliwość zarządzania dostarczonymi serwerami bez udziału dedykowanego agenta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Wsparcie dla protokołów SNMP, IPMI, Linux SSH,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Redfish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Możliwość uruchamiania procesu wykrywania urządzeń w oparciu o harmonogram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Szczegółowy opis wykrytych systemów oraz ich komponentów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Możliwość eksportu raportu do CSV, HTML, XLS, PDF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Możliwość tworzenia własnych raportów w oparciu o wszystkie informacje zawarte w inwentarzu.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Grupowanie urządzeń w oparciu o kryteria użytkownika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Tworzenie automatycznie grup urządzeń w oparciu o dowolny element konfiguracji serwera np. Nazwa, lokalizacja, system operacyjny, obsadzenie slotów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PCIe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, pozostałego czasu gwarancji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Możliwość uruchamiania narzędzi zarządzających w poszczególnych urządzeniach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Szybki podgląd stanu środowiska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Podsumowanie stanu dla każdego urządzenia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Szczegółowy status urządzenia/elementu/komponentu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Generowanie alertów przy zmianie stanu urządzenia.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Filtry raportów umożliwiające podgląd najważniejszych zdarzeń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Integracja z service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desk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producenta dostarczonej platformy sprzętowej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Możliwość przejęcia zdalnego pulpitu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Możliwość podmontowania wirtualnego napędu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Kreator umożliwiający dostosowanie akcji dla wybranych alertów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Możliwość importu plików MIB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• Przesyłanie alertów „as-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is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” do innych konsol firm trzecich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Możliwość definiowania ról administratorów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 xml:space="preserve">• Możliwość zdalnej aktualizacji oprogramowania wewnętrznego serwerów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Aktualizacja oparta o wybranie źródła bibliotek (lokalna, on-line producenta oferowanego rozwiązania)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Możliwość instalacji oprogramowania wewnętrznego bez potrzeby instalacji agenta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Możliwość automatycznego generowania i zgłaszania incydentów awarii bezpośrednio do centrum serwisowego producenta serwerów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Możliwość tworzenia sprzętowej konfiguracji bazowej i na jej podstawie weryfikacji środowiska w celu wykrycia rozbieżności.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Wdrażanie serwerów, rozwiązań modularnych oraz przełączników sieciowych w oparciu o profile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Możliwość migracji ustawień serwera wraz z wirtualnymi adresami sieciowymi (MAC, WWN, IQN) między urządzeniami.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Tworzenie gotowych paczek informacji umożliwiających zdiagnozowanie awarii urządzenia przez serwis producenta.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Zdalne uruchamianie diagnostyki serwera.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Dedykowana aplikacja na urządzenia mobilne integrująca się z wyżej opisanymi oprogramowaniem zarządzającym.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Oprogramowanie dostarczane jako wirtualny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appliance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dla KVM,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ESXi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i Hyper-V.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Certyfikaty Serwer musi być wyprodukowany zgodnie z normą ISO-9001:2015, ISO-50001 oraz ISO-14001 lub równoważne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Serwer musi posiadać deklaracja CE.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Dokumentacja użytkownika w języku polskim lub angielskim.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Możliwość telefonicznego sprawdzenia konfiguracji sprzętowej serwera oraz warunków gwarancji po podaniu numeru seryjnego bezpośrednio u producenta lub jego przedstawiciela.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Warunki gwarancji min. 5 lat gwarancji producenta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Zamawiający oczekuje możliwości zgłaszania zdarzeń serwisowych w trybie 24/7/365 następującymi kanałami: telefonicznie, przez Internet oraz z wykorzystaniem aplikacji.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Zamawiający oczekuje rozpoczęcia diagnostyki telefonicznej / internetowej już w momencie dokonania zgłoszenia. Certyfikowany Technik wykonawcy / producenta z właściwym zestawem części do naprawy (potwierdzonym na etapie diagnostyki) ma rozpocząć naprawę w siedzibie zamawiającego najpóźniej w następnym dniu roboczym (NBD) od otrzymania zgłoszenia / zakończenia diagnostyki. Naprawa ma się odbywać w siedzibie zamawiającego, chyba, że zamawiający dla danej naprawy zgodzi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sie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na inną formę. 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Zamawiający oczekuje bezpośredniego dostępu do wykwalifikowanej kadry inżynierów technicznych a w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>przypadku konieczności eskalacji zgłoszenia serwisowego wyznaczonego Kierownika Eskalacji po stronie wykonawcy.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Zamawiający wymaga pojedynczego punktu kontaktu dla całego rozwiązania producenta, w tym także sprzedanego oprogramowania.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Zgłoszenie przyjęte jest potwierdzane przez zespół pomocy technicznej (mail/telefon / aplikacja / portal) przez nadanie unikalnego numeru zgłoszenia pozwalającego na identyfikację zgłoszenia w trakcie realizacji naprawy i po jej zakończeniu.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Zamawiający oczekuje możliwości samodzielnego kwalifikowania poziomu ważności naprawy.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Możliwość sprawdzenia statusu gwarancji poprzez stronę producenta podając unikatowy numer urządzenia oraz pobieranie uaktualnień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mikrokodu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oraz sterowników nawet w przypadku wygaśnięcia gwarancji serwera.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Zamawiający oczekuje nieodpłatnego udostępnienia narzędzi serwisowych i procesów wsparcia umożliwiających: Wykrywanie usterek sprzętowych z predykcją awarii.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Automatyczną diagnostykę i zdalne otwieranie zgłoszeń serwisowych.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Możliwość rozszerzenia gwarancji przez producenta do 7 lat.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Firma serwisująca musi posiadać ISO 9001:2015 oraz ISO-27001 lub równoważne na świadczenie usług serwisowych oraz posiadać autoryzacje producenta urządzeń.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Stojąca szafa serwerowa</w:t>
            </w:r>
          </w:p>
          <w:p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Szafa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rack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19" 47U min. 800x1200mm stojąca spawana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 1. Drzwi przednie szklane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 2. Drzwi tylne stalowe perforowane z zamkiem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 3. Drzwi boczne z możliwością montażu zamka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 4. Wyposażenie min. : 4 wentylatory, 3 półki, listwa zasilająca, 40 koszyków ze śrubami, kółka , regulowane nóżki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 5. Zgodne z standardami ANSI / EIA RS-310-D, DIN 41491 lub równoważnymi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 6. zamki zastosowane w szafie 1333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Router - zestaw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Rodzaj urządzenia: Switch / Przełącznik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Ilość portów LAN min.: 48x [1/2,5G (RJ45)], 4x [10G (SFP+)]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Ilość portów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min. : 48x [802.3af/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(2.5G)]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Standard sieci LAN : 10 Gigabit Ethernet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Moc: min. 700 W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Warstwa przełączania : 3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Typ obudowy :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Rack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Ekran dotykowy min. 1"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Switch</w:t>
            </w:r>
          </w:p>
          <w:p>
            <w:pPr>
              <w:spacing w:after="240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Przepustowość bez blokowania min. : 70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Gbps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Zdolność przełączania min. 140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Gbps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Forwarding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Rate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min. 100Mpps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Maks. zużycie energii 500W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Porty RJ45: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Speed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/Link/Activity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Porty SFP+/SFP: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Speed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/Link/Activity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min. 48 portów 10/100/1000 MbpsRJ45 Ethernet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min. 2 x port 1/10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Gbps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SFP+ Ethernet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min. 2 x 1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Gbps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SFP Ethernet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Montaż w szafie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rackowej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: Tak, wysokość min. 1U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Ochrona ESD/EMP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Interfejsy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POE+ IEEE 802.3af/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(Piny 1,2+; 3, 6-)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24VDC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Passive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(Piny 4, 5+;7, 8-)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Zakres napięcia 802.3at 50–57V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Maks. moc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Passive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na port 17W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Zakres napięcia 24V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Passive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20-27V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Przełącznica światłowodowa</w:t>
            </w:r>
          </w:p>
          <w:p>
            <w:pPr>
              <w:spacing w:after="24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1. Wysokość 1U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2. Szerokość 19"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3.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>Głębokość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 xml:space="preserve"> max. 300mm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br/>
              <w:t xml:space="preserve">4. Fiber Optic Adapter SC/PC SM Simplex 24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>szt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>.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br/>
              <w:t xml:space="preserve">5. Pigtail SC/PC SM 9/125 2m G.652D 24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>szt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>.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br/>
              <w:t xml:space="preserve">6.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>Przełącznica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 xml:space="preserve"> 24xSC simplex 1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>szt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>.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br/>
              <w:t xml:space="preserve">7.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Tacka 12-24 – 2 szt.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8. Dławiki do światłowodu 2 szt.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9. osłonki spawów 24 szt.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14.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Stanowiska komputerowe (dedykowane do demonstracji HAI)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Wbudowany system zabezpieczeń: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Trusted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Platform Module (TPM) Security Chip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CPU: min. 39200 pkt wg test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RAM Zainstalowana min. : 16 GB DDR4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Napęd dyskowy Typ: SSD - M.2 min. 512GB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Napęd dyskowy Typ SSD – min. 1TB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Napęd optyczny : Nagrywarka DVD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Czytnik kart Typ: Karta pamięci SD, karta pamięci SDHC, Karta Pamięci SDXC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Monitor LED – min. 24" – mion. 1920 x 1200 WUXGA @ min. 60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- IPS – min. 300 cd/m² - min. 1000:1 - 5 ms lub lepszy – min. HDMI, DVI,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, VGA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Procesor graficzny min.: 17200 pkt w teście GPU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Wyjście sygnału audio : Dźwięk przestrzenny 5.1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Bezprzewodowa klawiatura oraz mysz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Obsługa sieci bezprzewodowej LAN: Tak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Bezprzewodowa komunikacja: Wi-Fi 6 AX 201, Bluetooth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Interfejsy min.: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 x słuchawki/mikrofon (1 z przodu)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4 x USB 3.2 Gen 1 (2 z przodu)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4 x USB 2.0 (2 z przodu)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1 x LAN (Gigabit Ethernet) RJ-45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1 x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1.4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1 x HDMI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1 x wyjście liniowe audio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Moc wyjściowa min. : 180 wat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Dołączony system operacyjny: Windows 11 PRO lub równoważny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Stanowisko kontrolne</w:t>
            </w:r>
          </w:p>
          <w:p>
            <w:pPr>
              <w:spacing w:after="240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Wbudowany system zabezpieczeń: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Trusted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Platform Module (TPM) Security Chip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CPU: min. 39200 pkt wg test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RAM Zainstalowana min. : 64 GB DDR4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Napęd dyskowy Typ: SSD - M.2 min. 512GB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Napęd dyskowy Typ SSD – min. 512GB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Napęd optyczny : Nagrywarka DVD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Czytnik kart Typ: Karta pamięci SD, karta pamięci SDHC, Karta Pamięci SDXC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Monitor LED – min. 24" – min. 1920 x 1200 WUXGA @ min. 60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- IPS – min. 300 cd/m² - min. 1000:1 - 5 ms lub lepszy – min. HDMI, DVI,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, VGA Procesor graficzny min.: 17200 pkt w teście GPU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Wyjście sygnału audio : Dźwięk przestrzenny 5.1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Bezprzewodowa klawiatura oraz mysz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Obsługa sieci bezprzewodowej LAN: Tak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Bezprzewodowa komunikacja: Wi-Fi 6 AX 201, Bluetooth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Interfejsy min.:</w:t>
            </w:r>
          </w:p>
          <w:p>
            <w:pPr>
              <w:spacing w:after="240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 x słuchawki/mikrofon (1 z przodu)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4 x USB 3.2 Gen 1 (2 z przodu)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4 x USB 2.0 (2 z przodu)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1 x LAN (Gigabit Ethernet) - RJ-45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1 x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1.4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1 x HDMI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1 x wyjście liniowe audio</w:t>
            </w:r>
          </w:p>
          <w:p>
            <w:pPr>
              <w:spacing w:after="240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Moc wyjściowa min.: 180 wat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Dołączony system operacyjny: Windows 11 PRO lub równoważny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System ekranów </w:t>
            </w:r>
            <w:proofErr w:type="spellStart"/>
            <w:r>
              <w:rPr>
                <w:rFonts w:cs="Calibri"/>
                <w:b/>
                <w:bCs/>
                <w:sz w:val="18"/>
                <w:szCs w:val="18"/>
              </w:rPr>
              <w:t>ledowych</w:t>
            </w:r>
            <w:proofErr w:type="spellEnd"/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Matryca IPS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Przekątna 46” –tolerancja max +- 1”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Jasność minimum 500nit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Haze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(matowość matrycy): minimum 25%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Tryb pracy : ciągłej 24/7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System łańcuchowego łączenia w ścianę wideo po złączu DP1.2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Grubość ramki: nie więcej niż 3,5mm po złożeniu w ścianę wideo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Stopień ochrony min.:  IP5x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Grubość pojedynczego monitora nie większa niż 7cm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Waga pojedynczego monitora nie więcej niż 16kg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Pobór mocy pojedynczego monitora nie więcej niż 120W (typ), 170 (max)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Kamera do kalibracji ściany,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Mobilna ściana na kółkach ( uchwyt ) 3x3, z możliwością rozłożenia do 2x2 oraz montażu ściennego,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Monitory muszą posiadać możliwość regulacji spójnego balansu bieli i jasności.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Pochodzenie z polskiej dystrybucji                  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Terminal/Sprzęt IT zestaw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Wbudowany system zabezpieczeń: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Trusted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Platform Module (TPM) Security Chip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CPU: min. 4000 pkt wg test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RAM Zainstalowana min. : 8 GB DDR4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Napęd dyskowy Typ: SSD min. – M.2 250GB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Napęd dyskowy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eMMC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: min. 32GB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Monitor LED - Monitor LED – min. 21.5” (21.45” widoczny) – min. 1920 x 1080 Full HD (1080p) @ min. 60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- VA – min. 250 cd/m² - min. 3000:1 – 5 ms lub lepszy – min. VGA,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Procesor graficzny min.: 1400 pkt w teście GPU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Bezprzewodowa klawiatura oraz mysz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Obsługa sieci bezprzewodowej LAN: Tak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Bezprzewodowa komunikacja: Wi-Fi 6 AX 201, Bluetooth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Interfejsy min.: 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 x słuchawki/mikrofon (1 z przodu)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3 x USB 3.2 Gen 1 (2 z tyłu)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3 x USB 2.0 (2 z tyłu)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1 x LAN (Gigabit Ethernet) - RJ-45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2 x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1.4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Moc wyjściowa max. : 65 wat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Dołączony system operacyjny: W10IoT Czech /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Hungarian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/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Polish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/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Slovak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/ English – lub równoważny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System audio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1. Kolumna szerokopasmowa – 4 szt.: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Konstrukcja dwudrożna, pasywna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Przetwornik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niskotonowy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min. 10”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Przetwornik wysokotonowy min. 1.5”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Moc min. 300W RMS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Impedancja 8Ω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Dyspersja min. 100⁰x100⁰ (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HxV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• Pasmo przenoszenia min. zakres 75Hz-19kHz (-10dB)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Skuteczność min. 93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Maksymalny SPL min. 118dB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Wymiary maks. 350x500x350mm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2. Wzmacniacz – 2 szt.: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Moc min. 2x 600W @ 4Ω lub 2x 340W @ 8Ω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Opcja mostkowania kanałów do min. 1x 1200W @ 8Ω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Pasmo przenoszenia min. zakres 20Hz-25kHz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Wejścia min. 2x XLR + 2x LINK XLR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Wyjścia min. 2x SPEAKON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Zabezpieczenie min. zwarciowe, termiczne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Wymiary maks. 500x300x100 mm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3. Matryca audio: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Min. 8 wejść mono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mikrofonowo-liniowych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(sygnał zbalansowany)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Min. 8 wyjść mono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mikrofonowo-liniowych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(sygnał zbalansowany)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Zestaw diod LED na przednim panelu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Obsługa dedykowanego mikrofonu strefowego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Obsługa regulatorów zdalnych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sterowania przez systemy zewnętrzne za pomocą portu szeregowego RS-232 oraz portu LAN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Port sieciowy LAN do obsługi zaawansowanych ustawień oraz sterowania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Oprogramowanie – w cenie oferty lub darmowe oprogramowanie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Wbudowany moduł DSP (m.in. korektor parametryczny, kompresor, limiter, bramka szumów, niezależne filtry zwrotnicowe dla każdego z wyjść, obsługa opóźnień dla wszystkich wejść i wyjść)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Niezależnie regulowany poziom wszystkich sygnałów wejściowych i wyjściowych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Niezależny mikser dla każdej ze stref wyjściowych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Wejście wyciszające MUTE (na sygnał z systemu przeciwpożarowego)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Min. 8 portów GPI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Przystosowany do montażu w szafie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rack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19” - nie większy niż 1U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4. Dotykowy panel sterujący – 1 szt. :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Kompatybilny z zastosowaną matrycą audio oraz odtwarzaczem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Port Ethernet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Rozdzielczość min. 1280x800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Zasilanie POE lub z zasilacza (w zestawie)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5. Odtwarzacz audio – 1 szt. :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Min. 2 niezależne odtwarzacze z dedykowanymi wyjściami stereo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• Obsługiwane formaty min. MP3, AAC, WAV i FLAC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Obsługa kart SD i nośników USB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Możliwość odtwarzania strumieni internetowych (radio internetowe)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Kompatybilny z zastosowanym dotykowym panelem sterującym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Min. 4x port GPI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Min. 1x port RJ45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Sterowanie RS-232 i/lub Ethernet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Wysokość maks. 1U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6. Statyw głośnikowy – 4 szt.: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• Dopuszczalne obciążenie dostosowane do wagi kolumn z poz. 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Sztyca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dostosowana do kolumn z poz. 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Regulacja wysokości w min. zakresie 100 – 180cm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• Czarne wykończenie 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19.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Centrala zarządzania/sterowania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1. Procesor sterujący - 1 szt.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2. Rozszerzenie procesora - 1 szt.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3. Tablet iPad, Wifi - 1 szt.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4. Licencja na aplikację do 1 urządzenia - 1 szt.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5. Switch, 8 portów - 1 szt.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6. Router Wifi, - 1 szt.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7. 8 portów, dali - 2 szt.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8599" w:type="dxa"/>
            <w:vAlign w:val="center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TV LCD do prezentacji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Matryca: VA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Rozdzielczość min.: 3840 x 2160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Przekątna min. :  65”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Kontrast min.: 4000:1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Jasność minimum 500nit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Matowość matrycy: Non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Glare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Styl pracy : : 3 lata dla pracy ciągłej 24/7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System łańcuchowego łączenia w ścianę wideo po złączu DP1.2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Grubość ramki: nie więcej niż 9,2mm(Góra/Lewa/Prawa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Stopień ochrony :  IP5x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Grubość pojedynczego monitora nie większa niż 47mm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Pobór mocy pojedynczego monitora nie więcej niż 127W (typ)</w:t>
            </w:r>
          </w:p>
          <w:p>
            <w:pPr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Pochodzenie tylko z polskiej dystrybucji</w:t>
            </w:r>
            <w:r>
              <w:rPr>
                <w:rFonts w:cs="Calibri"/>
                <w:sz w:val="18"/>
                <w:szCs w:val="18"/>
              </w:rPr>
              <w:t xml:space="preserve">                       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Komputer przenośny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Wbudowany system zabezpieczeń: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Trusted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Platform Module (TPM) Security Chip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CPU: min. 21200 pkt wg test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RAM Zainstalowana min. : 16 GB DDR5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Napęd dyskowy Typ: SSD - M.2 min. 512GB + 1TB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Czytnik kart Typ: Karta pamięci SD, karta pamięci SDHC, Karta Pamięci SDXC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Wyświetlacz 16” FHD min. 60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min. 141ppi min. 250 cd/m2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Procesor graficzny min.: 6700 pkt w teście GPU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Obsługa sieci bezprzewodowej LAN: Tak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Klawiatura, panel dotykowy, Podświetlenie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Klawiatury:Tak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, Klawiatura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numeryczna:Tak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Bezprzewodowa komunikacja: Wi-Fi 6 AX 201, Bluetooth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Interfejsy min.: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 x słuchawki/mikrofon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1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xHDMI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1 x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Thunderbolt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2 x USB 3.2 Gen 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1 x LAN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1 x Słuchawki/mikrofon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combo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jack</w:t>
            </w:r>
            <w:proofErr w:type="spellEnd"/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Dołączony system operacyjny: Windows 11 Pro lub równoważny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Monitor dotykowy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Ekran min. : 22 ", IPS LED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Ekran dotykowy: Tak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Rozdzielczość min.:1920 x 1080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Częstotliwość odświeżania obrazu min.:75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Kontrast statyczny / dynamiczny min.: 1000 :1 / 5000000 :1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Jasność ekranu min.:250 cd/m2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Czas reakcji matrycy.:7 ms lub lepszy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Ochrona oczu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min.:filtr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światła niebieskiego -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Low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Blue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Light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‎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Głośniki min.: 2 x 2 W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Możliwość montażu na ścianie: tak / Standard VESA 100x100 mm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Informacje dodatkowe: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multitouch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10 punktowy, technologia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Low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Blue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Light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, tryb ECO, regulacja pochylania w pionie, ekran odporny na zarysowania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Kontrolery gestów </w:t>
            </w:r>
            <w:proofErr w:type="spellStart"/>
            <w:r>
              <w:rPr>
                <w:rFonts w:cs="Calibri"/>
                <w:b/>
                <w:bCs/>
                <w:sz w:val="18"/>
                <w:szCs w:val="18"/>
              </w:rPr>
              <w:t>Leap</w:t>
            </w:r>
            <w:proofErr w:type="spellEnd"/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1. Śledzenie ruchów rąk, palców oraz przedmiotów typu wskaźnik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2. 8 stóp sześciennych przestrzeni 3D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3. Pole widzenia na urządzeniem równe 150 °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4. Zgodny z systemami Mac, Windows i Linux przez port USB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5. Pakiety SDK w 6 językach programowania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Wyposażenie VR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1. Rozdzielczość ekranu min. : 2880x1700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2. Częstotliwość odświeżania min. :90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3. Pole widzenia min. : 110º,</w:t>
            </w:r>
          </w:p>
          <w:p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4. Czujniki min . : Akcelerometr, Żyroskop, Śledzenie laserowe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5. Złącza min. :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1.2 - 1 szt., USB-C 3.0 - 1 szt.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6. Przekątna ekranu : 2 x min. 3"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7. Wbudowany mikrofon, Zestaw słuchawkowy Hi-Res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Wyposażenie AR</w:t>
            </w:r>
          </w:p>
          <w:p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Pole widzenia (FOV) min. 40 x 50 x 70°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Rozdzielczość min.1440x1760 pikseli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Częstotliwość odświeżania min.120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Hz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Jasność od min.20 do 2000 nitów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Zakres działania od min. 40 cm do nieskończoności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Procesor :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Czterordzeniowy procesor (8 wątków) 14-rdzeniowy komputerowy silnik przetwarzania obrazu (CVIP)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Maksymalna częstotliwość procesora min. 2,4 GHz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 xml:space="preserve">Rozmiary pamięci podręcznej: min. 512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kB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L2 na rdzeń i łącznie 4 MB pamięci podręcznej L3.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Ogrodzenie bezpieczeństwa między x86 a CVIP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Kamera: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Kamera RGB z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autofokusem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o rozdzielczości min. 12,6 mln pikseli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Wideo 4K przy min. 30 klatkach na sekundę lub 1920x1080 przy min. 60 klatkach na sekundę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Czujniki bezwładnościowe min.: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4x IMU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3-osiowy akcelerometr i żyroskop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2x 3-osiowy magnetometr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2x Wysokościomierz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Wyposażenie MR</w:t>
            </w:r>
          </w:p>
          <w:p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Rozdzielczość min. 2160 x 2160 na jedno oko,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przekątna obrazu min. 2.8”,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częstotliwość odświeżania co najmniej 90Hz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Pole widzenia: min. 110 stopni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Dźwięk: Wbudowane głośniki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Czujniki min. : 6DoF, Akcelerometr, Magnetometr, Żyroskop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Stanowiska pracy i platformy VR/AR/MR</w:t>
            </w:r>
          </w:p>
          <w:p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• stacja bazowa</w:t>
            </w:r>
          </w:p>
          <w:p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Minimalne wyposażenie: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• 3 uprzęże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• uchwyt na okulary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2 statywy do czujników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• 6 par butów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• 3 nakładki na buty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2 pary czujników ruchu- wsparcia do gogli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• Gogle VR okulary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• 2 kontrolery do gier</w:t>
            </w:r>
          </w:p>
          <w:p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• licencja na użytek komercyjny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Platformy z grami (min 15 tytułów w tym 1 horror, 1 RPG, 1 strzelanka, 1 sportowa, 1 dla dzieci)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Platforma ma umożliwić bieganie szybkie do przodu, poruszanie do tyłu oraz do boku.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>Platforma ma umożliwić uniezależnienie kierunku ruchu od pozycji gogli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Przestrzeń po montażu: max 5m2 powierzchni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Platforma ma umożliwić, by ruch był odwzorowany liniowo (biegnąc w bieżni poruszamy się szybciej w grze)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Kluczowe komponenty zużywające się platformy muszą posiadać potencjalne zamienniki (np. baza po której się biega)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Możliwości uruchamiania własnych aplikacji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Zabezpieczenia osoby ćwiczącej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Stanowisko PC: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Wbudowany system zabezpieczeń: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Trusted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Platform Module (TPM) Security Chip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CPU: min. 39200 pkt wg test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PassMark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RAM Zainstalowana min. : 16 GB DDR4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Napęd dyskowy Typ: SSD - M.2 min. 512GB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Napęd dyskowy Typ SSD – min. 512GB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Napęd optyczny : Nagrywarka DVD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Czytnik kart Typ: Karta pamięci SD, karta pamięci SDHC, Karta Pamięci SDXC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Monitor LED - zaokrąglony - 49" - 5120 x 1440 Dual Quad HD @ 60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Hz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- IPS - 350 cd/m² - 1000:1 - 5 ms - 2xHDMI,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DisplayPort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, USB-C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Procesor graficzny: </w:t>
            </w:r>
            <w:bookmarkStart w:id="1" w:name="_Hlk140490835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Intel UHD Graphics 770 </w:t>
            </w:r>
            <w:bookmarkEnd w:id="1"/>
            <w:r>
              <w:rPr>
                <w:rFonts w:eastAsia="Times New Roman" w:cs="Arial"/>
                <w:sz w:val="18"/>
                <w:szCs w:val="18"/>
                <w:lang w:eastAsia="pl-PL"/>
              </w:rPr>
              <w:t>pamięć video współdzielona (UMA)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Procesor graficzny: 17200 pkt w teście GPU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PassMark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Wyjście sygnału audio : Dźwięk przestrzenny 5.1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Bezprzewodowa klawiatura oraz mysz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Obsługa sieci bezprzewodowej LAN: Tak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Bezprzewodowa komunikacja: </w:t>
            </w:r>
            <w:bookmarkStart w:id="2" w:name="_Hlk140490893"/>
            <w:r>
              <w:rPr>
                <w:rFonts w:eastAsia="Times New Roman" w:cs="Arial"/>
                <w:sz w:val="18"/>
                <w:szCs w:val="18"/>
                <w:lang w:eastAsia="pl-PL"/>
              </w:rPr>
              <w:t>Intel Wi-Fi 6 AX 201</w:t>
            </w:r>
            <w:bookmarkEnd w:id="2"/>
            <w:r>
              <w:rPr>
                <w:rFonts w:eastAsia="Times New Roman" w:cs="Arial"/>
                <w:sz w:val="18"/>
                <w:szCs w:val="18"/>
                <w:lang w:eastAsia="pl-PL"/>
              </w:rPr>
              <w:t>, Bluetooth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Interfejsy: 1 x słuchawki/mikrofon (1 z przodu)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4 x USB 3.2 Gen 1 (2 z przodu)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4 x USB 2.0 (2 z przodu)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1 x LAN (Gigabit Ethernet) - RJ-45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1 x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DisplayPort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1.4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1 x HDMI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1 x wyjście liniowe audio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Moc wyjściowa: 180 wat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Certyfikat min. 80 PLUS: 80 PLUS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Bronze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Dołączony system operacyjny: Windows 11 Pro Czech /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Hungarian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/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Polish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/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Slovak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/ English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Certyfikat ENERGY STAR: Tak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>Waga max.: 6.75 kg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28.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Ekran LED - wizualizacja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1. Ekran LED min. P3.9 2m2 podzielony na 4 moduły min. 50x100cm,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2. panel o rozdzielczości min. 128 x 256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px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3. Jasność min. 3500 cd/m2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4. możliwość zakrzywienia konstrukcji min. 5° a 10°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Komponenty M2M oraz </w:t>
            </w:r>
            <w:proofErr w:type="spellStart"/>
            <w:r>
              <w:rPr>
                <w:rFonts w:cs="Calibri"/>
                <w:b/>
                <w:bCs/>
                <w:sz w:val="18"/>
                <w:szCs w:val="18"/>
              </w:rPr>
              <w:t>IoT</w:t>
            </w:r>
            <w:proofErr w:type="spellEnd"/>
            <w:r>
              <w:rPr>
                <w:rFonts w:cs="Calibri"/>
                <w:b/>
                <w:bCs/>
                <w:sz w:val="18"/>
                <w:szCs w:val="18"/>
              </w:rPr>
              <w:t xml:space="preserve"> (zestaw)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Indywidualne zestawy rozwojowe EVB wyposażone w programowalne interfejsy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WiFi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, Bluetooth LE,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Sub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1GHz,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LoRa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wraz ze zintegrowanym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SoC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oraz możliwością wyboru w/w interfejsów w celu tworzenia rozwiązań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IoT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Oprogramowanie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Licencja na dostęp do platformy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IoT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online, pozwalającej na wizualizację wyników oraz wprowadzanie interakcji pomiędzy zestawami rozwojowymi EVB w celu tworzenia, testowania oraz edukacji systemów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IoT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Ekran LED - wizualizacja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Matryca: VA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Rozdzielczość min. : 3840 x 2160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Przekątna min. :  75”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Kontrast min.: 4000:1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Jasność minimum 500nit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Matowość matrycy: Non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Glare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System pracy : 3 lata dla pracy ciągłej 24/7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System łańcuchowego łączenia w ścianę wideo po złączu DP1.2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Grubość ramki: nie więcej niż 11,5mm(Góra/Lewa/Prawa)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Stopień ochrony min. :  IP5x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Grubość pojedynczego monitora nie większa niż 50mm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Waga pojedynczego monitora nie więcej niż 38,5kg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Pobór mocy pojedynczego monitora nie więcej niż 161W (typ)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Pochodzenie tylko z polskiej dystrybucji                       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Zestaw komputerowy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Wbudowany system zabezpieczeń: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Trusted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Platform Module (TPM) Security Chip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CPU: min. 39200 pkt wg test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RAM Zainstalowana min. : 16 GB DDR4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Napęd dyskowy Typ: SSD - M.2 min. 512GB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Napęd optyczny : Nagrywarka DVD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Czytnik kart Typ: Karta pamięci SD, karta pamięci SDHC, Karta Pamięci SDXC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Monitor LED – min. 24" – min 1920 x 1200 WUXGA @ min. 60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- IPS – min. 300 cd/m² - min. 1000:1 - 5 ms lub lepszy – min. HDMI, DVI,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, VGA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Procesor graficzny:  min. 13200 pkt w teście GPU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Wyjście sygnału audio : Dźwięk przestrzenny 5.1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Bezprzewodowa klawiatura oraz mysz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Obsługa sieci bezprzewodowej LAN: Tak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Bezprzewodowa komunikacja: Wi-Fi 6 AX 201, Bluetooth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Interfejsy min. : 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 x słuchawki/mikrofon (1 z przodu)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4 x USB 3.2 Gen 1 (2 z przodu)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4 x USB 2.0 (2 z przodu)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1 x LAN (Gigabit Ethernet) - RJ-45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1 x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1.4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1 x HDMI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1 x wyjście liniowe audio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Moc wyjściowa maks. : 180 wat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Dołączony system operacyjny: Windows 11 PRO lub równoważny 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Komputer przenośny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Wbudowany system zabezpieczeń: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Trusted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Platform Module (TPM) Security Chip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CPU: min. 21200 pkt wg test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RAM Zainstalowana min. : 16 GB DDR4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Napęd dyskowy Typ: SSD - M.2 min. 512GB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Czytnik kart Typ: Karta pamięci SD, karta pamięci SDHC, Karta Pamięci SDXC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Wyświetlacz 16” FHD 60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141ppi 250 cd/m2 45% NTSC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Procesor graficzny min. : 6700 pkt w teście GPU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Obsługa sieci bezprzewodowej LAN: Tak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Klawiatura, panel dotykowy, Podświetlenie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Klawiatury:Tak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, Klawiatura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numeryczna:Tak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Bezprzewodowa komunikacja: Wi-Fi 6 AX 201, Bluetooth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Interfejsy min. : 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 x słuchawki/mikrofon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1 x HDMI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Thunderbolt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4 (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supports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1.4) (Power Delivery)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2 x USB 3.2 Gen 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1 x LAN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Słuchawki/mikrofon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combo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jack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Dołączony system operacyjny: Windows 11 PRO lub równoważny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Monitor LED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Matryca: VA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Rozdzielczość: min. 3840 x 2160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Przekątna min. 55”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Kontrast min. : 4000:1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Jasność minimum 500nit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Matowość matrycy: Non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Glare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Tryb Pracy: 3 lata  pracy ciągłej 24/7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System łańcuchowego łączenia w ścianę wideo po złączu DP1.2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Grubość ramki: nie więcej niż 9,2mm(Góra/Lewa/Prawa)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Pyłoszczelność i wodoszczelność min. IP5x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Grubość pojedynczego monitora nie większa niż 47mm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Pobór mocy pojedynczego monitora nie więcej niż 108W (typ)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Pochodzenie tylko z polskiej dystrybucji       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Smartphony do testowania (2 systemy: android/IOS)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Przekątna wyświetlacza min. 5.8 cale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Pamięć Flash min. 128 GB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Multi-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touch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tak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Rozdzielczość min. 2436 x 1125 piksele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Lampa błyskowa LED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Pamięć RAM min. 3 GB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Procesor min. ośmiordzeniowy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Transmisja danych4G LTE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Komunikacja Bluetooth 5.0 NFC (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Near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Field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Communication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) Wi-Fi 5 (802.11a/b/g/n/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ac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Pyłoszczelność i wodoszczelność min. IP67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Zestaw </w:t>
            </w:r>
            <w:proofErr w:type="spellStart"/>
            <w:r>
              <w:rPr>
                <w:rFonts w:cs="Calibri"/>
                <w:b/>
                <w:bCs/>
                <w:sz w:val="18"/>
                <w:szCs w:val="18"/>
              </w:rPr>
              <w:t>beecon</w:t>
            </w:r>
            <w:proofErr w:type="spellEnd"/>
            <w:r>
              <w:rPr>
                <w:rFonts w:cs="Calibri"/>
                <w:b/>
                <w:bCs/>
                <w:sz w:val="18"/>
                <w:szCs w:val="18"/>
              </w:rPr>
              <w:t xml:space="preserve"> (do testowania łączności z aplikacją)</w:t>
            </w:r>
          </w:p>
          <w:p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1. Zestaw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Beacon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do użytku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wewnętrzenego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>, wbudowany czytnik NFC, min 3 życia baterii.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2. Zestaw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Beacon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do użytku zewnętrznego, odporny na warunki atmosferyczne, min 5 lat życia baterii.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3. Zestaw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beaconów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mini (ang. Card grubość poniżej 1 cm).  Powinny zawierać NFC lub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RFiD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>, min 12 mc życia baterii.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Tablety do testowania (2 systemy: android/IOS)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Przekątna ekranu min. 11 cali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Technologia dotykowa pojemnościowy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Typ matrycy IPS/TFT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Rozdzielczość min.2560x1600 pikseli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Technologia obsługa rysika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Częstotliwość taktowania min. 1,7 GHz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Pojemność pamięci RAM min. 8GB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Pojemność dysku SSD min.128 GB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Komunikacja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min.Bluetooth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5.2, Wi-Fi 6 (802.11a/b/g/n/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ac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ax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Złącza 1 x USB  C/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Thunderbolt</w:t>
            </w:r>
            <w:proofErr w:type="spellEnd"/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Laptop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All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-in-one - z podstawką z regulacją wysokości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Procesor osiągający w teście CPU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powyżej 10100 pkt.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Wbudowany system zabezpieczeń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Trusted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Platform Module (TPM 2.0) Security Chip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Pamięć RAM min. 8GB DDR4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Dysk twardy min. SSD – M.2 1 x min. 512 GB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Matryca min.21,5” FH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Wbudowana kamera min. 2,07MP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Wbudowany mikrofon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>Windows 10 Pro lub równoważny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Bezprzewodowa mysz + klawiatura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br/>
              <w:t xml:space="preserve">Gniazdo bezpieczeństwa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Kensington</w:t>
            </w:r>
            <w:proofErr w:type="spellEnd"/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8599" w:type="dxa"/>
            <w:vAlign w:val="bottom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Zasilacze laboratoryjne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Typ zasilacza: laboratoryjny programowalny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Rodzaj użytego wyświetlacza: 4x LED 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Liczba kanałów: min. 3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Napięcie wyjściowe: min. 0...30V DC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Napięcie wyjściowe 2: min. zakres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zakres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0...30V DC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Napięcie wyjściowe 3: 5V DC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Rozdzielczość napięcia wyjściowego: 0.1V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Prąd wyjściowy min. zakres: 0...5A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Prąd wyjściowy 2 min. zakres: 0...5A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Prąd wyjściowy 3: 3A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Rozdzielczość prądu wyjściowego: 0.01A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Tętnienia i szumy dla napięcia (regulowanego): ≤2mVrms</w:t>
            </w:r>
          </w:p>
          <w:p>
            <w:pPr>
              <w:rPr>
                <w:b/>
                <w:bCs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Właściwości przyrządów pomiarowych: min. 2 regulowane sekcje pracujące w trybie stabilizacji prądowej lub napięciowej oraz jako zasilacze szeregowe, równoległe lub niezależne, min. 4 wyświetlacze LED, jednoczesny odczyt napięcia i prądu, płynna regulacja napięcia i prądu, zabezpieczenie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przeciwprzeciążeniowe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, zabezpieczenie przed odwrotną polaryzacją, możliwość wyboru poziomu napięcia min. 2-5V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8599" w:type="dxa"/>
            <w:vAlign w:val="center"/>
          </w:tcPr>
          <w:p>
            <w:pPr>
              <w:suppressAutoHyphens/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Nagłośnienie 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1. Kolumna pasywna 220 WRMS, 8 Ohm - 6 szt.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2. Wzmacniacz 2x630 WRMS, 2x analog wejście, 2xanalog wyjście - 3 szt.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3. Cyfrowa matryca audio 8x8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digital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matrix, DSP 2x32/64bit - 1 szt.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4. Odtwarzacz audio SD, USB, RJ45 - 1 szt.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5. Statyw kolumnowy 1000-1880mm - 6 szt.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6. Pojedynczy zestaw mikrofonowy 32 kanały, 606-621 MHz, 45HZ-18kHz - 2 szt.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7. Statyw mikrofonowy wysokość do 1680mm - 2 szt.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8. Szafa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rack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19" 12U przeszklona na kółkach - 1 szt.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8599" w:type="dxa"/>
            <w:vAlign w:val="center"/>
          </w:tcPr>
          <w:p>
            <w:pPr>
              <w:spacing w:after="160" w:line="259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Info </w:t>
            </w:r>
            <w:proofErr w:type="spellStart"/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kisok</w:t>
            </w:r>
            <w:proofErr w:type="spellEnd"/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1. Matryca dotykowa min 32"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2. Wbudowany komputer - Windows 10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3. Zamykany na zamek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4. Wandaloodporna obudowa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5. Rozdzielczość: 1920x1080 </w:t>
            </w:r>
          </w:p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6. wbudowane głośniki 2 x 5W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8599" w:type="dxa"/>
            <w:vAlign w:val="center"/>
          </w:tcPr>
          <w:p>
            <w:pPr>
              <w:spacing w:after="160" w:line="259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Mobilne TV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Monitory bezszwowe (ramka dookólna nie większa niż 4.8mm)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Monitory muszą posiadać możliwość regulacji spójnego balansu bieli i jasności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Typ matrycy : IPS lub S-PVA lub D-LED DID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Przekątna ekranu min. 46"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Rozdzielczość min. 1920 x 1080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Mobilny uchwyt na kółkach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8599" w:type="dxa"/>
            <w:vAlign w:val="center"/>
          </w:tcPr>
          <w:p>
            <w:pPr>
              <w:spacing w:after="160" w:line="259" w:lineRule="auto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System sterowania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1. Procesor sterujący - 1 szt.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2. Rozszerzenie procesora - 1 szt.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3. Tablet iPad, Wifi - 1 szt.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4. Licencja na aplikację do 1 urządzenia - 1 szt.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5. Switch, 8 portów - 1 szt.</w:t>
            </w:r>
          </w:p>
          <w:p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6. Router Wifi, - 1 szt.</w:t>
            </w:r>
          </w:p>
          <w:p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7. 8 portów, dali - 2 szt.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12753" w:type="dxa"/>
            <w:gridSpan w:val="4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Łączna cena netto</w:t>
            </w: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>
      <w:pPr>
        <w:spacing w:before="40" w:after="40" w:line="276" w:lineRule="auto"/>
        <w:ind w:left="57" w:right="57"/>
        <w:jc w:val="both"/>
        <w:rPr>
          <w:rFonts w:asciiTheme="majorHAnsi" w:hAnsiTheme="majorHAnsi" w:cs="Calibri"/>
          <w:sz w:val="18"/>
          <w:szCs w:val="18"/>
        </w:rPr>
      </w:pPr>
      <w:bookmarkStart w:id="3" w:name="_Hlk125978418"/>
    </w:p>
    <w:bookmarkEnd w:id="3"/>
    <w:p>
      <w:pPr>
        <w:pStyle w:val="Akapitzlist"/>
        <w:spacing w:before="40" w:after="40" w:line="276" w:lineRule="auto"/>
        <w:ind w:left="57" w:right="57"/>
        <w:contextualSpacing w:val="0"/>
        <w:jc w:val="both"/>
        <w:rPr>
          <w:rFonts w:asciiTheme="majorHAnsi" w:hAnsiTheme="majorHAnsi"/>
          <w:sz w:val="18"/>
          <w:szCs w:val="18"/>
          <w:highlight w:val="darkGray"/>
        </w:rPr>
      </w:pPr>
    </w:p>
    <w:sectPr>
      <w:headerReference w:type="default" r:id="rId8"/>
      <w:footerReference w:type="default" r:id="rId9"/>
      <w:pgSz w:w="16838" w:h="11906" w:orient="landscape"/>
      <w:pgMar w:top="720" w:right="720" w:bottom="720" w:left="720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0143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>
        <w:pPr>
          <w:pStyle w:val="Stopka"/>
          <w:jc w:val="center"/>
          <w:rPr>
            <w:rFonts w:ascii="Calibri" w:hAnsi="Calibri"/>
            <w:sz w:val="20"/>
            <w:szCs w:val="20"/>
          </w:rPr>
        </w:pPr>
      </w:p>
      <w:p>
        <w:pPr>
          <w:pStyle w:val="Gwka"/>
          <w:tabs>
            <w:tab w:val="left" w:pos="3984"/>
            <w:tab w:val="right" w:pos="9637"/>
          </w:tabs>
          <w:jc w:val="right"/>
          <w:rPr>
            <w:rFonts w:ascii="Calibri" w:hAnsi="Calibri" w:cs="Calibri"/>
            <w:color w:val="auto"/>
            <w:sz w:val="20"/>
          </w:rPr>
        </w:pPr>
        <w:r>
          <w:rPr>
            <w:rFonts w:ascii="Calibri" w:hAnsi="Calibri" w:cs="Calibri"/>
            <w:color w:val="auto"/>
            <w:sz w:val="20"/>
          </w:rPr>
          <w:t>załącznik nr 1a do SWZ (</w:t>
        </w:r>
        <w:r>
          <w:rPr>
            <w:rFonts w:ascii="Calibri" w:hAnsi="Calibri" w:cs="Calibri"/>
            <w:bCs/>
            <w:color w:val="auto"/>
            <w:sz w:val="20"/>
          </w:rPr>
          <w:t>DS/ZP05/2023</w:t>
        </w:r>
        <w:r>
          <w:rPr>
            <w:rFonts w:ascii="Calibri" w:hAnsi="Calibri" w:cs="Calibri"/>
            <w:color w:val="auto"/>
            <w:sz w:val="20"/>
          </w:rPr>
          <w:t>)</w:t>
        </w:r>
      </w:p>
      <w:p>
        <w:pPr>
          <w:pStyle w:val="Gwka"/>
          <w:tabs>
            <w:tab w:val="left" w:pos="3984"/>
            <w:tab w:val="right" w:pos="9637"/>
          </w:tabs>
          <w:jc w:val="right"/>
          <w:rPr>
            <w:rFonts w:ascii="Calibri" w:hAnsi="Calibri" w:cs="Calibri"/>
            <w:color w:val="auto"/>
            <w:sz w:val="20"/>
          </w:rPr>
        </w:pPr>
      </w:p>
      <w:p>
        <w:pPr>
          <w:pStyle w:val="Stopka"/>
          <w:jc w:val="center"/>
          <w:rPr>
            <w:rFonts w:ascii="Calibri" w:hAnsi="Calibri"/>
            <w:sz w:val="20"/>
            <w:szCs w:val="20"/>
          </w:rPr>
        </w:pPr>
        <w:r>
          <w:rPr>
            <w:rFonts w:ascii="Calibri" w:hAnsi="Calibri"/>
            <w:sz w:val="20"/>
            <w:szCs w:val="20"/>
          </w:rPr>
          <w:fldChar w:fldCharType="begin"/>
        </w:r>
        <w:r>
          <w:rPr>
            <w:rFonts w:ascii="Calibri" w:hAnsi="Calibri"/>
            <w:sz w:val="20"/>
            <w:szCs w:val="20"/>
          </w:rPr>
          <w:instrText>PAGE</w:instrText>
        </w:r>
        <w:r>
          <w:rPr>
            <w:rFonts w:ascii="Calibri" w:hAnsi="Calibri"/>
            <w:sz w:val="20"/>
            <w:szCs w:val="20"/>
          </w:rPr>
          <w:fldChar w:fldCharType="separate"/>
        </w:r>
        <w:r>
          <w:rPr>
            <w:rFonts w:ascii="Calibri" w:hAnsi="Calibri"/>
            <w:sz w:val="20"/>
            <w:szCs w:val="20"/>
          </w:rPr>
          <w:t>2</w:t>
        </w:r>
        <w:r>
          <w:rPr>
            <w:rFonts w:ascii="Calibri" w:hAnsi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-750150</wp:posOffset>
          </wp:positionV>
          <wp:extent cx="5760720" cy="819785"/>
          <wp:effectExtent l="0" t="0" r="0" b="0"/>
          <wp:wrapSquare wrapText="bothSides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9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87975"/>
    <w:multiLevelType w:val="hybridMultilevel"/>
    <w:tmpl w:val="E974C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2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3734BC1-50E5-4510-BEF3-85957107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Siatkatabelijasna">
    <w:name w:val="Grid Table Light"/>
    <w:basedOn w:val="Standardowy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gkelc">
    <w:name w:val="hgkelc"/>
    <w:basedOn w:val="Domylnaczcionkaakapitu"/>
  </w:style>
  <w:style w:type="character" w:customStyle="1" w:styleId="StopkaZnak1">
    <w:name w:val="Stopka Znak1"/>
    <w:basedOn w:val="Domylnaczcionkaakapitu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customStyle="1" w:styleId="Gwka">
    <w:name w:val="Główka"/>
    <w:basedOn w:val="Normalny"/>
    <w:uiPriority w:val="99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65DC-E4C0-4CB3-9EF9-C3DE9E9A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33</Pages>
  <Words>8426</Words>
  <Characters>50557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Grzegorz Rogalewicz</cp:lastModifiedBy>
  <cp:revision>10</cp:revision>
  <dcterms:created xsi:type="dcterms:W3CDTF">2023-07-26T09:17:00Z</dcterms:created>
  <dcterms:modified xsi:type="dcterms:W3CDTF">2023-09-27T12:16:00Z</dcterms:modified>
</cp:coreProperties>
</file>