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23DF8F38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48DAE724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B53C53">
        <w:rPr>
          <w:rFonts w:ascii="Arial" w:hAnsi="Arial" w:cs="Arial"/>
          <w:b/>
          <w:bCs/>
        </w:rPr>
        <w:t>36</w:t>
      </w:r>
      <w:r w:rsidRPr="00624665">
        <w:rPr>
          <w:rFonts w:ascii="Arial" w:hAnsi="Arial" w:cs="Arial"/>
          <w:b/>
          <w:bCs/>
        </w:rPr>
        <w:t>.202</w:t>
      </w:r>
      <w:r w:rsidR="00172F0A">
        <w:rPr>
          <w:rFonts w:ascii="Arial" w:hAnsi="Arial" w:cs="Arial"/>
          <w:b/>
          <w:bCs/>
        </w:rPr>
        <w:t>3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136B26DD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581C95" w:rsidRPr="00581C95">
        <w:rPr>
          <w:rFonts w:ascii="Arial" w:hAnsi="Arial" w:cs="Arial"/>
          <w:b/>
          <w:spacing w:val="-4"/>
        </w:rPr>
        <w:t>Zakup i dostaw</w:t>
      </w:r>
      <w:r w:rsidR="00581C95">
        <w:rPr>
          <w:rFonts w:ascii="Arial" w:hAnsi="Arial" w:cs="Arial"/>
          <w:b/>
          <w:spacing w:val="-4"/>
        </w:rPr>
        <w:t xml:space="preserve">a </w:t>
      </w:r>
      <w:r w:rsidR="00581C95" w:rsidRPr="00581C95">
        <w:rPr>
          <w:rFonts w:ascii="Arial" w:hAnsi="Arial" w:cs="Arial"/>
          <w:b/>
          <w:spacing w:val="-4"/>
        </w:rPr>
        <w:t>średniego uterenowionego samochodu ratowniczo – gaśniczego z</w:t>
      </w:r>
      <w:r w:rsidR="00581C95">
        <w:rPr>
          <w:rFonts w:ascii="Arial" w:hAnsi="Arial" w:cs="Arial"/>
          <w:b/>
          <w:spacing w:val="-4"/>
        </w:rPr>
        <w:t> </w:t>
      </w:r>
      <w:r w:rsidR="00581C95" w:rsidRPr="00581C95">
        <w:rPr>
          <w:rFonts w:ascii="Arial" w:hAnsi="Arial" w:cs="Arial"/>
          <w:b/>
          <w:spacing w:val="-4"/>
        </w:rPr>
        <w:t>napędem 4x4 dla jednostki Ochotniczej Straży Pożarnej w Świnoujściu-Przytorze</w:t>
      </w:r>
      <w:r w:rsidR="004C1FA7" w:rsidRPr="00624665">
        <w:rPr>
          <w:rFonts w:ascii="Arial" w:hAnsi="Arial" w:cs="Arial"/>
          <w:b/>
          <w:spacing w:val="-4"/>
        </w:rPr>
        <w:t>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652836E3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52CE8A17" w14:textId="127D59DB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6DECF3CF" w14:textId="645DD41A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7E9ED45D" w14:textId="77777777" w:rsidR="00172F0A" w:rsidRPr="00624665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79F52DF0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="00172F0A">
        <w:rPr>
          <w:rFonts w:ascii="Arial" w:hAnsi="Arial" w:cs="Arial"/>
        </w:rPr>
        <w:t xml:space="preserve">, </w:t>
      </w:r>
      <w:r w:rsidR="00B53C53">
        <w:rPr>
          <w:rFonts w:ascii="Arial" w:hAnsi="Arial" w:cs="Arial"/>
        </w:rPr>
        <w:t>czerwiec</w:t>
      </w:r>
      <w:r w:rsidR="00172F0A">
        <w:rPr>
          <w:rFonts w:ascii="Arial" w:hAnsi="Arial" w:cs="Arial"/>
        </w:rPr>
        <w:t xml:space="preserve"> 2023 </w:t>
      </w:r>
      <w:r w:rsidR="003D08E7" w:rsidRPr="00624665">
        <w:rPr>
          <w:rFonts w:ascii="Arial" w:hAnsi="Arial" w:cs="Arial"/>
        </w:rPr>
        <w:t>roku</w:t>
      </w:r>
      <w:bookmarkStart w:id="1" w:name="_Toc264373033"/>
      <w:bookmarkStart w:id="2" w:name="_Toc440969206"/>
    </w:p>
    <w:p w14:paraId="7C9F39C0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8C00D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8C00D8">
      <w:pPr>
        <w:pStyle w:val="Nagwek2"/>
        <w:spacing w:before="0" w:line="276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8C00D8">
      <w:pPr>
        <w:autoSpaceDE w:val="0"/>
        <w:autoSpaceDN w:val="0"/>
        <w:adjustRightInd w:val="0"/>
        <w:spacing w:after="0" w:line="276" w:lineRule="auto"/>
        <w:ind w:firstLine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08F8CA25" w14:textId="77777777" w:rsidR="008C00D8" w:rsidRDefault="007F2F93" w:rsidP="008C00D8">
      <w:pPr>
        <w:spacing w:after="0" w:line="276" w:lineRule="auto"/>
        <w:ind w:firstLine="426"/>
        <w:rPr>
          <w:rFonts w:ascii="Arial" w:hAnsi="Arial" w:cs="Arial"/>
        </w:rPr>
      </w:pPr>
      <w:r w:rsidRPr="008C00D8">
        <w:rPr>
          <w:rFonts w:ascii="Arial" w:hAnsi="Arial" w:cs="Arial"/>
        </w:rPr>
        <w:t>Tel:</w:t>
      </w:r>
      <w:r w:rsidR="00893504" w:rsidRPr="008C00D8">
        <w:rPr>
          <w:rFonts w:ascii="Arial" w:hAnsi="Arial" w:cs="Arial"/>
        </w:rPr>
        <w:t xml:space="preserve"> </w:t>
      </w:r>
      <w:r w:rsidR="00480755" w:rsidRPr="008C00D8">
        <w:rPr>
          <w:rFonts w:ascii="Arial" w:hAnsi="Arial" w:cs="Arial"/>
        </w:rPr>
        <w:t xml:space="preserve"> </w:t>
      </w:r>
      <w:r w:rsidR="00893504" w:rsidRPr="008C00D8">
        <w:rPr>
          <w:rFonts w:ascii="Arial" w:hAnsi="Arial" w:cs="Arial"/>
        </w:rPr>
        <w:t>(91)</w:t>
      </w:r>
      <w:r w:rsidR="00372A94" w:rsidRPr="008C00D8">
        <w:rPr>
          <w:rFonts w:ascii="Arial" w:hAnsi="Arial" w:cs="Arial"/>
          <w:color w:val="FF0000"/>
        </w:rPr>
        <w:t xml:space="preserve"> </w:t>
      </w:r>
      <w:r w:rsidR="00033617" w:rsidRPr="008C00D8">
        <w:rPr>
          <w:rFonts w:ascii="Arial" w:hAnsi="Arial" w:cs="Arial"/>
        </w:rPr>
        <w:t xml:space="preserve"> 321 </w:t>
      </w:r>
      <w:r w:rsidR="00FB4CC2" w:rsidRPr="008C00D8">
        <w:rPr>
          <w:rFonts w:ascii="Arial" w:hAnsi="Arial" w:cs="Arial"/>
        </w:rPr>
        <w:t>24 25</w:t>
      </w:r>
    </w:p>
    <w:p w14:paraId="05DD6133" w14:textId="2A909D8C" w:rsidR="00F538D6" w:rsidRPr="008C00D8" w:rsidRDefault="00F538D6" w:rsidP="008C00D8">
      <w:pPr>
        <w:spacing w:after="0" w:line="276" w:lineRule="auto"/>
        <w:ind w:firstLine="426"/>
        <w:rPr>
          <w:rFonts w:ascii="Arial" w:hAnsi="Arial" w:cs="Arial"/>
        </w:rPr>
      </w:pPr>
      <w:r w:rsidRPr="008C00D8">
        <w:rPr>
          <w:rFonts w:ascii="Arial" w:hAnsi="Arial" w:cs="Arial"/>
        </w:rPr>
        <w:t>E</w:t>
      </w:r>
      <w:r w:rsidR="007F2F93" w:rsidRPr="008C00D8">
        <w:rPr>
          <w:rFonts w:ascii="Arial" w:hAnsi="Arial" w:cs="Arial"/>
        </w:rPr>
        <w:t>-mail</w:t>
      </w:r>
      <w:r w:rsidR="00480755" w:rsidRPr="008C00D8">
        <w:rPr>
          <w:rFonts w:ascii="Arial" w:hAnsi="Arial" w:cs="Arial"/>
        </w:rPr>
        <w:t>:</w:t>
      </w:r>
      <w:r w:rsidR="007F2F93" w:rsidRPr="008C00D8">
        <w:rPr>
          <w:rFonts w:ascii="Arial" w:hAnsi="Arial" w:cs="Arial"/>
        </w:rPr>
        <w:t xml:space="preserve"> </w:t>
      </w:r>
      <w:hyperlink r:id="rId8" w:history="1">
        <w:r w:rsidR="00D81391" w:rsidRPr="008C00D8">
          <w:rPr>
            <w:rStyle w:val="Hipercze"/>
            <w:rFonts w:ascii="Arial" w:hAnsi="Arial" w:cs="Arial"/>
            <w:u w:val="none"/>
          </w:rPr>
          <w:t>bzp@um.swinoujscie.pl</w:t>
        </w:r>
      </w:hyperlink>
    </w:p>
    <w:p w14:paraId="40F87124" w14:textId="77777777" w:rsidR="008C00D8" w:rsidRDefault="00F538D6" w:rsidP="008C00D8">
      <w:pPr>
        <w:spacing w:after="0" w:line="276" w:lineRule="auto"/>
        <w:ind w:firstLine="426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9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  <w:bookmarkEnd w:id="3"/>
    </w:p>
    <w:p w14:paraId="6111977B" w14:textId="2A98BF87" w:rsidR="007F2F93" w:rsidRPr="008C00D8" w:rsidRDefault="007F2F93" w:rsidP="008C00D8">
      <w:pPr>
        <w:spacing w:after="0" w:line="276" w:lineRule="auto"/>
        <w:ind w:left="426"/>
        <w:rPr>
          <w:rFonts w:ascii="Arial" w:hAnsi="Arial" w:cs="Arial"/>
          <w:color w:val="0000FF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8C00D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5780BDE6" w:rsidR="00A52FC3" w:rsidRPr="003F1189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</w:t>
      </w:r>
      <w:r w:rsidR="00642024">
        <w:rPr>
          <w:rFonts w:ascii="Arial" w:hAnsi="Arial" w:cs="Arial"/>
          <w:bCs/>
          <w:iCs/>
        </w:rPr>
        <w:t>2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</w:t>
      </w:r>
      <w:r w:rsidR="00642024">
        <w:rPr>
          <w:rFonts w:ascii="Arial" w:hAnsi="Arial" w:cs="Arial"/>
          <w:bCs/>
          <w:iCs/>
        </w:rPr>
        <w:t>710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Pr="003F1189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0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0373FB72" w:rsidR="007F2F93" w:rsidRPr="00FB2292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24665">
        <w:rPr>
          <w:rFonts w:ascii="Arial" w:hAnsi="Arial" w:cs="Arial"/>
          <w:bCs/>
        </w:rPr>
        <w:t>t.j</w:t>
      </w:r>
      <w:proofErr w:type="spellEnd"/>
      <w:r w:rsidR="00556034" w:rsidRPr="00624665">
        <w:rPr>
          <w:rFonts w:ascii="Arial" w:hAnsi="Arial" w:cs="Arial"/>
          <w:bCs/>
        </w:rPr>
        <w:t>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</w:t>
      </w:r>
      <w:r w:rsidR="00642024">
        <w:rPr>
          <w:rFonts w:ascii="Arial" w:hAnsi="Arial" w:cs="Arial"/>
          <w:bCs/>
        </w:rPr>
        <w:t>2</w:t>
      </w:r>
      <w:r w:rsidRPr="00624665">
        <w:rPr>
          <w:rFonts w:ascii="Arial" w:hAnsi="Arial" w:cs="Arial"/>
          <w:bCs/>
        </w:rPr>
        <w:t xml:space="preserve"> r. poz. 1</w:t>
      </w:r>
      <w:r w:rsidR="00642024">
        <w:rPr>
          <w:rFonts w:ascii="Arial" w:hAnsi="Arial" w:cs="Arial"/>
          <w:bCs/>
        </w:rPr>
        <w:t>360</w:t>
      </w:r>
      <w:r w:rsidRPr="00624665">
        <w:rPr>
          <w:rFonts w:ascii="Arial" w:hAnsi="Arial" w:cs="Arial"/>
          <w:bCs/>
        </w:rPr>
        <w:t xml:space="preserve">), jeżeli przepisy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 nie stanowią inaczej.</w:t>
      </w:r>
    </w:p>
    <w:p w14:paraId="26033FA9" w14:textId="77777777" w:rsidR="00624665" w:rsidRPr="00624665" w:rsidRDefault="00624665" w:rsidP="008C00D8">
      <w:pPr>
        <w:pStyle w:val="Akapitzlist"/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2E6E6F51" w14:textId="30E36B29" w:rsidR="006F475C" w:rsidRPr="00581C95" w:rsidRDefault="00581C95" w:rsidP="008C00D8">
      <w:pPr>
        <w:pStyle w:val="Akapitzlist"/>
        <w:numPr>
          <w:ilvl w:val="0"/>
          <w:numId w:val="71"/>
        </w:numPr>
        <w:spacing w:after="0" w:line="276" w:lineRule="auto"/>
        <w:ind w:left="426" w:hanging="426"/>
        <w:rPr>
          <w:rFonts w:ascii="Arial" w:hAnsi="Arial" w:cs="Arial"/>
        </w:rPr>
      </w:pPr>
      <w:r w:rsidRPr="00581C95">
        <w:rPr>
          <w:rFonts w:ascii="Arial" w:hAnsi="Arial" w:cs="Arial"/>
        </w:rPr>
        <w:t xml:space="preserve">Przedmiotem zamówienia jest dostawa </w:t>
      </w:r>
      <w:r w:rsidR="00AC7E06">
        <w:rPr>
          <w:rFonts w:ascii="Arial" w:hAnsi="Arial" w:cs="Arial"/>
        </w:rPr>
        <w:t xml:space="preserve">fabrycznie </w:t>
      </w:r>
      <w:r w:rsidRPr="00581C95">
        <w:rPr>
          <w:rFonts w:ascii="Arial" w:hAnsi="Arial" w:cs="Arial"/>
        </w:rPr>
        <w:t xml:space="preserve">nowego uterenowionego samochodu ratowniczo-gaśniczego z napędem 4x4 dla Ochotniczej Straży Pożarnej w Świnoujściu-Przytorze, zgodnie z załącznikiem nr </w:t>
      </w:r>
      <w:r>
        <w:rPr>
          <w:rFonts w:ascii="Arial" w:hAnsi="Arial" w:cs="Arial"/>
        </w:rPr>
        <w:t>3</w:t>
      </w:r>
      <w:r w:rsidRPr="00581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 – Opis wymagań technicznych.</w:t>
      </w:r>
      <w:r w:rsidR="009D5ECA" w:rsidRPr="00581C95">
        <w:rPr>
          <w:rFonts w:ascii="Arial" w:hAnsi="Arial" w:cs="Arial"/>
        </w:rPr>
        <w:t xml:space="preserve">             </w:t>
      </w:r>
    </w:p>
    <w:p w14:paraId="5DB153B6" w14:textId="01635A9F" w:rsidR="006F475C" w:rsidRDefault="006F475C" w:rsidP="008C00D8">
      <w:pPr>
        <w:numPr>
          <w:ilvl w:val="0"/>
          <w:numId w:val="71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1687D234" w14:textId="73E185F8" w:rsidR="00FF26CE" w:rsidRPr="00FF26CE" w:rsidRDefault="00581C95" w:rsidP="008C00D8">
      <w:p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wozy strażacki: </w:t>
      </w:r>
      <w:r w:rsidRPr="00581C95">
        <w:rPr>
          <w:rFonts w:ascii="Arial" w:hAnsi="Arial" w:cs="Arial"/>
        </w:rPr>
        <w:t>34144210-3</w:t>
      </w:r>
    </w:p>
    <w:p w14:paraId="7A00E1C0" w14:textId="77777777" w:rsidR="00AC2DEF" w:rsidRDefault="00AC2DEF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3FEC2F90" w:rsidR="005C1535" w:rsidRPr="005C153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Szczegółowy opis przedmiotu zamówienia zawarty jest w </w:t>
      </w:r>
      <w:r w:rsidR="00581C95" w:rsidRPr="00581C95">
        <w:rPr>
          <w:rFonts w:ascii="Arial" w:hAnsi="Arial" w:cs="Arial"/>
        </w:rPr>
        <w:t>Tabel</w:t>
      </w:r>
      <w:r w:rsidR="00581C95">
        <w:rPr>
          <w:rFonts w:ascii="Arial" w:hAnsi="Arial" w:cs="Arial"/>
        </w:rPr>
        <w:t xml:space="preserve">i </w:t>
      </w:r>
      <w:r w:rsidR="00581C95" w:rsidRPr="00581C95">
        <w:rPr>
          <w:rFonts w:ascii="Arial" w:hAnsi="Arial" w:cs="Arial"/>
        </w:rPr>
        <w:t xml:space="preserve"> – </w:t>
      </w:r>
      <w:r w:rsidR="00581C95">
        <w:rPr>
          <w:rFonts w:ascii="Arial" w:hAnsi="Arial" w:cs="Arial"/>
        </w:rPr>
        <w:t>O</w:t>
      </w:r>
      <w:r w:rsidR="00581C95" w:rsidRPr="00581C95">
        <w:rPr>
          <w:rFonts w:ascii="Arial" w:hAnsi="Arial" w:cs="Arial"/>
        </w:rPr>
        <w:t>pis wymagań technicznych</w:t>
      </w:r>
      <w:r w:rsidRPr="005C1535">
        <w:rPr>
          <w:rFonts w:ascii="Arial" w:hAnsi="Arial" w:cs="Arial"/>
        </w:rPr>
        <w:t xml:space="preserve"> stanowiącej </w:t>
      </w:r>
      <w:r w:rsidRPr="00A939CD">
        <w:rPr>
          <w:rFonts w:ascii="Arial" w:hAnsi="Arial" w:cs="Arial"/>
        </w:rPr>
        <w:t>Załącznik</w:t>
      </w:r>
      <w:r w:rsidR="00E91D76" w:rsidRPr="00A939CD">
        <w:rPr>
          <w:rFonts w:ascii="Arial" w:hAnsi="Arial" w:cs="Arial"/>
        </w:rPr>
        <w:t>i</w:t>
      </w:r>
      <w:r w:rsidRPr="00A939CD">
        <w:rPr>
          <w:rFonts w:ascii="Arial" w:hAnsi="Arial" w:cs="Arial"/>
        </w:rPr>
        <w:t xml:space="preserve"> nr </w:t>
      </w:r>
      <w:r w:rsidR="008F0C83" w:rsidRPr="00A939CD">
        <w:rPr>
          <w:rFonts w:ascii="Arial" w:hAnsi="Arial" w:cs="Arial"/>
        </w:rPr>
        <w:t>3</w:t>
      </w:r>
      <w:r w:rsidR="001E35AA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do SWZ. Specyfikacja zawiera minimalne wymagania, które musi spełniać oferowany przedmiot zamówienia.</w:t>
      </w:r>
    </w:p>
    <w:p w14:paraId="7CB17913" w14:textId="7A214DBE" w:rsidR="005C1535" w:rsidRPr="005C1535" w:rsidRDefault="001E35AA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="005C1535" w:rsidRPr="005C1535">
        <w:rPr>
          <w:rFonts w:ascii="Arial" w:hAnsi="Arial" w:cs="Arial"/>
        </w:rPr>
        <w:t xml:space="preserve">musi być fabrycznie nowy, nieużywany, nieuszkodzony, nieobciążony prawami osób trzecich oraz powinien spełniać normy bezpieczeństwa. </w:t>
      </w:r>
    </w:p>
    <w:p w14:paraId="75C9E911" w14:textId="4C486C20" w:rsidR="00F639FC" w:rsidRDefault="00F639FC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F639FC">
        <w:rPr>
          <w:rFonts w:ascii="Arial" w:hAnsi="Arial" w:cs="Arial"/>
        </w:rPr>
        <w:t xml:space="preserve">Pojazd musi spełniać warunki techniczne określone w obowiązujących w Polsce przepisach prawnych dla samochodów poruszających się po drogach publicznych oraz warunki określone w przepisach prawnych dla Unii Europejskiej. Dostarczony samochód musi posiadać świadectwo homologacji i wymagane dokumenty (kartę pojazdu, instrukcję obsługi w języku polskim, książkę gwarancyjną, zaświadczenie o przeprowadzeniu badań technicznych,) umożliwiające rejestrację pojazdu.  </w:t>
      </w:r>
    </w:p>
    <w:p w14:paraId="605B2BDE" w14:textId="7FDA53B3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na adres Urzędu Miasta Świnoujście ul. Wojska Polskiego 1/5, 72-600 Świnoujście. </w:t>
      </w:r>
    </w:p>
    <w:p w14:paraId="24AEBD57" w14:textId="6C870D68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6AB05DB1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z warunkami zamówienia.</w:t>
      </w:r>
    </w:p>
    <w:p w14:paraId="72B48D08" w14:textId="77777777" w:rsidR="00624665" w:rsidRPr="00C62F25" w:rsidRDefault="00624665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</w:p>
    <w:p w14:paraId="13935F86" w14:textId="77777777" w:rsidR="006B29BE" w:rsidRPr="00C62F25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5" w:name="_Toc360626579"/>
      <w:r w:rsidRPr="00C62F25">
        <w:rPr>
          <w:rFonts w:ascii="Arial" w:hAnsi="Arial" w:cs="Arial"/>
          <w:sz w:val="22"/>
          <w:szCs w:val="22"/>
        </w:rPr>
        <w:lastRenderedPageBreak/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C455A6" w14:textId="18CDA351" w:rsidR="006B29BE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1E35AA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1E35AA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 xml:space="preserve"> ofert częściowych.</w:t>
      </w:r>
    </w:p>
    <w:p w14:paraId="23FF2B93" w14:textId="50DF415B" w:rsidR="001E35AA" w:rsidRDefault="001E35AA" w:rsidP="001E35AA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="001A7713">
        <w:rPr>
          <w:rFonts w:ascii="Arial" w:hAnsi="Arial" w:cs="Arial"/>
        </w:rPr>
        <w:t xml:space="preserve">jest </w:t>
      </w:r>
      <w:r w:rsidR="00AC0B6F">
        <w:rPr>
          <w:rFonts w:ascii="Arial" w:hAnsi="Arial" w:cs="Arial"/>
        </w:rPr>
        <w:t>jeden samochód - niepodzielny</w:t>
      </w:r>
      <w:r w:rsidR="001A7713">
        <w:rPr>
          <w:rFonts w:ascii="Arial" w:hAnsi="Arial" w:cs="Arial"/>
        </w:rPr>
        <w:t>.</w:t>
      </w:r>
    </w:p>
    <w:p w14:paraId="62167D19" w14:textId="77777777" w:rsidR="006B29BE" w:rsidRPr="00624665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0B191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 xml:space="preserve">ustawy </w:t>
      </w:r>
      <w:proofErr w:type="spellStart"/>
      <w:r w:rsidR="00936603" w:rsidRPr="00624665">
        <w:rPr>
          <w:rFonts w:ascii="Arial" w:hAnsi="Arial" w:cs="Arial"/>
        </w:rPr>
        <w:t>Pzp</w:t>
      </w:r>
      <w:proofErr w:type="spellEnd"/>
      <w:r w:rsidR="007A3CA6" w:rsidRPr="00624665">
        <w:rPr>
          <w:rFonts w:ascii="Arial" w:hAnsi="Arial" w:cs="Arial"/>
        </w:rPr>
        <w:t>.</w:t>
      </w:r>
    </w:p>
    <w:p w14:paraId="362FF4C7" w14:textId="4A15C7CA" w:rsid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6B91FA45" w14:textId="77777777" w:rsidR="008C00D8" w:rsidRPr="00190883" w:rsidRDefault="008C00D8" w:rsidP="008C00D8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jc w:val="left"/>
        <w:rPr>
          <w:rFonts w:ascii="Arial" w:hAnsi="Arial" w:cs="Arial"/>
        </w:rPr>
      </w:pPr>
    </w:p>
    <w:p w14:paraId="68CE40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</w:t>
      </w:r>
      <w:proofErr w:type="spellStart"/>
      <w:r w:rsidR="00EA7043"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0B1917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1E756F03" w14:textId="51088D79" w:rsidR="00C61DA8" w:rsidRPr="00624665" w:rsidRDefault="006F475C" w:rsidP="008C00D8">
      <w:p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808C9" w:rsidRPr="00624665">
        <w:rPr>
          <w:rFonts w:ascii="Arial" w:hAnsi="Arial" w:cs="Arial"/>
        </w:rPr>
        <w:t>:</w:t>
      </w:r>
    </w:p>
    <w:p w14:paraId="1A307838" w14:textId="05E9D2DE" w:rsidR="00AC2DEF" w:rsidRPr="00624665" w:rsidRDefault="00AC2DEF" w:rsidP="008C00D8">
      <w:pPr>
        <w:pStyle w:val="Akapitzlist"/>
        <w:numPr>
          <w:ilvl w:val="0"/>
          <w:numId w:val="83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163E4F" w:rsidRPr="00624665">
        <w:rPr>
          <w:rFonts w:ascii="Arial" w:hAnsi="Arial" w:cs="Arial"/>
        </w:rPr>
        <w:t>rozpoczęcia</w:t>
      </w:r>
      <w:r w:rsidRPr="00624665">
        <w:rPr>
          <w:rFonts w:ascii="Arial" w:hAnsi="Arial" w:cs="Arial"/>
        </w:rPr>
        <w:t xml:space="preserve"> - w dniu podpisania umowy,</w:t>
      </w:r>
    </w:p>
    <w:p w14:paraId="5080C3AD" w14:textId="124E13CE" w:rsidR="00343818" w:rsidRDefault="00AC2DEF" w:rsidP="008C00D8">
      <w:pPr>
        <w:pStyle w:val="Akapitzlist"/>
        <w:numPr>
          <w:ilvl w:val="0"/>
          <w:numId w:val="83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</w:t>
      </w:r>
      <w:r w:rsidR="00581C95">
        <w:rPr>
          <w:rFonts w:ascii="Arial" w:hAnsi="Arial" w:cs="Arial"/>
        </w:rPr>
        <w:t>– nie dłużej niż 1</w:t>
      </w:r>
      <w:r w:rsidR="00ED7F0A">
        <w:rPr>
          <w:rFonts w:ascii="Arial" w:hAnsi="Arial" w:cs="Arial"/>
        </w:rPr>
        <w:t>7</w:t>
      </w:r>
      <w:r w:rsidR="00581C95">
        <w:rPr>
          <w:rFonts w:ascii="Arial" w:hAnsi="Arial" w:cs="Arial"/>
        </w:rPr>
        <w:t>0 dni od dnia podpisania umowy</w:t>
      </w:r>
      <w:r w:rsidR="00ED7F0A">
        <w:rPr>
          <w:rFonts w:ascii="Arial" w:hAnsi="Arial" w:cs="Arial"/>
        </w:rPr>
        <w:t>.</w:t>
      </w:r>
    </w:p>
    <w:p w14:paraId="1303BCF3" w14:textId="1DD11F44" w:rsidR="00AC0B6F" w:rsidRPr="00ED7F0A" w:rsidRDefault="00372F44" w:rsidP="008C00D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Termin jest kryterium oceny ofert.</w:t>
      </w:r>
      <w:r w:rsidR="00ED7F0A">
        <w:rPr>
          <w:rFonts w:ascii="Arial" w:hAnsi="Arial" w:cs="Arial"/>
        </w:rPr>
        <w:t xml:space="preserve"> Jeżeli Wykonawca zaoferuje termin dłuższy niż 170 dni, to oferta zostanie odrzucona. </w:t>
      </w:r>
      <w:r w:rsidR="00AC0B6F" w:rsidRPr="00AC0B6F">
        <w:rPr>
          <w:rFonts w:ascii="Arial" w:hAnsi="Arial" w:cs="Arial"/>
          <w:bCs/>
          <w:iCs/>
        </w:rPr>
        <w:t xml:space="preserve"> </w:t>
      </w:r>
    </w:p>
    <w:p w14:paraId="76DF9AB0" w14:textId="77777777" w:rsidR="00624665" w:rsidRPr="00624665" w:rsidRDefault="00624665" w:rsidP="000B1917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AF5E71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A939CD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A939CD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660DD542" w:rsidR="00343818" w:rsidRPr="00624665" w:rsidRDefault="00343818" w:rsidP="00AF5E71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stawia warunku w ww. zakresie. </w:t>
      </w:r>
    </w:p>
    <w:p w14:paraId="00EBC51B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A939CD">
      <w:pPr>
        <w:pStyle w:val="Akapitzlist"/>
        <w:autoSpaceDE w:val="0"/>
        <w:autoSpaceDN w:val="0"/>
        <w:adjustRightInd w:val="0"/>
        <w:spacing w:after="0" w:line="276" w:lineRule="auto"/>
        <w:ind w:left="1701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A939CD">
      <w:pPr>
        <w:pStyle w:val="Akapitzlist"/>
        <w:autoSpaceDE w:val="0"/>
        <w:autoSpaceDN w:val="0"/>
        <w:adjustRightInd w:val="0"/>
        <w:spacing w:after="0" w:line="276" w:lineRule="auto"/>
        <w:ind w:left="1843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59369C07" w14:textId="130AE515" w:rsidR="000A6165" w:rsidRDefault="00ED7F0A" w:rsidP="00AF5E71">
      <w:pPr>
        <w:pStyle w:val="Akapitzlist"/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eastAsia="Calibri" w:hAnsi="Arial" w:cs="Arial"/>
          <w:iCs/>
          <w:u w:val="single"/>
        </w:rPr>
      </w:pPr>
      <w:r w:rsidRPr="00ED7F0A">
        <w:rPr>
          <w:rFonts w:ascii="Arial" w:hAnsi="Arial" w:cs="Arial"/>
        </w:rPr>
        <w:lastRenderedPageBreak/>
        <w:t>O udzielenie zamówienia publicznego mogą ubiegać się wykonawcy, którzy wykaż</w:t>
      </w:r>
      <w:r>
        <w:rPr>
          <w:rFonts w:ascii="Arial" w:hAnsi="Arial" w:cs="Arial"/>
        </w:rPr>
        <w:t>ą</w:t>
      </w:r>
      <w:r w:rsidRPr="00ED7F0A">
        <w:rPr>
          <w:rFonts w:ascii="Arial" w:hAnsi="Arial" w:cs="Arial"/>
        </w:rPr>
        <w:t xml:space="preserve"> że w okresie ostatnich trzech lat przed upływem terminu składania ofert, a jeżeli okres prowadzenia działalności jest krótszy - w tym okresie,  wykonali należycie co najmniej 1 zadanie podobne do przedmiotu zamówienia</w:t>
      </w:r>
      <w:r>
        <w:rPr>
          <w:rFonts w:ascii="Arial" w:hAnsi="Arial" w:cs="Arial"/>
        </w:rPr>
        <w:t xml:space="preserve">. Przez takie zadanie Zamawiający rozumie </w:t>
      </w:r>
      <w:r w:rsidRPr="00ED7F0A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Pr="00ED7F0A">
        <w:rPr>
          <w:rFonts w:ascii="Arial" w:hAnsi="Arial" w:cs="Arial"/>
        </w:rPr>
        <w:t xml:space="preserve"> pojazdu ratowniczo-gaśniczego o wartości dostaw</w:t>
      </w:r>
      <w:r>
        <w:rPr>
          <w:rFonts w:ascii="Arial" w:hAnsi="Arial" w:cs="Arial"/>
        </w:rPr>
        <w:t>y co najmniej 500 tys. zł.</w:t>
      </w:r>
    </w:p>
    <w:p w14:paraId="7CB8152B" w14:textId="200C73CC" w:rsidR="007621B6" w:rsidRPr="00624665" w:rsidRDefault="007621B6" w:rsidP="00AF5E71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 xml:space="preserve">Wykonawca, zgodnie z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 xml:space="preserve"> może w celu potwierdzenia spełniana warunków</w:t>
      </w:r>
      <w:r w:rsidR="00163E4F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udziału w postępowaniu polegać na zdolnościach technicznych lub zawodowych 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AF5E71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 xml:space="preserve">zasadach określonych w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>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151E5CB0" w14:textId="77777777" w:rsidR="007621B6" w:rsidRPr="00624665" w:rsidRDefault="007621B6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AF5E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bookmarkEnd w:id="6"/>
      <w:bookmarkEnd w:id="7"/>
      <w:bookmarkEnd w:id="8"/>
      <w:r w:rsidRPr="00AD045F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>, tj. wykonawcę:</w:t>
      </w:r>
    </w:p>
    <w:p w14:paraId="6704B064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2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24AA9D9B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5A64E8">
        <w:rPr>
          <w:rFonts w:ascii="Arial" w:hAnsi="Arial" w:cs="Arial"/>
          <w:shd w:val="clear" w:color="auto" w:fill="FFFFFF"/>
        </w:rPr>
        <w:t>3 oraz z 2021 r. poz. 2054) lub</w:t>
      </w:r>
      <w:r w:rsidR="005A64E8">
        <w:rPr>
          <w:rFonts w:ascii="Arial" w:hAnsi="Arial" w:cs="Arial"/>
          <w:shd w:val="clear" w:color="auto" w:fill="FFFFFF"/>
        </w:rPr>
        <w:br/>
      </w:r>
      <w:r w:rsidRPr="00AD045F">
        <w:rPr>
          <w:rFonts w:ascii="Arial" w:hAnsi="Arial" w:cs="Arial"/>
          <w:shd w:val="clear" w:color="auto" w:fill="FFFFFF"/>
        </w:rPr>
        <w:t xml:space="preserve">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4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5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7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8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</w:t>
      </w:r>
      <w:r w:rsidRPr="00AD045F">
        <w:rPr>
          <w:rFonts w:ascii="Arial" w:hAnsi="Arial" w:cs="Arial"/>
        </w:rPr>
        <w:lastRenderedPageBreak/>
        <w:t xml:space="preserve">przestępstwo przeciwko wiarygodności dokumentów, o których mowa w </w:t>
      </w:r>
      <w:hyperlink r:id="rId19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40E992B6" w:rsidR="009F41C7" w:rsidRPr="00AD045F" w:rsidRDefault="009F41C7" w:rsidP="00AF5E71">
      <w:pPr>
        <w:shd w:val="clear" w:color="auto" w:fill="FFFFFF"/>
        <w:spacing w:after="0" w:line="276" w:lineRule="auto"/>
        <w:ind w:left="360" w:firstLine="633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- lub za odpowiedni czyn zabroniony określony w przepisach prawa obcego;</w:t>
      </w:r>
    </w:p>
    <w:p w14:paraId="3E2B42C1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0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AF5E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2E14B117" w14:textId="0459FCD7" w:rsidR="009F41C7" w:rsidRPr="00AD045F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AF5E71">
        <w:rPr>
          <w:rFonts w:ascii="Arial" w:hAnsi="Arial" w:cs="Arial"/>
          <w:bCs/>
        </w:rPr>
        <w:t xml:space="preserve"> </w:t>
      </w:r>
      <w:r w:rsidRPr="00AD045F">
        <w:rPr>
          <w:rFonts w:ascii="Arial" w:hAnsi="Arial" w:cs="Arial"/>
          <w:bCs/>
        </w:rPr>
        <w:t>z postępowania o udzielenie zamówienia publicznego lub konkursu prowadzonego na podstawie ustawy z dnia 11 września 2019 r. – Pra</w:t>
      </w:r>
      <w:r w:rsidR="005A64E8">
        <w:rPr>
          <w:rFonts w:ascii="Arial" w:hAnsi="Arial" w:cs="Arial"/>
          <w:bCs/>
        </w:rPr>
        <w:t>wo zamówień publicznych (Dz. U.</w:t>
      </w:r>
      <w:r w:rsidR="00AF5E71">
        <w:rPr>
          <w:rFonts w:ascii="Arial" w:hAnsi="Arial" w:cs="Arial"/>
          <w:bCs/>
        </w:rPr>
        <w:t xml:space="preserve"> </w:t>
      </w:r>
      <w:r w:rsidRPr="00AD045F">
        <w:rPr>
          <w:rFonts w:ascii="Arial" w:hAnsi="Arial" w:cs="Arial"/>
          <w:bCs/>
        </w:rPr>
        <w:t>z 2021 r. poz. 1129, 1598, 2054 i 2269 oraz z 2022 r. poz. 25);</w:t>
      </w:r>
    </w:p>
    <w:p w14:paraId="6ADA8BB5" w14:textId="77777777" w:rsidR="009F41C7" w:rsidRPr="00624665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</w:t>
      </w:r>
      <w:r w:rsidRPr="00AD045F">
        <w:rPr>
          <w:rFonts w:ascii="Arial" w:hAnsi="Arial" w:cs="Arial"/>
          <w:bCs/>
        </w:rPr>
        <w:lastRenderedPageBreak/>
        <w:t xml:space="preserve">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15AC8FEA" w:rsidR="009F41C7" w:rsidRPr="00624665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7323E3E1" w14:textId="0E711287" w:rsidR="009F41C7" w:rsidRPr="00624665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42EA159D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gdy osoba, o której mowa w tych przepisach, została skazana za przestępstwo wymienione </w:t>
      </w:r>
      <w:r w:rsidRPr="00624665">
        <w:rPr>
          <w:rFonts w:ascii="Arial" w:hAnsi="Arial" w:cs="Arial"/>
        </w:rPr>
        <w:br/>
        <w:t xml:space="preserve">w art. 108 ust. 1 pkt 1 lit. 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okres, na jaki został prawomocnie orzeczony zakaz ubiegania się o zamówienia publiczne;</w:t>
      </w:r>
    </w:p>
    <w:p w14:paraId="301162D1" w14:textId="19A91FB3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bookmarkStart w:id="13" w:name="_Hlk61855284"/>
      <w:r w:rsidRPr="00624665">
        <w:rPr>
          <w:rFonts w:ascii="Arial" w:hAnsi="Arial" w:cs="Arial"/>
        </w:rPr>
        <w:lastRenderedPageBreak/>
        <w:t xml:space="preserve">w przypadkach, o których mowa w art. 108 ust. 1 pkt 5,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zaistnienia zdarzenia będącego podstawą wykluczenia;</w:t>
      </w:r>
      <w:bookmarkEnd w:id="13"/>
    </w:p>
    <w:p w14:paraId="2608AD0A" w14:textId="02227FBF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 przypadkach, o których mowa w art. 108 u</w:t>
      </w:r>
      <w:r w:rsidR="005A64E8">
        <w:rPr>
          <w:rFonts w:ascii="Arial" w:hAnsi="Arial" w:cs="Arial"/>
          <w:shd w:val="clear" w:color="auto" w:fill="FFFFFF"/>
        </w:rPr>
        <w:t xml:space="preserve">st. 1 pkt 6 </w:t>
      </w:r>
      <w:proofErr w:type="spellStart"/>
      <w:r w:rsidR="005A64E8">
        <w:rPr>
          <w:rFonts w:ascii="Arial" w:hAnsi="Arial" w:cs="Arial"/>
          <w:shd w:val="clear" w:color="auto" w:fill="FFFFFF"/>
        </w:rPr>
        <w:t>Pzp</w:t>
      </w:r>
      <w:proofErr w:type="spellEnd"/>
      <w:r w:rsidR="005A64E8">
        <w:rPr>
          <w:rFonts w:ascii="Arial" w:hAnsi="Arial" w:cs="Arial"/>
          <w:shd w:val="clear" w:color="auto" w:fill="FFFFFF"/>
        </w:rPr>
        <w:t>, w postępowaniu</w:t>
      </w:r>
      <w:r w:rsidR="005A64E8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35E32C8E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0B1917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56227F44" w14:textId="77777777" w:rsidR="004E222F" w:rsidRDefault="00120D33" w:rsidP="004E222F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7DBB61FA" w14:textId="599577D1" w:rsidR="00A12BC1" w:rsidRPr="004E222F" w:rsidRDefault="006B29BE" w:rsidP="004E222F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4E222F">
        <w:rPr>
          <w:rFonts w:ascii="Arial" w:hAnsi="Arial" w:cs="Arial"/>
        </w:rPr>
        <w:t>W przypadku</w:t>
      </w:r>
      <w:r w:rsidR="00E66359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gdy wykonawca posługiwać się będ</w:t>
      </w:r>
      <w:r w:rsidR="00AD045F" w:rsidRPr="004E222F">
        <w:rPr>
          <w:rFonts w:ascii="Arial" w:hAnsi="Arial" w:cs="Arial"/>
        </w:rPr>
        <w:t>zie zasobami podmiotów trzecich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>w celu potwierdzania spełniania warunków udziału w postępowaniu</w:t>
      </w:r>
      <w:r w:rsidR="004C3749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zamawiający żąda od wykonawcy przedstawienia w odniesieniu do tych podmiotów dokumentów wymienionych w pkt 1</w:t>
      </w:r>
      <w:r w:rsidR="005E1B7A" w:rsidRPr="004E222F">
        <w:rPr>
          <w:rFonts w:ascii="Arial" w:hAnsi="Arial" w:cs="Arial"/>
        </w:rPr>
        <w:t xml:space="preserve"> </w:t>
      </w:r>
      <w:r w:rsidRPr="004E222F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0B191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0DE6F338" w14:textId="545E5A50" w:rsidR="00A75AD7" w:rsidRPr="00D82592" w:rsidRDefault="00A75AD7" w:rsidP="004E222F">
      <w:pPr>
        <w:spacing w:after="0" w:line="276" w:lineRule="auto"/>
        <w:textAlignment w:val="baseline"/>
        <w:rPr>
          <w:rFonts w:ascii="Arial" w:hAnsi="Arial" w:cs="Arial"/>
          <w:b/>
        </w:rPr>
      </w:pPr>
      <w:r w:rsidRPr="00A75AD7">
        <w:rPr>
          <w:rFonts w:ascii="Arial" w:hAnsi="Arial" w:cs="Arial"/>
          <w:bCs/>
        </w:rPr>
        <w:t>W celu potwierdzenia, że oferowan</w:t>
      </w:r>
      <w:r>
        <w:rPr>
          <w:rFonts w:ascii="Arial" w:hAnsi="Arial" w:cs="Arial"/>
          <w:bCs/>
        </w:rPr>
        <w:t>y</w:t>
      </w:r>
      <w:r w:rsidRPr="00A75AD7">
        <w:rPr>
          <w:rFonts w:ascii="Arial" w:hAnsi="Arial" w:cs="Arial"/>
          <w:bCs/>
        </w:rPr>
        <w:t xml:space="preserve"> przez Wykonawcę </w:t>
      </w:r>
      <w:r>
        <w:rPr>
          <w:rFonts w:ascii="Arial" w:hAnsi="Arial" w:cs="Arial"/>
          <w:bCs/>
        </w:rPr>
        <w:t>pojazd odpowiada</w:t>
      </w:r>
      <w:r w:rsidRPr="00A75AD7">
        <w:rPr>
          <w:rFonts w:ascii="Arial" w:hAnsi="Arial" w:cs="Arial"/>
          <w:bCs/>
        </w:rPr>
        <w:t xml:space="preserve"> wymaganiom określonym przez Zamawiającego, Zamawiający wymaga, by Wykonawca złożył wraz z ofertą następujące przedmiotowe środki dowodowe:</w:t>
      </w:r>
    </w:p>
    <w:p w14:paraId="4B37F8C1" w14:textId="170EF1CC" w:rsidR="00A75AD7" w:rsidRPr="007D773A" w:rsidRDefault="00D82592" w:rsidP="004E222F">
      <w:pPr>
        <w:pStyle w:val="Akapitzlist"/>
        <w:numPr>
          <w:ilvl w:val="2"/>
          <w:numId w:val="95"/>
        </w:numPr>
        <w:spacing w:line="276" w:lineRule="auto"/>
        <w:ind w:left="426" w:hanging="426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Ś</w:t>
      </w:r>
      <w:r w:rsidRPr="00D82592">
        <w:rPr>
          <w:rFonts w:ascii="Arial" w:hAnsi="Arial" w:cs="Arial"/>
          <w:bCs/>
        </w:rPr>
        <w:t>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2022 r.,  poz. 2282).</w:t>
      </w:r>
    </w:p>
    <w:p w14:paraId="335EEA1D" w14:textId="63261840" w:rsidR="007D773A" w:rsidRPr="007D773A" w:rsidRDefault="007D773A" w:rsidP="007D773A">
      <w:pPr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przewiduje wezwanie do uzupełnienia ww. środka dowodowego.</w:t>
      </w:r>
    </w:p>
    <w:p w14:paraId="4252C4BB" w14:textId="77777777" w:rsidR="00DA5B7E" w:rsidRPr="00624665" w:rsidRDefault="006B29BE" w:rsidP="00A939CD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7C5206BB" w14:textId="77777777" w:rsidR="006D6FD5" w:rsidRPr="00624665" w:rsidRDefault="00AA142D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lastRenderedPageBreak/>
        <w:t xml:space="preserve">Wymagania techniczne i organizacyjne korzystania z Platformy określa regulamin Platformy (dostępny pod adresem: </w:t>
      </w:r>
      <w:hyperlink r:id="rId23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07F70740" w:rsidR="00D93F91" w:rsidRPr="00624665" w:rsidRDefault="00D93F91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</w:t>
      </w:r>
      <w:proofErr w:type="spellStart"/>
      <w:r w:rsidR="000C06BC" w:rsidRPr="00624665">
        <w:rPr>
          <w:color w:val="auto"/>
          <w:sz w:val="22"/>
          <w:szCs w:val="22"/>
        </w:rPr>
        <w:t>Pzp</w:t>
      </w:r>
      <w:proofErr w:type="spellEnd"/>
      <w:r w:rsidR="000C06BC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A939CD">
        <w:rPr>
          <w:color w:val="auto"/>
          <w:sz w:val="22"/>
          <w:szCs w:val="22"/>
          <w:shd w:val="clear" w:color="auto" w:fill="FFFFFF"/>
        </w:rPr>
        <w:t xml:space="preserve"> </w:t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5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782B1C67" w:rsidR="00D22699" w:rsidRPr="00624665" w:rsidRDefault="001B7D00" w:rsidP="004E222F">
      <w:pPr>
        <w:pStyle w:val="Akapitzlist"/>
        <w:numPr>
          <w:ilvl w:val="0"/>
          <w:numId w:val="72"/>
        </w:numPr>
        <w:spacing w:after="0" w:line="276" w:lineRule="auto"/>
        <w:ind w:hanging="435"/>
        <w:rPr>
          <w:rFonts w:ascii="Arial" w:hAnsi="Arial" w:cs="Arial"/>
        </w:rPr>
      </w:pPr>
      <w:r>
        <w:rPr>
          <w:rFonts w:ascii="Arial" w:hAnsi="Arial" w:cs="Arial"/>
        </w:rPr>
        <w:t>Przemysław Kaleta</w:t>
      </w:r>
      <w:r w:rsidR="00422EA1" w:rsidRPr="00422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22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Komendant GOP,  </w:t>
      </w:r>
      <w:r w:rsidRPr="001B7D00">
        <w:rPr>
          <w:rFonts w:ascii="Arial" w:hAnsi="Arial" w:cs="Arial"/>
        </w:rPr>
        <w:t>Wydział Spraw Obywatelskich i Urząd Stanu Cywilnego</w:t>
      </w:r>
      <w:r w:rsidR="004E222F">
        <w:rPr>
          <w:rFonts w:ascii="Arial" w:hAnsi="Arial" w:cs="Arial"/>
        </w:rPr>
        <w:t xml:space="preserve"> </w:t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4E222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19E123D3" w:rsidR="00062B85" w:rsidRPr="0069721C" w:rsidRDefault="00D22699" w:rsidP="004E222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r w:rsidR="001B7D00" w:rsidRPr="008C00D8">
        <w:rPr>
          <w:rFonts w:ascii="Arial" w:hAnsi="Arial" w:cs="Arial"/>
          <w:lang w:val="en-GB"/>
        </w:rPr>
        <w:t>pkaleta@um.swinoujscie.pl</w:t>
      </w:r>
      <w:r w:rsidR="000C2E2A" w:rsidRPr="000C2E2A">
        <w:rPr>
          <w:rFonts w:ascii="Arial" w:hAnsi="Arial" w:cs="Arial"/>
          <w:lang w:val="en-US"/>
        </w:rPr>
        <w:t xml:space="preserve">, tel. </w:t>
      </w:r>
      <w:r w:rsidR="001B7D00" w:rsidRPr="001B7D00">
        <w:rPr>
          <w:rFonts w:ascii="Arial" w:hAnsi="Arial" w:cs="Arial"/>
          <w:lang w:val="en-US"/>
        </w:rPr>
        <w:t>91 321 28 65</w:t>
      </w:r>
    </w:p>
    <w:p w14:paraId="2358AB27" w14:textId="3C815A31" w:rsidR="00062B85" w:rsidRPr="00624665" w:rsidRDefault="00BC4CD0" w:rsidP="004E222F">
      <w:pPr>
        <w:pStyle w:val="Akapitzlist"/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Ewa Bimkiewicz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="00D10D12"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</w:t>
      </w:r>
      <w:proofErr w:type="spellStart"/>
      <w:r w:rsidR="00EE00F4" w:rsidRPr="00624665">
        <w:rPr>
          <w:rFonts w:ascii="Arial" w:hAnsi="Arial" w:cs="Arial"/>
        </w:rPr>
        <w:t>formalno</w:t>
      </w:r>
      <w:proofErr w:type="spellEnd"/>
      <w:r w:rsidR="00EE00F4" w:rsidRPr="00624665">
        <w:rPr>
          <w:rFonts w:ascii="Arial" w:hAnsi="Arial" w:cs="Arial"/>
        </w:rPr>
        <w:t xml:space="preserve"> – prawnych).</w:t>
      </w:r>
    </w:p>
    <w:p w14:paraId="1BAAAA6C" w14:textId="77777777" w:rsidR="00062B85" w:rsidRPr="00624665" w:rsidRDefault="00062B85" w:rsidP="004E222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137476A5" w:rsidR="00D22699" w:rsidRPr="00744700" w:rsidRDefault="00062B85" w:rsidP="004E222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BC4CD0">
        <w:rPr>
          <w:rFonts w:ascii="Arial" w:hAnsi="Arial" w:cs="Arial"/>
          <w:lang w:val="en-US"/>
        </w:rPr>
        <w:t>ebimkiewicz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0DED885E" w14:textId="77777777" w:rsidR="00D22699" w:rsidRPr="00624665" w:rsidRDefault="00EE00F4" w:rsidP="004E222F">
      <w:pPr>
        <w:spacing w:after="0" w:line="276" w:lineRule="auto"/>
        <w:ind w:left="993" w:firstLine="75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32D7678A" w:rsidR="00EE00F4" w:rsidRPr="00624665" w:rsidRDefault="00BC4CD0" w:rsidP="004E222F">
      <w:pPr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Agnieszka Sosińska </w:t>
      </w:r>
      <w:r w:rsidR="00422EA1" w:rsidRPr="00422EA1">
        <w:rPr>
          <w:rFonts w:ascii="Arial" w:hAnsi="Arial" w:cs="Arial"/>
        </w:rPr>
        <w:t>- przewodnicząc</w:t>
      </w:r>
      <w:r w:rsidR="00422EA1">
        <w:rPr>
          <w:rFonts w:ascii="Arial" w:hAnsi="Arial" w:cs="Arial"/>
        </w:rPr>
        <w:t>a</w:t>
      </w:r>
      <w:r w:rsidR="00422EA1" w:rsidRPr="00422EA1">
        <w:rPr>
          <w:rFonts w:ascii="Arial" w:hAnsi="Arial" w:cs="Arial"/>
        </w:rPr>
        <w:t xml:space="preserve"> komisji przetargowej, Naczelnik </w:t>
      </w:r>
      <w:r w:rsidRPr="00BC4CD0">
        <w:rPr>
          <w:rFonts w:ascii="Arial" w:hAnsi="Arial" w:cs="Arial"/>
        </w:rPr>
        <w:t>Wydział</w:t>
      </w:r>
      <w:r>
        <w:rPr>
          <w:rFonts w:ascii="Arial" w:hAnsi="Arial" w:cs="Arial"/>
        </w:rPr>
        <w:t>u</w:t>
      </w:r>
      <w:r w:rsidRPr="00BC4CD0">
        <w:rPr>
          <w:rFonts w:ascii="Arial" w:hAnsi="Arial" w:cs="Arial"/>
        </w:rPr>
        <w:t xml:space="preserve"> Spraw Obywatelskich i Urz</w:t>
      </w:r>
      <w:r>
        <w:rPr>
          <w:rFonts w:ascii="Arial" w:hAnsi="Arial" w:cs="Arial"/>
        </w:rPr>
        <w:t>ę</w:t>
      </w:r>
      <w:r w:rsidRPr="00BC4CD0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BC4CD0">
        <w:rPr>
          <w:rFonts w:ascii="Arial" w:hAnsi="Arial" w:cs="Arial"/>
        </w:rPr>
        <w:t xml:space="preserve"> Stanu Cywilnego</w:t>
      </w:r>
    </w:p>
    <w:p w14:paraId="342D26D2" w14:textId="77777777" w:rsidR="00EE00F4" w:rsidRPr="00624665" w:rsidRDefault="00EE00F4" w:rsidP="004E222F">
      <w:pPr>
        <w:spacing w:after="0" w:line="276" w:lineRule="auto"/>
        <w:ind w:left="1418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32B800DE" w:rsidR="00EE00F4" w:rsidRPr="00624665" w:rsidRDefault="00EE00F4" w:rsidP="004E222F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A632AD">
        <w:rPr>
          <w:rFonts w:ascii="Arial" w:hAnsi="Arial" w:cs="Arial"/>
          <w:lang w:val="en-US"/>
        </w:rPr>
        <w:t>asosinska</w:t>
      </w:r>
      <w:r w:rsidR="00BE515E" w:rsidRPr="00BE515E">
        <w:rPr>
          <w:rFonts w:ascii="Arial" w:hAnsi="Arial" w:cs="Arial"/>
          <w:lang w:val="en-US"/>
        </w:rPr>
        <w:t>@um.swinoujscie.pl</w:t>
      </w:r>
    </w:p>
    <w:p w14:paraId="4666C6C0" w14:textId="77777777" w:rsidR="0024382A" w:rsidRPr="00AD045F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lastRenderedPageBreak/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60E80D56" w14:textId="77777777" w:rsidR="007F54C1" w:rsidRPr="00AD045F" w:rsidRDefault="006424CB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7113D15D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106F871F" w14:textId="77777777" w:rsidR="004E222F" w:rsidRDefault="00D27B7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 xml:space="preserve">Po kliknięciu w tytuł postępowania nastąpi przekierowanie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4E222F">
        <w:rPr>
          <w:rFonts w:ascii="Arial" w:hAnsi="Arial" w:cs="Arial"/>
        </w:rPr>
        <w:t>ą</w:t>
      </w:r>
      <w:r w:rsidRPr="004E222F">
        <w:rPr>
          <w:rFonts w:ascii="Arial" w:hAnsi="Arial" w:cs="Arial"/>
        </w:rPr>
        <w:t xml:space="preserve"> składania oferty dla wykonawcy, zamieszczon</w:t>
      </w:r>
      <w:r w:rsidR="004A1722" w:rsidRPr="004E222F">
        <w:rPr>
          <w:rFonts w:ascii="Arial" w:hAnsi="Arial" w:cs="Arial"/>
        </w:rPr>
        <w:t>ą</w:t>
      </w:r>
      <w:r w:rsidRPr="004E222F">
        <w:rPr>
          <w:rFonts w:ascii="Arial" w:hAnsi="Arial" w:cs="Arial"/>
        </w:rPr>
        <w:t xml:space="preserve">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>latformie.</w:t>
      </w:r>
    </w:p>
    <w:p w14:paraId="65054AA8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które należy złożyć </w:t>
      </w:r>
      <w:r w:rsidR="004A1722" w:rsidRPr="004E222F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D018D37" w14:textId="77777777" w:rsidR="004E222F" w:rsidRDefault="00D27B7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 xml:space="preserve">Za termin złożenia oferty uważa się termin zamieszczenia oferty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 xml:space="preserve">latformie.     </w:t>
      </w:r>
    </w:p>
    <w:p w14:paraId="796132B1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Wszelkie informacje stanowiące tajemnicę przed</w:t>
      </w:r>
      <w:r w:rsidR="00AD045F" w:rsidRPr="004E222F">
        <w:rPr>
          <w:rFonts w:ascii="Arial" w:hAnsi="Arial" w:cs="Arial"/>
        </w:rPr>
        <w:t>siębiorstwa w rozumieniu ustawy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 xml:space="preserve">z dnia 16  kwietnia 1993 r. o zwalczaniu </w:t>
      </w:r>
      <w:r w:rsidR="00133B87" w:rsidRPr="004E222F">
        <w:rPr>
          <w:rFonts w:ascii="Arial" w:hAnsi="Arial" w:cs="Arial"/>
        </w:rPr>
        <w:t>nieuczciwej konkurencji, które w</w:t>
      </w:r>
      <w:r w:rsidRPr="004E222F">
        <w:rPr>
          <w:rFonts w:ascii="Arial" w:hAnsi="Arial" w:cs="Arial"/>
        </w:rPr>
        <w:t>ykonawca zastrzeż</w:t>
      </w:r>
      <w:r w:rsidR="00455408" w:rsidRPr="004E222F">
        <w:rPr>
          <w:rFonts w:ascii="Arial" w:hAnsi="Arial" w:cs="Arial"/>
        </w:rPr>
        <w:t>e</w:t>
      </w:r>
      <w:r w:rsidR="00133B87" w:rsidRPr="004E222F">
        <w:rPr>
          <w:rFonts w:ascii="Arial" w:hAnsi="Arial" w:cs="Arial"/>
        </w:rPr>
        <w:t xml:space="preserve"> </w:t>
      </w:r>
      <w:r w:rsidRPr="004E222F">
        <w:rPr>
          <w:rFonts w:ascii="Arial" w:hAnsi="Arial" w:cs="Arial"/>
        </w:rPr>
        <w:t>jako tajemnicę przedsiębiorstwa,</w:t>
      </w:r>
      <w:r w:rsidR="00AD045F" w:rsidRPr="004E222F">
        <w:rPr>
          <w:rFonts w:ascii="Arial" w:hAnsi="Arial" w:cs="Arial"/>
        </w:rPr>
        <w:t xml:space="preserve"> powinny zostać złożone zgodnie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>z Instrukcją składania oferty dla Wykonawcy.</w:t>
      </w:r>
    </w:p>
    <w:p w14:paraId="63A5E942" w14:textId="5F8E83BF" w:rsidR="00D27B74" w:rsidRP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Złożenie oferty na nośniku danych (np. CD, pendrive) jest niedopuszczalne</w:t>
      </w:r>
      <w:r w:rsidR="00605AE0" w:rsidRPr="004E222F">
        <w:rPr>
          <w:rFonts w:ascii="Arial" w:hAnsi="Arial" w:cs="Arial"/>
        </w:rPr>
        <w:t>.</w:t>
      </w:r>
    </w:p>
    <w:p w14:paraId="676633D3" w14:textId="074B64F5" w:rsidR="00AD045F" w:rsidRPr="004E222F" w:rsidRDefault="00455408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rPr>
          <w:rFonts w:ascii="Arial" w:hAnsi="Arial" w:cs="Arial"/>
          <w:shd w:val="clear" w:color="auto" w:fill="FFFFFF"/>
        </w:rPr>
      </w:pPr>
      <w:r w:rsidRPr="004E222F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4E222F">
        <w:rPr>
          <w:rFonts w:ascii="Arial" w:hAnsi="Arial" w:cs="Arial"/>
        </w:rPr>
        <w:t>Javascript</w:t>
      </w:r>
      <w:proofErr w:type="spellEnd"/>
      <w:r w:rsidRPr="004E222F">
        <w:rPr>
          <w:rFonts w:ascii="Arial" w:hAnsi="Arial" w:cs="Arial"/>
        </w:rPr>
        <w:t>, akceptująca pliki typu „</w:t>
      </w:r>
      <w:proofErr w:type="spellStart"/>
      <w:r w:rsidRPr="004E222F">
        <w:rPr>
          <w:rFonts w:ascii="Arial" w:hAnsi="Arial" w:cs="Arial"/>
        </w:rPr>
        <w:t>cookies</w:t>
      </w:r>
      <w:proofErr w:type="spellEnd"/>
      <w:r w:rsidRPr="004E222F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4E222F">
        <w:rPr>
          <w:rFonts w:ascii="Arial" w:hAnsi="Arial" w:cs="Arial"/>
        </w:rPr>
        <w:t>kbit</w:t>
      </w:r>
      <w:proofErr w:type="spellEnd"/>
      <w:r w:rsidRPr="004E222F">
        <w:rPr>
          <w:rFonts w:ascii="Arial" w:hAnsi="Arial" w:cs="Arial"/>
        </w:rPr>
        <w:t>/s. Platforma jest zoptymalizowana dla minimalnej rozdzielczości ekranu 1024x768 pikseli.</w:t>
      </w:r>
    </w:p>
    <w:p w14:paraId="479C088B" w14:textId="77777777" w:rsidR="0069721C" w:rsidRPr="00624665" w:rsidRDefault="0069721C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4E222F">
      <w:pPr>
        <w:pStyle w:val="Nagwek1"/>
        <w:shd w:val="clear" w:color="auto" w:fill="CCC0D9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1"/>
    <w:bookmarkEnd w:id="22"/>
    <w:bookmarkEnd w:id="23"/>
    <w:bookmarkEnd w:id="24"/>
    <w:p w14:paraId="45AB830C" w14:textId="1D04F60B" w:rsidR="006B29BE" w:rsidRPr="000F0754" w:rsidRDefault="006B29BE" w:rsidP="004E222F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</w:t>
      </w:r>
      <w:r w:rsidR="007C55A8" w:rsidRPr="00AD3B39">
        <w:rPr>
          <w:rFonts w:ascii="Arial" w:hAnsi="Arial" w:cs="Arial"/>
        </w:rPr>
        <w:t xml:space="preserve">się </w:t>
      </w:r>
      <w:r w:rsidR="007C55A8" w:rsidRPr="00AD3B39">
        <w:rPr>
          <w:rFonts w:ascii="Arial" w:hAnsi="Arial" w:cs="Arial"/>
          <w:b/>
        </w:rPr>
        <w:t xml:space="preserve">w </w:t>
      </w:r>
      <w:r w:rsidR="007C55A8" w:rsidRPr="000F0754">
        <w:rPr>
          <w:rFonts w:ascii="Arial" w:hAnsi="Arial" w:cs="Arial"/>
          <w:b/>
        </w:rPr>
        <w:t>dniu</w:t>
      </w:r>
      <w:r w:rsidR="00DC0C39" w:rsidRPr="000F0754">
        <w:rPr>
          <w:rFonts w:ascii="Arial" w:hAnsi="Arial" w:cs="Arial"/>
          <w:b/>
        </w:rPr>
        <w:t xml:space="preserve"> </w:t>
      </w:r>
      <w:r w:rsidR="003C604F">
        <w:rPr>
          <w:rFonts w:ascii="Arial" w:hAnsi="Arial" w:cs="Arial"/>
          <w:b/>
        </w:rPr>
        <w:t>19 lipca</w:t>
      </w:r>
      <w:bookmarkStart w:id="25" w:name="_GoBack"/>
      <w:bookmarkEnd w:id="25"/>
      <w:r w:rsidR="00B53C53">
        <w:rPr>
          <w:rFonts w:ascii="Arial" w:hAnsi="Arial" w:cs="Arial"/>
          <w:b/>
        </w:rPr>
        <w:t xml:space="preserve">                              </w:t>
      </w:r>
      <w:r w:rsidR="0027530F">
        <w:rPr>
          <w:rFonts w:ascii="Arial" w:hAnsi="Arial" w:cs="Arial"/>
          <w:b/>
        </w:rPr>
        <w:t xml:space="preserve"> </w:t>
      </w:r>
      <w:r w:rsidR="00FD1A19">
        <w:rPr>
          <w:rFonts w:ascii="Arial" w:hAnsi="Arial" w:cs="Arial"/>
          <w:b/>
        </w:rPr>
        <w:t xml:space="preserve">   </w:t>
      </w:r>
      <w:r w:rsidR="0027530F">
        <w:rPr>
          <w:rFonts w:ascii="Arial" w:hAnsi="Arial" w:cs="Arial"/>
          <w:b/>
        </w:rPr>
        <w:t>2023</w:t>
      </w:r>
      <w:r w:rsidR="00DC0C39" w:rsidRPr="000F0754">
        <w:rPr>
          <w:rFonts w:ascii="Arial" w:hAnsi="Arial" w:cs="Arial"/>
          <w:b/>
        </w:rPr>
        <w:t xml:space="preserve"> r.</w:t>
      </w:r>
    </w:p>
    <w:p w14:paraId="5FCF3867" w14:textId="77777777" w:rsidR="007C55A8" w:rsidRPr="00624665" w:rsidRDefault="007C55A8" w:rsidP="004E222F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0F0754">
        <w:rPr>
          <w:rFonts w:ascii="Arial" w:hAnsi="Arial" w:cs="Arial"/>
          <w:shd w:val="clear" w:color="auto" w:fill="FFFFFF"/>
        </w:rPr>
        <w:t>W przypadku gdy wybór najkorzystniejszej oferty nie nastąpi przed upływem terminu</w:t>
      </w:r>
      <w:r w:rsidRPr="00624665">
        <w:rPr>
          <w:rFonts w:ascii="Arial" w:hAnsi="Arial" w:cs="Arial"/>
          <w:shd w:val="clear" w:color="auto" w:fill="FFFFFF"/>
        </w:rPr>
        <w:t xml:space="preserve">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0B1917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6" w:name="_Toc262112642"/>
      <w:bookmarkStart w:id="27" w:name="_Toc264373040"/>
      <w:bookmarkStart w:id="28" w:name="_Toc440969215"/>
      <w:r w:rsidRPr="00624665">
        <w:rPr>
          <w:rFonts w:ascii="Arial" w:hAnsi="Arial" w:cs="Arial"/>
          <w:sz w:val="22"/>
          <w:szCs w:val="22"/>
        </w:rPr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6"/>
      <w:bookmarkEnd w:id="27"/>
      <w:bookmarkEnd w:id="28"/>
    </w:p>
    <w:p w14:paraId="1EFE389F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</w:p>
    <w:p w14:paraId="33425735" w14:textId="6AC8E976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2A67B483" w14:textId="77777777" w:rsidR="006B29BE" w:rsidRPr="00624665" w:rsidRDefault="00CA3156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29" w:name="_Toc504465391"/>
      <w:bookmarkStart w:id="30" w:name="_Toc108487429"/>
      <w:r w:rsidRPr="00624665">
        <w:rPr>
          <w:rFonts w:ascii="Arial" w:hAnsi="Arial" w:cs="Arial"/>
        </w:rPr>
        <w:t>Sposób złożenia oferty opisany jest w rozdziale X pkt 2</w:t>
      </w:r>
      <w:bookmarkEnd w:id="29"/>
      <w:bookmarkEnd w:id="30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28FD033D" w:rsidR="006B29BE" w:rsidRPr="007B5AE3" w:rsidRDefault="004145ED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7B5AE3">
        <w:rPr>
          <w:rFonts w:ascii="Arial" w:hAnsi="Arial" w:cs="Arial"/>
        </w:rPr>
        <w:t xml:space="preserve"> wraz z wypełnioną </w:t>
      </w:r>
      <w:r w:rsidR="00A632AD">
        <w:rPr>
          <w:rFonts w:ascii="Arial" w:hAnsi="Arial" w:cs="Arial"/>
        </w:rPr>
        <w:t>„</w:t>
      </w:r>
      <w:r w:rsidR="00A632AD" w:rsidRPr="00A632AD">
        <w:rPr>
          <w:rFonts w:ascii="Arial" w:hAnsi="Arial" w:cs="Arial"/>
        </w:rPr>
        <w:t>Tabel</w:t>
      </w:r>
      <w:r w:rsidR="00A632AD">
        <w:rPr>
          <w:rFonts w:ascii="Arial" w:hAnsi="Arial" w:cs="Arial"/>
        </w:rPr>
        <w:t>ą</w:t>
      </w:r>
      <w:r w:rsidR="00A632AD" w:rsidRPr="00A632AD">
        <w:rPr>
          <w:rFonts w:ascii="Arial" w:hAnsi="Arial" w:cs="Arial"/>
        </w:rPr>
        <w:t xml:space="preserve"> – Opis wymagań technicznych</w:t>
      </w:r>
      <w:r w:rsidR="007B5AE3">
        <w:rPr>
          <w:rFonts w:ascii="Arial" w:hAnsi="Arial" w:cs="Arial"/>
        </w:rPr>
        <w:t>” (</w:t>
      </w:r>
      <w:r w:rsidR="007B5AE3" w:rsidRPr="007B5AE3">
        <w:rPr>
          <w:rFonts w:ascii="Arial" w:hAnsi="Arial" w:cs="Arial"/>
          <w:b/>
        </w:rPr>
        <w:t xml:space="preserve">załącznik nr </w:t>
      </w:r>
      <w:r w:rsidR="00A632AD">
        <w:rPr>
          <w:rFonts w:ascii="Arial" w:hAnsi="Arial" w:cs="Arial"/>
          <w:b/>
        </w:rPr>
        <w:t>3</w:t>
      </w:r>
      <w:r w:rsidR="007B5AE3" w:rsidRPr="007B5AE3">
        <w:rPr>
          <w:rFonts w:ascii="Arial" w:hAnsi="Arial" w:cs="Arial"/>
          <w:b/>
        </w:rPr>
        <w:t xml:space="preserve"> do SWZ</w:t>
      </w:r>
      <w:r w:rsidR="007B5AE3">
        <w:rPr>
          <w:rFonts w:ascii="Arial" w:hAnsi="Arial" w:cs="Arial"/>
        </w:rPr>
        <w:t>)</w:t>
      </w:r>
      <w:r w:rsidR="006B29BE" w:rsidRPr="007B5AE3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5FBACE60" w:rsidR="00D96988" w:rsidRPr="00624665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zasoby</w:t>
      </w:r>
      <w:r w:rsidR="00163E4F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 niepodleganiu wykluczeniu z postępowania o</w:t>
      </w:r>
      <w:r w:rsidR="00736DD6">
        <w:rPr>
          <w:rFonts w:ascii="Arial" w:hAnsi="Arial" w:cs="Arial"/>
        </w:rPr>
        <w:t xml:space="preserve">raz spełnianiu warunków udziału </w:t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6F7F0DA9" w14:textId="4AA31BEA" w:rsidR="00714643" w:rsidRPr="004332B9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783BF4B1" w14:textId="77777777" w:rsidR="0087335C" w:rsidRPr="00AD045F" w:rsidRDefault="006B29BE" w:rsidP="00C43CC1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624665">
        <w:rPr>
          <w:rFonts w:ascii="Arial" w:hAnsi="Arial" w:cs="Arial"/>
          <w:bCs/>
          <w:snapToGrid w:val="0"/>
        </w:rPr>
        <w:t>Pzp</w:t>
      </w:r>
      <w:proofErr w:type="spellEnd"/>
      <w:r w:rsidRPr="00624665">
        <w:rPr>
          <w:rFonts w:ascii="Arial" w:hAnsi="Arial" w:cs="Arial"/>
          <w:bCs/>
          <w:snapToGrid w:val="0"/>
        </w:rPr>
        <w:t>.</w:t>
      </w:r>
    </w:p>
    <w:p w14:paraId="2F272483" w14:textId="77777777" w:rsidR="00AD045F" w:rsidRPr="00624665" w:rsidRDefault="00AD045F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250AA9DF" w:rsidR="0015246B" w:rsidRPr="00AD3B39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4" w:name="_Toc264373042"/>
      <w:bookmarkStart w:id="35" w:name="_Toc440969217"/>
      <w:r w:rsidRPr="00624665">
        <w:rPr>
          <w:rFonts w:ascii="Arial" w:hAnsi="Arial" w:cs="Arial"/>
        </w:rPr>
        <w:t xml:space="preserve">Ofertę należy złożyć </w:t>
      </w:r>
      <w:r w:rsidRPr="00AD3B39">
        <w:rPr>
          <w:rFonts w:ascii="Arial" w:hAnsi="Arial" w:cs="Arial"/>
        </w:rPr>
        <w:t xml:space="preserve">do </w:t>
      </w:r>
      <w:r w:rsidRPr="00AD3B39">
        <w:rPr>
          <w:rFonts w:ascii="Arial" w:hAnsi="Arial" w:cs="Arial"/>
          <w:b/>
        </w:rPr>
        <w:t>dnia</w:t>
      </w:r>
      <w:r w:rsidR="003271BF">
        <w:rPr>
          <w:rFonts w:ascii="Arial" w:hAnsi="Arial" w:cs="Arial"/>
          <w:b/>
        </w:rPr>
        <w:t xml:space="preserve"> 20.06.</w:t>
      </w:r>
      <w:r w:rsidR="000D1587" w:rsidRPr="00AD3B39">
        <w:rPr>
          <w:rFonts w:ascii="Arial" w:hAnsi="Arial" w:cs="Arial"/>
          <w:b/>
        </w:rPr>
        <w:t>202</w:t>
      </w:r>
      <w:r w:rsidR="004332B9">
        <w:rPr>
          <w:rFonts w:ascii="Arial" w:hAnsi="Arial" w:cs="Arial"/>
          <w:b/>
        </w:rPr>
        <w:t>3</w:t>
      </w:r>
      <w:r w:rsidR="000D1587" w:rsidRPr="00AD3B39">
        <w:rPr>
          <w:rFonts w:ascii="Arial" w:hAnsi="Arial" w:cs="Arial"/>
          <w:b/>
        </w:rPr>
        <w:t xml:space="preserve"> </w:t>
      </w:r>
      <w:r w:rsidRPr="00AD3B39">
        <w:rPr>
          <w:rFonts w:ascii="Arial" w:hAnsi="Arial" w:cs="Arial"/>
          <w:b/>
        </w:rPr>
        <w:t>roku</w:t>
      </w:r>
      <w:r w:rsidR="00062B85" w:rsidRPr="00AD3B39">
        <w:rPr>
          <w:rFonts w:ascii="Arial" w:hAnsi="Arial" w:cs="Arial"/>
          <w:b/>
        </w:rPr>
        <w:t xml:space="preserve"> do godziny</w:t>
      </w:r>
      <w:r w:rsidR="000D1587" w:rsidRPr="00AD3B39">
        <w:rPr>
          <w:rFonts w:ascii="Arial" w:hAnsi="Arial" w:cs="Arial"/>
          <w:b/>
        </w:rPr>
        <w:t xml:space="preserve"> 1</w:t>
      </w:r>
      <w:r w:rsidR="000B73CF">
        <w:rPr>
          <w:rFonts w:ascii="Arial" w:hAnsi="Arial" w:cs="Arial"/>
          <w:b/>
        </w:rPr>
        <w:t>2</w:t>
      </w:r>
      <w:r w:rsidR="000D1587" w:rsidRPr="00AD3B39">
        <w:rPr>
          <w:rFonts w:ascii="Arial" w:hAnsi="Arial" w:cs="Arial"/>
          <w:b/>
        </w:rPr>
        <w:t xml:space="preserve">.00 </w:t>
      </w:r>
      <w:r w:rsidR="00AD045F" w:rsidRPr="00AD3B39">
        <w:rPr>
          <w:rFonts w:ascii="Arial" w:hAnsi="Arial" w:cs="Arial"/>
        </w:rPr>
        <w:t>w sposób określony</w:t>
      </w:r>
      <w:r w:rsidR="00AD045F" w:rsidRPr="00AD3B39">
        <w:rPr>
          <w:rFonts w:ascii="Arial" w:hAnsi="Arial" w:cs="Arial"/>
        </w:rPr>
        <w:br/>
      </w:r>
      <w:r w:rsidRPr="00AD3B39">
        <w:rPr>
          <w:rFonts w:ascii="Arial" w:hAnsi="Arial" w:cs="Arial"/>
        </w:rPr>
        <w:t xml:space="preserve">w rozdziale X pkt 2 SWZ.  </w:t>
      </w:r>
    </w:p>
    <w:p w14:paraId="55E631CA" w14:textId="0AECD5F8" w:rsidR="0015246B" w:rsidRPr="00624665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AD3B39">
        <w:rPr>
          <w:rFonts w:ascii="Arial" w:hAnsi="Arial" w:cs="Arial"/>
        </w:rPr>
        <w:t>Publiczne otwarcie ofert nastąpi w</w:t>
      </w:r>
      <w:r w:rsidR="00004755" w:rsidRPr="00AD3B39">
        <w:rPr>
          <w:rFonts w:ascii="Arial" w:hAnsi="Arial" w:cs="Arial"/>
          <w:b/>
          <w:bCs/>
        </w:rPr>
        <w:t xml:space="preserve"> dniu</w:t>
      </w:r>
      <w:r w:rsidR="003271BF">
        <w:rPr>
          <w:rFonts w:ascii="Arial" w:hAnsi="Arial" w:cs="Arial"/>
          <w:b/>
          <w:bCs/>
        </w:rPr>
        <w:t xml:space="preserve"> </w:t>
      </w:r>
      <w:r w:rsidR="003271BF">
        <w:rPr>
          <w:rFonts w:ascii="Arial" w:hAnsi="Arial" w:cs="Arial"/>
          <w:b/>
        </w:rPr>
        <w:t>20.06.</w:t>
      </w:r>
      <w:r w:rsidR="000D1587" w:rsidRPr="00AD3B39">
        <w:rPr>
          <w:rFonts w:ascii="Arial" w:hAnsi="Arial" w:cs="Arial"/>
          <w:b/>
          <w:bCs/>
        </w:rPr>
        <w:t>202</w:t>
      </w:r>
      <w:r w:rsidR="004332B9">
        <w:rPr>
          <w:rFonts w:ascii="Arial" w:hAnsi="Arial" w:cs="Arial"/>
          <w:b/>
          <w:bCs/>
        </w:rPr>
        <w:t>3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062B85" w:rsidRPr="00AD3B39">
        <w:rPr>
          <w:rFonts w:ascii="Arial" w:hAnsi="Arial" w:cs="Arial"/>
          <w:b/>
          <w:bCs/>
        </w:rPr>
        <w:t>roku</w:t>
      </w:r>
      <w:r w:rsidR="00062B85" w:rsidRPr="002C1318">
        <w:rPr>
          <w:rFonts w:ascii="Arial" w:hAnsi="Arial" w:cs="Arial"/>
          <w:b/>
          <w:bCs/>
        </w:rPr>
        <w:t xml:space="preserve"> o godzinie</w:t>
      </w:r>
      <w:r w:rsidR="000D1587" w:rsidRPr="002C1318">
        <w:rPr>
          <w:rFonts w:ascii="Arial" w:hAnsi="Arial" w:cs="Arial"/>
          <w:b/>
          <w:bCs/>
        </w:rPr>
        <w:t xml:space="preserve"> 1</w:t>
      </w:r>
      <w:r w:rsidR="000B73CF">
        <w:rPr>
          <w:rFonts w:ascii="Arial" w:hAnsi="Arial" w:cs="Arial"/>
          <w:b/>
          <w:bCs/>
        </w:rPr>
        <w:t>2</w:t>
      </w:r>
      <w:r w:rsidR="000D1587" w:rsidRPr="002C1318">
        <w:rPr>
          <w:rFonts w:ascii="Arial" w:hAnsi="Arial" w:cs="Arial"/>
          <w:b/>
          <w:bCs/>
        </w:rPr>
        <w:t>.30</w:t>
      </w:r>
      <w:r w:rsidR="001845E9" w:rsidRPr="002C1318">
        <w:rPr>
          <w:rFonts w:ascii="Arial" w:hAnsi="Arial" w:cs="Arial"/>
          <w:b/>
          <w:bCs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>Niezwłocznie po 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 xml:space="preserve">z otwarcia ofert, o której mowa w art. 222 ust. 5 ustawy </w:t>
      </w:r>
      <w:proofErr w:type="spellStart"/>
      <w:r w:rsidRPr="00624665">
        <w:rPr>
          <w:rFonts w:ascii="Arial" w:eastAsiaTheme="minorHAnsi" w:hAnsi="Arial" w:cs="Arial"/>
          <w:lang w:eastAsia="en-US"/>
        </w:rPr>
        <w:t>Pzp</w:t>
      </w:r>
      <w:proofErr w:type="spellEnd"/>
      <w:r w:rsidRPr="00624665">
        <w:rPr>
          <w:rFonts w:ascii="Arial" w:eastAsiaTheme="minorHAnsi" w:hAnsi="Arial" w:cs="Arial"/>
          <w:lang w:eastAsia="en-US"/>
        </w:rPr>
        <w:t>.</w:t>
      </w:r>
    </w:p>
    <w:p w14:paraId="532EF94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4"/>
      <w:bookmarkEnd w:id="35"/>
    </w:p>
    <w:p w14:paraId="3DF60F2A" w14:textId="77777777" w:rsidR="00C802E8" w:rsidRPr="0062466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6EB04892" w:rsidR="002A7352" w:rsidRPr="00624665" w:rsidRDefault="002A7352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>
        <w:rPr>
          <w:rFonts w:ascii="Arial" w:hAnsi="Arial" w:cs="Arial"/>
        </w:rPr>
        <w:t>Cena oferty musi zostać</w:t>
      </w:r>
      <w:r w:rsidR="00736DD6">
        <w:rPr>
          <w:rFonts w:ascii="Arial" w:hAnsi="Arial" w:cs="Arial"/>
        </w:rPr>
        <w:t xml:space="preserve"> obliczona prz</w:t>
      </w:r>
      <w:r w:rsidR="00B75D22">
        <w:rPr>
          <w:rFonts w:ascii="Arial" w:hAnsi="Arial" w:cs="Arial"/>
        </w:rPr>
        <w:t xml:space="preserve">ez wskazanie w formularzu oferty: stawki podatku </w:t>
      </w:r>
      <w:r w:rsidR="00074866">
        <w:rPr>
          <w:rFonts w:ascii="Arial" w:hAnsi="Arial" w:cs="Arial"/>
        </w:rPr>
        <w:t>od towarów i usług, wskazanie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</w:t>
      </w:r>
      <w:r w:rsidR="00736DD6">
        <w:rPr>
          <w:rFonts w:ascii="Arial" w:hAnsi="Arial" w:cs="Arial"/>
        </w:rPr>
        <w:t>netto</w:t>
      </w:r>
      <w:r w:rsidR="00CF6CBB">
        <w:rPr>
          <w:rFonts w:ascii="Arial" w:hAnsi="Arial" w:cs="Arial"/>
        </w:rPr>
        <w:t xml:space="preserve"> oferowanych urządzeń, a </w:t>
      </w:r>
      <w:r w:rsidR="00163E4F">
        <w:rPr>
          <w:rFonts w:ascii="Arial" w:hAnsi="Arial" w:cs="Arial"/>
        </w:rPr>
        <w:t>następnie</w:t>
      </w:r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proofErr w:type="spellStart"/>
      <w:r w:rsidR="004F51E8">
        <w:rPr>
          <w:rFonts w:ascii="Arial" w:hAnsi="Arial" w:cs="Arial"/>
        </w:rPr>
        <w:t>i</w:t>
      </w:r>
      <w:proofErr w:type="spellEnd"/>
      <w:r w:rsidR="004F51E8">
        <w:rPr>
          <w:rFonts w:ascii="Arial" w:hAnsi="Arial" w:cs="Arial"/>
        </w:rPr>
        <w:t xml:space="preserve">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</w:p>
    <w:p w14:paraId="3F15001A" w14:textId="01F14EEA" w:rsidR="00DB022A" w:rsidRPr="00624665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</w:t>
      </w:r>
      <w:r w:rsidR="005A64E8">
        <w:rPr>
          <w:rFonts w:ascii="Arial" w:eastAsia="Calibri" w:hAnsi="Arial" w:cs="Arial"/>
        </w:rPr>
        <w:t xml:space="preserve"> niej nieujęte,</w:t>
      </w:r>
      <w:r w:rsidR="005A64E8">
        <w:rPr>
          <w:rFonts w:ascii="Arial" w:eastAsia="Calibri" w:hAnsi="Arial" w:cs="Arial"/>
        </w:rPr>
        <w:br/>
      </w:r>
      <w:r w:rsidRPr="00624665">
        <w:rPr>
          <w:rFonts w:ascii="Arial" w:eastAsia="Calibri" w:hAnsi="Arial" w:cs="Arial"/>
        </w:rPr>
        <w:t>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rancji; dostarczenia </w:t>
      </w:r>
      <w:r w:rsidR="00F60E93">
        <w:rPr>
          <w:rFonts w:ascii="Arial" w:eastAsia="Calibri" w:hAnsi="Arial" w:cs="Arial"/>
        </w:rPr>
        <w:t>wraz z pojazdem</w:t>
      </w:r>
      <w:r w:rsidR="00563EEA" w:rsidRPr="00624665">
        <w:rPr>
          <w:rFonts w:ascii="Arial" w:eastAsia="Calibri" w:hAnsi="Arial" w:cs="Arial"/>
        </w:rPr>
        <w:t xml:space="preserve"> kart gwarancyjnych zawierających numer 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904E769" w:rsidR="00DB022A" w:rsidRPr="00624665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624665">
        <w:rPr>
          <w:rFonts w:ascii="Arial" w:eastAsia="Calibri" w:hAnsi="Arial" w:cs="Arial"/>
        </w:rPr>
        <w:t>t.j</w:t>
      </w:r>
      <w:proofErr w:type="spellEnd"/>
      <w:r w:rsidRPr="00624665">
        <w:rPr>
          <w:rFonts w:ascii="Arial" w:eastAsia="Calibri" w:hAnsi="Arial" w:cs="Arial"/>
        </w:rPr>
        <w:t>. Dz. U. z 20</w:t>
      </w:r>
      <w:r w:rsidR="00736DD6">
        <w:rPr>
          <w:rFonts w:ascii="Arial" w:eastAsia="Calibri" w:hAnsi="Arial" w:cs="Arial"/>
        </w:rPr>
        <w:t xml:space="preserve">22 poz. 931 </w:t>
      </w:r>
      <w:r w:rsidRPr="00624665">
        <w:rPr>
          <w:rFonts w:ascii="Arial" w:eastAsia="Calibri" w:hAnsi="Arial" w:cs="Arial"/>
        </w:rPr>
        <w:t>ze zm.).</w:t>
      </w:r>
    </w:p>
    <w:p w14:paraId="725AE3D7" w14:textId="2945D584" w:rsidR="00DB022A" w:rsidRPr="00736DD6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Zamawiający nie dopuszcza przedstawiania ceny </w:t>
      </w:r>
      <w:r w:rsidR="00736DD6">
        <w:rPr>
          <w:rFonts w:ascii="Arial" w:eastAsia="Calibri" w:hAnsi="Arial" w:cs="Arial"/>
        </w:rPr>
        <w:t>ryczałtowej w kilku wariantach,</w:t>
      </w:r>
      <w:r w:rsidR="00736DD6">
        <w:rPr>
          <w:rFonts w:ascii="Arial" w:eastAsia="Calibri" w:hAnsi="Arial" w:cs="Arial"/>
        </w:rPr>
        <w:br/>
      </w:r>
      <w:r w:rsidRPr="00736DD6">
        <w:rPr>
          <w:rFonts w:ascii="Arial" w:eastAsia="Calibri" w:hAnsi="Arial" w:cs="Arial"/>
        </w:rPr>
        <w:t>w zależności od zastosowanych rozwiązań. W przypadku przedstawiania ceny w taki sposób oferta zostanie odrzucona.</w:t>
      </w:r>
    </w:p>
    <w:p w14:paraId="23E39A1B" w14:textId="39CA3D22" w:rsidR="00C802E8" w:rsidRPr="0062466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Rozliczenia pomiędzy </w:t>
      </w:r>
      <w:r w:rsidR="00736DD6">
        <w:rPr>
          <w:rFonts w:ascii="Arial" w:eastAsia="Calibri" w:hAnsi="Arial" w:cs="Arial"/>
        </w:rPr>
        <w:t>Z</w:t>
      </w:r>
      <w:r w:rsidRPr="00624665">
        <w:rPr>
          <w:rFonts w:ascii="Arial" w:eastAsia="Calibri" w:hAnsi="Arial" w:cs="Arial"/>
        </w:rPr>
        <w:t xml:space="preserve">amawiającym a </w:t>
      </w:r>
      <w:r w:rsidR="00736DD6">
        <w:rPr>
          <w:rFonts w:ascii="Arial" w:eastAsia="Calibri" w:hAnsi="Arial" w:cs="Arial"/>
        </w:rPr>
        <w:t>W</w:t>
      </w:r>
      <w:r w:rsidRPr="00624665">
        <w:rPr>
          <w:rFonts w:ascii="Arial" w:eastAsia="Calibri" w:hAnsi="Arial" w:cs="Arial"/>
        </w:rPr>
        <w:t>ykonawcą będą prowadzone w walucie PLN.</w:t>
      </w:r>
    </w:p>
    <w:p w14:paraId="6D9BBFF8" w14:textId="77777777" w:rsidR="00062B8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C43CC1">
      <w:pPr>
        <w:spacing w:after="0" w:line="276" w:lineRule="auto"/>
        <w:ind w:left="426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C43CC1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3"/>
      <w:r w:rsidRPr="00624665">
        <w:rPr>
          <w:rFonts w:ascii="Arial" w:hAnsi="Arial" w:cs="Arial"/>
          <w:sz w:val="22"/>
          <w:szCs w:val="22"/>
        </w:rPr>
        <w:lastRenderedPageBreak/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4765A1E7" w14:textId="77777777" w:rsid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Cena - 60 %</w:t>
      </w:r>
    </w:p>
    <w:p w14:paraId="2EEEE0C4" w14:textId="77777777" w:rsid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Wydłużenie gwarancji ponad 2 lata - 20 %</w:t>
      </w:r>
    </w:p>
    <w:p w14:paraId="2DEF1BB5" w14:textId="0666C060" w:rsidR="004332B9" w:rsidRP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Termin dostawy - 20 %</w:t>
      </w:r>
    </w:p>
    <w:p w14:paraId="7B4F63B1" w14:textId="77777777" w:rsidR="00C43CC1" w:rsidRDefault="004332B9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Sposób przyznania punktów w kryteriach:</w:t>
      </w:r>
    </w:p>
    <w:p w14:paraId="3031D95F" w14:textId="77777777" w:rsidR="00C43CC1" w:rsidRDefault="00C43CC1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</w:p>
    <w:p w14:paraId="51AE4563" w14:textId="5082422F" w:rsidR="004332B9" w:rsidRPr="00C43CC1" w:rsidRDefault="004332B9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u w:val="single"/>
          <w:lang w:eastAsia="en-US"/>
        </w:rPr>
        <w:t>Cena oferty brutto (C)</w:t>
      </w:r>
    </w:p>
    <w:p w14:paraId="25A8D0B1" w14:textId="09FFFF6C" w:rsidR="004332B9" w:rsidRPr="004332B9" w:rsidRDefault="004332B9" w:rsidP="00857815">
      <w:pPr>
        <w:spacing w:after="0" w:line="276" w:lineRule="auto"/>
        <w:ind w:left="1440"/>
        <w:jc w:val="center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C = 0,</w:t>
      </w:r>
      <w:r w:rsidR="00A632AD">
        <w:rPr>
          <w:rFonts w:ascii="Arial" w:eastAsia="Calibri" w:hAnsi="Arial" w:cs="Arial"/>
          <w:b/>
          <w:bCs/>
          <w:lang w:eastAsia="en-US"/>
        </w:rPr>
        <w:t>6</w:t>
      </w:r>
      <w:r w:rsidRPr="004332B9">
        <w:rPr>
          <w:rFonts w:ascii="Arial" w:eastAsia="Calibri" w:hAnsi="Arial" w:cs="Arial"/>
          <w:b/>
          <w:bCs/>
          <w:lang w:eastAsia="en-US"/>
        </w:rPr>
        <w:t xml:space="preserve"> x (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 xml:space="preserve"> / 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>) x 100 pkt</w:t>
      </w:r>
    </w:p>
    <w:p w14:paraId="585AD517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>gdzie:</w:t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</w:p>
    <w:p w14:paraId="2FADB570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lang w:eastAsia="en-US"/>
        </w:rPr>
        <w:t>C</w:t>
      </w:r>
      <w:r w:rsidRPr="004332B9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 xml:space="preserve">- cena brutto najniższa, </w:t>
      </w:r>
    </w:p>
    <w:p w14:paraId="36165A9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>- cena brutto oferty badanej</w:t>
      </w:r>
    </w:p>
    <w:p w14:paraId="67F34EB1" w14:textId="5AAB653B" w:rsidR="00A632AD" w:rsidRDefault="00A632AD" w:rsidP="00C43CC1">
      <w:pPr>
        <w:spacing w:after="0" w:line="276" w:lineRule="auto"/>
        <w:ind w:firstLine="426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A632AD">
        <w:rPr>
          <w:rFonts w:ascii="Arial" w:eastAsia="Calibri" w:hAnsi="Arial" w:cs="Arial"/>
          <w:b/>
          <w:u w:val="single"/>
          <w:lang w:eastAsia="en-US"/>
        </w:rPr>
        <w:t xml:space="preserve">Wydłużenie gwarancji ponad </w:t>
      </w:r>
      <w:r w:rsidR="009F00FA">
        <w:rPr>
          <w:rFonts w:ascii="Arial" w:eastAsia="Calibri" w:hAnsi="Arial" w:cs="Arial"/>
          <w:b/>
          <w:u w:val="single"/>
          <w:lang w:eastAsia="en-US"/>
        </w:rPr>
        <w:t>24 miesiące</w:t>
      </w:r>
    </w:p>
    <w:p w14:paraId="0291655A" w14:textId="77777777" w:rsidR="00A632AD" w:rsidRPr="009F00FA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</w:p>
    <w:p w14:paraId="7C1ECE3A" w14:textId="737561FA" w:rsidR="00A632AD" w:rsidRPr="009F00FA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lang w:eastAsia="en-US"/>
        </w:rPr>
      </w:pPr>
      <w:r w:rsidRPr="009F00FA">
        <w:rPr>
          <w:rFonts w:ascii="Arial" w:eastAsia="Calibri" w:hAnsi="Arial" w:cs="Arial"/>
          <w:b/>
          <w:lang w:eastAsia="en-US"/>
        </w:rPr>
        <w:t xml:space="preserve">W = ( </w:t>
      </w:r>
      <w:proofErr w:type="spellStart"/>
      <w:r w:rsidRPr="009F00FA">
        <w:rPr>
          <w:rFonts w:ascii="Arial" w:eastAsia="Calibri" w:hAnsi="Arial" w:cs="Arial"/>
          <w:b/>
          <w:lang w:eastAsia="en-US"/>
        </w:rPr>
        <w:t>W</w:t>
      </w:r>
      <w:r w:rsidRPr="009F00FA">
        <w:rPr>
          <w:rFonts w:ascii="Arial" w:eastAsia="Calibri" w:hAnsi="Arial" w:cs="Arial"/>
          <w:b/>
          <w:vertAlign w:val="subscript"/>
          <w:lang w:eastAsia="en-US"/>
        </w:rPr>
        <w:t>gof</w:t>
      </w:r>
      <w:proofErr w:type="spellEnd"/>
      <w:r w:rsidRPr="009F00FA">
        <w:rPr>
          <w:rFonts w:ascii="Arial" w:eastAsia="Calibri" w:hAnsi="Arial" w:cs="Arial"/>
          <w:b/>
          <w:lang w:eastAsia="en-US"/>
        </w:rPr>
        <w:t>/</w:t>
      </w:r>
      <w:proofErr w:type="spellStart"/>
      <w:r w:rsidRPr="009F00FA">
        <w:rPr>
          <w:rFonts w:ascii="Arial" w:eastAsia="Calibri" w:hAnsi="Arial" w:cs="Arial"/>
          <w:b/>
          <w:lang w:eastAsia="en-US"/>
        </w:rPr>
        <w:t>Wg</w:t>
      </w:r>
      <w:r w:rsidRPr="009F00FA">
        <w:rPr>
          <w:rFonts w:ascii="Arial" w:eastAsia="Calibri" w:hAnsi="Arial" w:cs="Arial"/>
          <w:b/>
          <w:vertAlign w:val="subscript"/>
          <w:lang w:eastAsia="en-US"/>
        </w:rPr>
        <w:t>max</w:t>
      </w:r>
      <w:proofErr w:type="spellEnd"/>
      <w:r w:rsidRPr="009F00FA">
        <w:rPr>
          <w:rFonts w:ascii="Arial" w:eastAsia="Calibri" w:hAnsi="Arial" w:cs="Arial"/>
          <w:b/>
          <w:lang w:eastAsia="en-US"/>
        </w:rPr>
        <w:t xml:space="preserve"> ) * 100 * </w:t>
      </w:r>
      <w:r w:rsidR="009F00FA" w:rsidRPr="009F00FA">
        <w:rPr>
          <w:rFonts w:ascii="Arial" w:eastAsia="Calibri" w:hAnsi="Arial" w:cs="Arial"/>
          <w:b/>
          <w:lang w:eastAsia="en-US"/>
        </w:rPr>
        <w:t>0,2</w:t>
      </w:r>
    </w:p>
    <w:p w14:paraId="44DA7B36" w14:textId="77777777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>gdzie:</w:t>
      </w:r>
    </w:p>
    <w:p w14:paraId="2C3E982E" w14:textId="46F56B5F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A632AD">
        <w:rPr>
          <w:rFonts w:ascii="Arial" w:eastAsia="Calibri" w:hAnsi="Arial" w:cs="Arial"/>
          <w:lang w:eastAsia="en-US"/>
        </w:rPr>
        <w:t>Wg</w:t>
      </w:r>
      <w:r w:rsidRPr="00A632AD">
        <w:rPr>
          <w:rFonts w:ascii="Arial" w:eastAsia="Calibri" w:hAnsi="Arial" w:cs="Arial"/>
          <w:vertAlign w:val="subscript"/>
          <w:lang w:eastAsia="en-US"/>
        </w:rPr>
        <w:t>of</w:t>
      </w:r>
      <w:proofErr w:type="spellEnd"/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>–</w:t>
      </w:r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 xml:space="preserve">wydłużenie okresu gwarancji ponad 24 miesiące </w:t>
      </w:r>
      <w:r w:rsidRPr="00A632AD">
        <w:rPr>
          <w:rFonts w:ascii="Arial" w:eastAsia="Calibri" w:hAnsi="Arial" w:cs="Arial"/>
          <w:lang w:eastAsia="en-US"/>
        </w:rPr>
        <w:t>podan</w:t>
      </w:r>
      <w:r w:rsidR="009F00FA">
        <w:rPr>
          <w:rFonts w:ascii="Arial" w:eastAsia="Calibri" w:hAnsi="Arial" w:cs="Arial"/>
          <w:lang w:eastAsia="en-US"/>
        </w:rPr>
        <w:t>e</w:t>
      </w:r>
      <w:r w:rsidRPr="00A632AD">
        <w:rPr>
          <w:rFonts w:ascii="Arial" w:eastAsia="Calibri" w:hAnsi="Arial" w:cs="Arial"/>
          <w:lang w:eastAsia="en-US"/>
        </w:rPr>
        <w:t xml:space="preserve"> w ofercie </w:t>
      </w:r>
      <w:r w:rsidR="009F00FA">
        <w:rPr>
          <w:rFonts w:ascii="Arial" w:eastAsia="Calibri" w:hAnsi="Arial" w:cs="Arial"/>
          <w:lang w:eastAsia="en-US"/>
        </w:rPr>
        <w:t>badane</w:t>
      </w:r>
    </w:p>
    <w:p w14:paraId="7860F31A" w14:textId="2C368641" w:rsid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A632AD">
        <w:rPr>
          <w:rFonts w:ascii="Arial" w:eastAsia="Calibri" w:hAnsi="Arial" w:cs="Arial"/>
          <w:lang w:eastAsia="en-US"/>
        </w:rPr>
        <w:t>Wg</w:t>
      </w:r>
      <w:r w:rsidRPr="00A632AD">
        <w:rPr>
          <w:rFonts w:ascii="Arial" w:eastAsia="Calibri" w:hAnsi="Arial" w:cs="Arial"/>
          <w:vertAlign w:val="subscript"/>
          <w:lang w:eastAsia="en-US"/>
        </w:rPr>
        <w:t>max</w:t>
      </w:r>
      <w:proofErr w:type="spellEnd"/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>–</w:t>
      </w:r>
      <w:r w:rsidRPr="00A632AD">
        <w:rPr>
          <w:rFonts w:ascii="Arial" w:eastAsia="Calibri" w:hAnsi="Arial" w:cs="Arial"/>
          <w:lang w:eastAsia="en-US"/>
        </w:rPr>
        <w:t xml:space="preserve"> najwyższ</w:t>
      </w:r>
      <w:r w:rsidR="00114B20">
        <w:rPr>
          <w:rFonts w:ascii="Arial" w:eastAsia="Calibri" w:hAnsi="Arial" w:cs="Arial"/>
          <w:lang w:eastAsia="en-US"/>
        </w:rPr>
        <w:t>e wydłużenie okresu gwarancji ponad 24 miesiące</w:t>
      </w:r>
      <w:r w:rsidRPr="00A632AD">
        <w:rPr>
          <w:rFonts w:ascii="Arial" w:eastAsia="Calibri" w:hAnsi="Arial" w:cs="Arial"/>
          <w:lang w:eastAsia="en-US"/>
        </w:rPr>
        <w:t xml:space="preserve"> spośród wszystkich ofert </w:t>
      </w:r>
    </w:p>
    <w:p w14:paraId="54BC65B5" w14:textId="77777777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</w:p>
    <w:p w14:paraId="530E8D6E" w14:textId="77777777" w:rsidR="00C43CC1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>Minimalny dopuszczalny okres gwarancji to 24 m</w:t>
      </w:r>
      <w:r>
        <w:rPr>
          <w:rFonts w:ascii="Arial" w:eastAsia="Calibri" w:hAnsi="Arial" w:cs="Arial"/>
          <w:lang w:eastAsia="en-US"/>
        </w:rPr>
        <w:t xml:space="preserve">iesiące; oferta wykonawcy, </w:t>
      </w:r>
      <w:r w:rsidRPr="00A632AD">
        <w:rPr>
          <w:rFonts w:ascii="Arial" w:eastAsia="Calibri" w:hAnsi="Arial" w:cs="Arial"/>
          <w:lang w:eastAsia="en-US"/>
        </w:rPr>
        <w:t>kt</w:t>
      </w:r>
      <w:r>
        <w:rPr>
          <w:rFonts w:ascii="Arial" w:eastAsia="Calibri" w:hAnsi="Arial" w:cs="Arial"/>
          <w:lang w:eastAsia="en-US"/>
        </w:rPr>
        <w:t>óry wskaże taki okres gwarancji, otrzymana 0 pkt.</w:t>
      </w:r>
      <w:r w:rsidRPr="00A632AD">
        <w:rPr>
          <w:rFonts w:ascii="Arial" w:eastAsia="Calibri" w:hAnsi="Arial" w:cs="Arial"/>
          <w:lang w:eastAsia="en-US"/>
        </w:rPr>
        <w:t xml:space="preserve"> </w:t>
      </w:r>
    </w:p>
    <w:p w14:paraId="33153129" w14:textId="77777777" w:rsidR="00C43CC1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Oferta wykonawcy, który zaoferuje okres gwarancji niż 24 miesiące, zostanie odrzucona. </w:t>
      </w:r>
    </w:p>
    <w:p w14:paraId="2B48B77E" w14:textId="02A5F0D8" w:rsidR="00A632AD" w:rsidRPr="00A632AD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Maksymalny łączny </w:t>
      </w:r>
      <w:r>
        <w:rPr>
          <w:rFonts w:ascii="Arial" w:eastAsia="Calibri" w:hAnsi="Arial" w:cs="Arial"/>
          <w:lang w:eastAsia="en-US"/>
        </w:rPr>
        <w:t xml:space="preserve">okres gwarancji to 60 miesięcy; oferta wykonawcy, który zaoferuje dłuższy </w:t>
      </w:r>
      <w:r w:rsidR="009F00FA">
        <w:rPr>
          <w:rFonts w:ascii="Arial" w:eastAsia="Calibri" w:hAnsi="Arial" w:cs="Arial"/>
          <w:lang w:eastAsia="en-US"/>
        </w:rPr>
        <w:t xml:space="preserve">okres, będzie oceniona tak, jakby zawierała okres gwarancji nieprzekraczający 60 miesięcy, natomiast do umowy zostanie wpisany okres wskazany w ofercie. </w:t>
      </w:r>
    </w:p>
    <w:p w14:paraId="5BF80364" w14:textId="77777777" w:rsid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</w:p>
    <w:p w14:paraId="71570595" w14:textId="4BF4FF33" w:rsidR="00A632AD" w:rsidRPr="004332B9" w:rsidRDefault="004332B9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4332B9">
        <w:rPr>
          <w:rFonts w:ascii="Arial" w:eastAsia="Calibri" w:hAnsi="Arial" w:cs="Arial"/>
          <w:b/>
          <w:u w:val="single"/>
          <w:lang w:eastAsia="en-US"/>
        </w:rPr>
        <w:t>Termin realizacji przedmiotu zamówienia (T)</w:t>
      </w:r>
      <w:r w:rsidR="009F00FA">
        <w:rPr>
          <w:rFonts w:ascii="Arial" w:eastAsia="Calibri" w:hAnsi="Arial" w:cs="Arial"/>
          <w:b/>
          <w:u w:val="single"/>
          <w:lang w:eastAsia="en-US"/>
        </w:rPr>
        <w:t xml:space="preserve"> liczony od dnia podpisania umowy</w:t>
      </w:r>
    </w:p>
    <w:p w14:paraId="362A5D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p w14:paraId="35178F67" w14:textId="77777777" w:rsidR="009F00FA" w:rsidRPr="009F00FA" w:rsidRDefault="009F00FA" w:rsidP="00C43CC1">
      <w:pPr>
        <w:spacing w:line="276" w:lineRule="auto"/>
        <w:ind w:firstLine="426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>Punktacja:</w:t>
      </w:r>
    </w:p>
    <w:p w14:paraId="63E52A0C" w14:textId="1B461963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 xml:space="preserve">od 166 do 170 dni </w:t>
      </w:r>
      <w:r w:rsidRPr="009F00FA">
        <w:rPr>
          <w:rFonts w:ascii="Arial" w:eastAsia="Calibri" w:hAnsi="Arial" w:cs="Arial"/>
          <w:lang w:eastAsia="en-US"/>
        </w:rPr>
        <w:t xml:space="preserve"> - 0 pkt</w:t>
      </w:r>
    </w:p>
    <w:p w14:paraId="698B0113" w14:textId="29095E50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Dostawa od 151 do</w:t>
      </w:r>
      <w:r w:rsidRPr="009F00FA">
        <w:rPr>
          <w:rFonts w:ascii="Arial" w:eastAsia="Calibri" w:hAnsi="Arial" w:cs="Arial"/>
          <w:lang w:eastAsia="en-US"/>
        </w:rPr>
        <w:t xml:space="preserve"> 16</w:t>
      </w:r>
      <w:r>
        <w:rPr>
          <w:rFonts w:ascii="Arial" w:eastAsia="Calibri" w:hAnsi="Arial" w:cs="Arial"/>
          <w:lang w:eastAsia="en-US"/>
        </w:rPr>
        <w:t>5</w:t>
      </w:r>
      <w:r w:rsidRPr="009F00FA">
        <w:rPr>
          <w:rFonts w:ascii="Arial" w:eastAsia="Calibri" w:hAnsi="Arial" w:cs="Arial"/>
          <w:lang w:eastAsia="en-US"/>
        </w:rPr>
        <w:t xml:space="preserve"> dni - 5 pkt</w:t>
      </w:r>
    </w:p>
    <w:p w14:paraId="14B51344" w14:textId="0F402DC9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>od 136 do</w:t>
      </w:r>
      <w:r w:rsidRPr="009F00FA">
        <w:rPr>
          <w:rFonts w:ascii="Arial" w:eastAsia="Calibri" w:hAnsi="Arial" w:cs="Arial"/>
          <w:lang w:eastAsia="en-US"/>
        </w:rPr>
        <w:t xml:space="preserve"> 150 dni- 10 pkt</w:t>
      </w:r>
    </w:p>
    <w:p w14:paraId="01B0D79F" w14:textId="6D149938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>od 121 do</w:t>
      </w:r>
      <w:r w:rsidRPr="009F00FA">
        <w:rPr>
          <w:rFonts w:ascii="Arial" w:eastAsia="Calibri" w:hAnsi="Arial" w:cs="Arial"/>
          <w:lang w:eastAsia="en-US"/>
        </w:rPr>
        <w:t xml:space="preserve"> 135 dni- 15 pkt </w:t>
      </w:r>
    </w:p>
    <w:p w14:paraId="784C9FE9" w14:textId="317D698F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Dostawa do </w:t>
      </w:r>
      <w:r w:rsidRPr="009F00FA">
        <w:rPr>
          <w:rFonts w:ascii="Arial" w:eastAsia="Calibri" w:hAnsi="Arial" w:cs="Arial"/>
          <w:lang w:eastAsia="en-US"/>
        </w:rPr>
        <w:t>120 dni - 20 pkt</w:t>
      </w:r>
    </w:p>
    <w:p w14:paraId="32FC1F5C" w14:textId="060D3958" w:rsidR="004332B9" w:rsidRPr="004332B9" w:rsidRDefault="00E60E9C" w:rsidP="00C43CC1">
      <w:pPr>
        <w:spacing w:line="276" w:lineRule="auto"/>
        <w:ind w:left="426"/>
        <w:outlineLvl w:val="1"/>
        <w:rPr>
          <w:rFonts w:ascii="Arial" w:eastAsia="Calibri" w:hAnsi="Arial" w:cs="Arial"/>
          <w:lang w:eastAsia="en-US"/>
        </w:rPr>
      </w:pPr>
      <w:r w:rsidRPr="00E60E9C">
        <w:rPr>
          <w:rFonts w:ascii="Arial" w:eastAsia="Calibri" w:hAnsi="Arial" w:cs="Arial"/>
          <w:lang w:eastAsia="en-US"/>
        </w:rPr>
        <w:t xml:space="preserve">W przypadku braku podania w Formularzu ofertowym informacji dotyczącej deklarowanego terminu realizacji lub zaznaczenia więcej niż jednej możliwości wyboru (deklaracji) oferta Wykonawcy otrzyma zero (0) punktów w kryterium, a Wykonawca będzie związany maksymalnym terminem określonym w SWZ, tj. </w:t>
      </w:r>
      <w:r w:rsidR="009F00FA">
        <w:rPr>
          <w:rFonts w:ascii="Arial" w:eastAsia="Calibri" w:hAnsi="Arial" w:cs="Arial"/>
          <w:lang w:eastAsia="en-US"/>
        </w:rPr>
        <w:t xml:space="preserve">170 dni od dnia podpisania umowy. </w:t>
      </w:r>
    </w:p>
    <w:p w14:paraId="0D4BE750" w14:textId="772CF40F" w:rsidR="004332B9" w:rsidRPr="004332B9" w:rsidRDefault="004332B9" w:rsidP="00C43CC1">
      <w:pPr>
        <w:autoSpaceDE w:val="0"/>
        <w:autoSpaceDN w:val="0"/>
        <w:adjustRightInd w:val="0"/>
        <w:spacing w:line="259" w:lineRule="auto"/>
        <w:ind w:left="426"/>
        <w:rPr>
          <w:rFonts w:ascii="Arial" w:eastAsia="Calibri" w:hAnsi="Arial" w:cs="Arial"/>
          <w:color w:val="000000"/>
          <w:lang w:eastAsia="en-US"/>
        </w:rPr>
      </w:pPr>
      <w:r w:rsidRPr="004332B9">
        <w:rPr>
          <w:rFonts w:ascii="Arial" w:eastAsia="Calibri" w:hAnsi="Arial" w:cs="Arial"/>
          <w:color w:val="000000"/>
          <w:lang w:eastAsia="en-US"/>
        </w:rPr>
        <w:t>Za ofertę najkorzystniejszą Zamawiający uzna ofertę, której zostanie przyznana najwyższa ilość punktów w ramach powyższych kryteriów: S=C+</w:t>
      </w:r>
      <w:r w:rsidR="00AC5D6A">
        <w:rPr>
          <w:rFonts w:ascii="Arial" w:eastAsia="Calibri" w:hAnsi="Arial" w:cs="Arial"/>
          <w:color w:val="000000"/>
          <w:lang w:eastAsia="en-US"/>
        </w:rPr>
        <w:t>W+</w:t>
      </w:r>
      <w:r w:rsidRPr="004332B9">
        <w:rPr>
          <w:rFonts w:ascii="Arial" w:eastAsia="Calibri" w:hAnsi="Arial" w:cs="Arial"/>
          <w:color w:val="000000"/>
          <w:lang w:eastAsia="en-US"/>
        </w:rPr>
        <w:t>T</w:t>
      </w:r>
    </w:p>
    <w:p w14:paraId="62889611" w14:textId="77777777" w:rsid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4332B9">
        <w:rPr>
          <w:rFonts w:ascii="Arial" w:hAnsi="Arial" w:cs="Arial"/>
        </w:rPr>
        <w:t xml:space="preserve">W celu obliczenia punktów wyniki poszczególnych działań matematycznych będą zaokrąglane do dwóch miejsc po przecinku. </w:t>
      </w:r>
    </w:p>
    <w:p w14:paraId="4E5BC1B1" w14:textId="77777777" w:rsidR="00C43CC1" w:rsidRP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C43CC1">
        <w:rPr>
          <w:rFonts w:ascii="Arial" w:hAnsi="Arial" w:cs="Arial"/>
          <w:bCs/>
        </w:rPr>
        <w:lastRenderedPageBreak/>
        <w:t xml:space="preserve">W toku dokonywania badania i oceny ofert Zamawiający może żądać udzielenia przez </w:t>
      </w:r>
      <w:r w:rsidRPr="00C43CC1">
        <w:rPr>
          <w:rFonts w:ascii="Arial" w:hAnsi="Arial" w:cs="Arial"/>
          <w:bCs/>
        </w:rPr>
        <w:br/>
        <w:t>wykonawców wyjaśnień treści złożonych przez nich ofert.</w:t>
      </w:r>
    </w:p>
    <w:p w14:paraId="1BF085F5" w14:textId="6B198DA4" w:rsidR="00190883" w:rsidRP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C43CC1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0B1917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0B191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odpowiada wszystkim wymaganiom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2A9EE5AD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. </w:t>
      </w:r>
    </w:p>
    <w:p w14:paraId="6581BABB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3CE575AB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).</w:t>
      </w:r>
    </w:p>
    <w:p w14:paraId="320191A7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6EC1181D" w14:textId="0BCF1E5D" w:rsidR="00CE771C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395240DF" w14:textId="77777777" w:rsidR="00C43CC1" w:rsidRPr="0027530F" w:rsidRDefault="00C43CC1" w:rsidP="00C43CC1">
      <w:pPr>
        <w:spacing w:after="0" w:line="276" w:lineRule="auto"/>
        <w:ind w:left="426"/>
        <w:rPr>
          <w:rFonts w:ascii="Arial" w:hAnsi="Arial" w:cs="Arial"/>
        </w:rPr>
      </w:pPr>
    </w:p>
    <w:p w14:paraId="00C6F8C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C43CC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60505EFE" w14:textId="77777777" w:rsidR="007A5E89" w:rsidRPr="003F1189" w:rsidRDefault="001969FA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54978B47" w:rsidR="00AD045F" w:rsidRDefault="005B600C" w:rsidP="00C43CC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54C70BC4" w14:textId="77777777" w:rsidR="000B1917" w:rsidRPr="00624665" w:rsidRDefault="000B1917" w:rsidP="000B1917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</w:p>
    <w:p w14:paraId="3D0A33E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C43C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C43C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C43CC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A5F54A8" w14:textId="77777777" w:rsidR="006B29BE" w:rsidRPr="003F1189" w:rsidRDefault="00470B0B" w:rsidP="00C43CC1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C43CC1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624665">
        <w:rPr>
          <w:rFonts w:ascii="Arial" w:hAnsi="Arial" w:cs="Arial"/>
          <w:bCs/>
        </w:rPr>
        <w:t>P</w:t>
      </w:r>
      <w:r w:rsidR="00A333CC" w:rsidRPr="00624665">
        <w:rPr>
          <w:rFonts w:ascii="Arial" w:hAnsi="Arial" w:cs="Arial"/>
          <w:bCs/>
        </w:rPr>
        <w:t>zp</w:t>
      </w:r>
      <w:proofErr w:type="spellEnd"/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42E12F2B" w14:textId="77777777" w:rsidR="006B29BE" w:rsidRDefault="006B29BE" w:rsidP="00C43CC1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5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0B1917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C7074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4FC16050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183BB91A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w związku z art. 17 ust. 3 lit. b, d lub e RODO prawo do usunięcia danych osobowych;</w:t>
      </w:r>
    </w:p>
    <w:p w14:paraId="1EF62AB2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C70743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 oraz nie może naruszać integralności protokołu oraz jego załączników.</w:t>
      </w:r>
    </w:p>
    <w:p w14:paraId="1A68D585" w14:textId="77777777" w:rsidR="00854A46" w:rsidRDefault="00854A46" w:rsidP="00C70743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5A7CE77F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załącznik nr 3 – </w:t>
      </w:r>
      <w:r w:rsidR="00AC5D6A" w:rsidRPr="00AC5D6A">
        <w:rPr>
          <w:rFonts w:ascii="Arial" w:hAnsi="Arial" w:cs="Arial"/>
        </w:rPr>
        <w:t>Tabela – Opis wymagań technicznych</w:t>
      </w:r>
      <w:r w:rsidRPr="00624665">
        <w:rPr>
          <w:rFonts w:ascii="Arial" w:hAnsi="Arial" w:cs="Arial"/>
        </w:rPr>
        <w:t>,</w:t>
      </w:r>
    </w:p>
    <w:p w14:paraId="325D2A17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22BCA555" w:rsidR="00867277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</w:p>
    <w:p w14:paraId="7489D840" w14:textId="3D0A48EC" w:rsidR="002641A1" w:rsidRPr="0069721C" w:rsidRDefault="002641A1" w:rsidP="00C70743">
      <w:pPr>
        <w:pStyle w:val="Bezodstpw"/>
        <w:spacing w:line="276" w:lineRule="auto"/>
        <w:ind w:left="851" w:hanging="425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CC43" w16cex:dateUtc="2023-05-17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A3AF0" w16cid:durableId="280FC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C3D3" w14:textId="77777777" w:rsidR="00A62912" w:rsidRDefault="00A62912">
      <w:pPr>
        <w:spacing w:after="0" w:line="240" w:lineRule="auto"/>
      </w:pPr>
      <w:r>
        <w:separator/>
      </w:r>
    </w:p>
  </w:endnote>
  <w:endnote w:type="continuationSeparator" w:id="0">
    <w:p w14:paraId="75D0B003" w14:textId="77777777" w:rsidR="00A62912" w:rsidRDefault="00A6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0427E863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C604F">
      <w:rPr>
        <w:rFonts w:ascii="Times New Roman" w:hAnsi="Times New Roman"/>
        <w:b/>
        <w:noProof/>
        <w:sz w:val="18"/>
        <w:szCs w:val="18"/>
      </w:rPr>
      <w:t>10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35C3" w14:textId="77777777" w:rsidR="00A62912" w:rsidRDefault="00A62912">
      <w:pPr>
        <w:spacing w:after="0" w:line="240" w:lineRule="auto"/>
      </w:pPr>
      <w:r>
        <w:separator/>
      </w:r>
    </w:p>
  </w:footnote>
  <w:footnote w:type="continuationSeparator" w:id="0">
    <w:p w14:paraId="0559BF45" w14:textId="77777777" w:rsidR="00A62912" w:rsidRDefault="00A6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57245C96"/>
    <w:lvl w:ilvl="0" w:tplc="4B9E7D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78E7"/>
    <w:multiLevelType w:val="hybridMultilevel"/>
    <w:tmpl w:val="736A09DC"/>
    <w:lvl w:ilvl="0" w:tplc="AB4AD17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FD5DA0"/>
    <w:multiLevelType w:val="hybridMultilevel"/>
    <w:tmpl w:val="0FE89148"/>
    <w:lvl w:ilvl="0" w:tplc="5DB8EB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8200A1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86F84"/>
    <w:multiLevelType w:val="multilevel"/>
    <w:tmpl w:val="904091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  <w:b w:val="0"/>
        <w:bCs/>
        <w:strike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2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180D94"/>
    <w:multiLevelType w:val="hybridMultilevel"/>
    <w:tmpl w:val="44F27B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4F5FC5"/>
    <w:multiLevelType w:val="hybridMultilevel"/>
    <w:tmpl w:val="7AFC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7CCF716A"/>
    <w:multiLevelType w:val="hybridMultilevel"/>
    <w:tmpl w:val="5B5A1CBC"/>
    <w:lvl w:ilvl="0" w:tplc="E2CE9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2"/>
  </w:num>
  <w:num w:numId="3">
    <w:abstractNumId w:val="1"/>
  </w:num>
  <w:num w:numId="4">
    <w:abstractNumId w:val="77"/>
  </w:num>
  <w:num w:numId="5">
    <w:abstractNumId w:val="40"/>
  </w:num>
  <w:num w:numId="6">
    <w:abstractNumId w:val="85"/>
  </w:num>
  <w:num w:numId="7">
    <w:abstractNumId w:val="81"/>
  </w:num>
  <w:num w:numId="8">
    <w:abstractNumId w:val="46"/>
  </w:num>
  <w:num w:numId="9">
    <w:abstractNumId w:val="58"/>
  </w:num>
  <w:num w:numId="10">
    <w:abstractNumId w:val="41"/>
  </w:num>
  <w:num w:numId="11">
    <w:abstractNumId w:val="39"/>
  </w:num>
  <w:num w:numId="12">
    <w:abstractNumId w:val="16"/>
  </w:num>
  <w:num w:numId="13">
    <w:abstractNumId w:val="55"/>
  </w:num>
  <w:num w:numId="14">
    <w:abstractNumId w:val="83"/>
  </w:num>
  <w:num w:numId="15">
    <w:abstractNumId w:val="95"/>
  </w:num>
  <w:num w:numId="16">
    <w:abstractNumId w:val="80"/>
  </w:num>
  <w:num w:numId="17">
    <w:abstractNumId w:val="18"/>
  </w:num>
  <w:num w:numId="18">
    <w:abstractNumId w:val="59"/>
  </w:num>
  <w:num w:numId="19">
    <w:abstractNumId w:val="8"/>
  </w:num>
  <w:num w:numId="20">
    <w:abstractNumId w:val="20"/>
  </w:num>
  <w:num w:numId="21">
    <w:abstractNumId w:val="92"/>
  </w:num>
  <w:num w:numId="22">
    <w:abstractNumId w:val="94"/>
  </w:num>
  <w:num w:numId="23">
    <w:abstractNumId w:val="34"/>
  </w:num>
  <w:num w:numId="24">
    <w:abstractNumId w:val="24"/>
  </w:num>
  <w:num w:numId="25">
    <w:abstractNumId w:val="32"/>
  </w:num>
  <w:num w:numId="26">
    <w:abstractNumId w:val="42"/>
  </w:num>
  <w:num w:numId="27">
    <w:abstractNumId w:val="38"/>
  </w:num>
  <w:num w:numId="28">
    <w:abstractNumId w:val="5"/>
  </w:num>
  <w:num w:numId="29">
    <w:abstractNumId w:val="12"/>
  </w:num>
  <w:num w:numId="30">
    <w:abstractNumId w:val="6"/>
  </w:num>
  <w:num w:numId="31">
    <w:abstractNumId w:val="21"/>
  </w:num>
  <w:num w:numId="32">
    <w:abstractNumId w:val="44"/>
  </w:num>
  <w:num w:numId="33">
    <w:abstractNumId w:val="36"/>
  </w:num>
  <w:num w:numId="34">
    <w:abstractNumId w:val="69"/>
  </w:num>
  <w:num w:numId="35">
    <w:abstractNumId w:val="60"/>
  </w:num>
  <w:num w:numId="36">
    <w:abstractNumId w:val="51"/>
  </w:num>
  <w:num w:numId="37">
    <w:abstractNumId w:val="22"/>
  </w:num>
  <w:num w:numId="38">
    <w:abstractNumId w:val="35"/>
  </w:num>
  <w:num w:numId="39">
    <w:abstractNumId w:val="54"/>
  </w:num>
  <w:num w:numId="40">
    <w:abstractNumId w:val="49"/>
  </w:num>
  <w:num w:numId="41">
    <w:abstractNumId w:val="25"/>
  </w:num>
  <w:num w:numId="42">
    <w:abstractNumId w:val="73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7"/>
  </w:num>
  <w:num w:numId="46">
    <w:abstractNumId w:val="91"/>
  </w:num>
  <w:num w:numId="47">
    <w:abstractNumId w:val="66"/>
  </w:num>
  <w:num w:numId="48">
    <w:abstractNumId w:val="68"/>
  </w:num>
  <w:num w:numId="49">
    <w:abstractNumId w:val="15"/>
  </w:num>
  <w:num w:numId="50">
    <w:abstractNumId w:val="76"/>
  </w:num>
  <w:num w:numId="51">
    <w:abstractNumId w:val="31"/>
  </w:num>
  <w:num w:numId="52">
    <w:abstractNumId w:val="86"/>
  </w:num>
  <w:num w:numId="53">
    <w:abstractNumId w:val="4"/>
  </w:num>
  <w:num w:numId="54">
    <w:abstractNumId w:val="88"/>
  </w:num>
  <w:num w:numId="55">
    <w:abstractNumId w:val="93"/>
  </w:num>
  <w:num w:numId="56">
    <w:abstractNumId w:val="23"/>
  </w:num>
  <w:num w:numId="57">
    <w:abstractNumId w:val="17"/>
  </w:num>
  <w:num w:numId="58">
    <w:abstractNumId w:val="19"/>
  </w:num>
  <w:num w:numId="59">
    <w:abstractNumId w:val="26"/>
  </w:num>
  <w:num w:numId="60">
    <w:abstractNumId w:val="65"/>
  </w:num>
  <w:num w:numId="61">
    <w:abstractNumId w:val="71"/>
  </w:num>
  <w:num w:numId="62">
    <w:abstractNumId w:val="63"/>
  </w:num>
  <w:num w:numId="63">
    <w:abstractNumId w:val="87"/>
  </w:num>
  <w:num w:numId="64">
    <w:abstractNumId w:val="50"/>
  </w:num>
  <w:num w:numId="65">
    <w:abstractNumId w:val="33"/>
  </w:num>
  <w:num w:numId="66">
    <w:abstractNumId w:val="14"/>
  </w:num>
  <w:num w:numId="67">
    <w:abstractNumId w:val="82"/>
  </w:num>
  <w:num w:numId="68">
    <w:abstractNumId w:val="53"/>
  </w:num>
  <w:num w:numId="69">
    <w:abstractNumId w:val="64"/>
  </w:num>
  <w:num w:numId="70">
    <w:abstractNumId w:val="74"/>
  </w:num>
  <w:num w:numId="71">
    <w:abstractNumId w:val="75"/>
  </w:num>
  <w:num w:numId="72">
    <w:abstractNumId w:val="79"/>
  </w:num>
  <w:num w:numId="73">
    <w:abstractNumId w:val="48"/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56"/>
  </w:num>
  <w:num w:numId="77">
    <w:abstractNumId w:val="43"/>
  </w:num>
  <w:num w:numId="78">
    <w:abstractNumId w:val="2"/>
  </w:num>
  <w:num w:numId="79">
    <w:abstractNumId w:val="45"/>
  </w:num>
  <w:num w:numId="80">
    <w:abstractNumId w:val="84"/>
  </w:num>
  <w:num w:numId="81">
    <w:abstractNumId w:val="37"/>
  </w:num>
  <w:num w:numId="82">
    <w:abstractNumId w:val="27"/>
  </w:num>
  <w:num w:numId="83">
    <w:abstractNumId w:val="57"/>
  </w:num>
  <w:num w:numId="84">
    <w:abstractNumId w:val="29"/>
  </w:num>
  <w:num w:numId="85">
    <w:abstractNumId w:val="47"/>
  </w:num>
  <w:num w:numId="86">
    <w:abstractNumId w:val="9"/>
  </w:num>
  <w:num w:numId="87">
    <w:abstractNumId w:val="30"/>
  </w:num>
  <w:num w:numId="88">
    <w:abstractNumId w:val="3"/>
  </w:num>
  <w:num w:numId="89">
    <w:abstractNumId w:val="67"/>
  </w:num>
  <w:num w:numId="90">
    <w:abstractNumId w:val="89"/>
  </w:num>
  <w:num w:numId="91">
    <w:abstractNumId w:val="10"/>
  </w:num>
  <w:num w:numId="92">
    <w:abstractNumId w:val="90"/>
  </w:num>
  <w:num w:numId="93">
    <w:abstractNumId w:val="13"/>
  </w:num>
  <w:num w:numId="94">
    <w:abstractNumId w:val="70"/>
  </w:num>
  <w:num w:numId="95">
    <w:abstractNumId w:val="6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5912"/>
    <w:rsid w:val="000A6165"/>
    <w:rsid w:val="000A7F07"/>
    <w:rsid w:val="000B1917"/>
    <w:rsid w:val="000B2CA5"/>
    <w:rsid w:val="000B31E3"/>
    <w:rsid w:val="000B48D3"/>
    <w:rsid w:val="000B73CF"/>
    <w:rsid w:val="000B78FD"/>
    <w:rsid w:val="000B7F09"/>
    <w:rsid w:val="000C06BC"/>
    <w:rsid w:val="000C0BA2"/>
    <w:rsid w:val="000C2E2A"/>
    <w:rsid w:val="000C5835"/>
    <w:rsid w:val="000D1587"/>
    <w:rsid w:val="000D3375"/>
    <w:rsid w:val="000D3FAC"/>
    <w:rsid w:val="000D5B3C"/>
    <w:rsid w:val="000D61E8"/>
    <w:rsid w:val="000E11CF"/>
    <w:rsid w:val="000E746F"/>
    <w:rsid w:val="000F0754"/>
    <w:rsid w:val="000F4F37"/>
    <w:rsid w:val="001003CF"/>
    <w:rsid w:val="00102A50"/>
    <w:rsid w:val="0010343D"/>
    <w:rsid w:val="0011382C"/>
    <w:rsid w:val="00114979"/>
    <w:rsid w:val="00114A96"/>
    <w:rsid w:val="00114B20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3B87"/>
    <w:rsid w:val="00154E4B"/>
    <w:rsid w:val="00155439"/>
    <w:rsid w:val="00155512"/>
    <w:rsid w:val="001615CA"/>
    <w:rsid w:val="001628CF"/>
    <w:rsid w:val="00162B31"/>
    <w:rsid w:val="001631FB"/>
    <w:rsid w:val="00163E4F"/>
    <w:rsid w:val="00164BEA"/>
    <w:rsid w:val="00164C20"/>
    <w:rsid w:val="001670D5"/>
    <w:rsid w:val="00172F0A"/>
    <w:rsid w:val="00182544"/>
    <w:rsid w:val="001845E9"/>
    <w:rsid w:val="001870C7"/>
    <w:rsid w:val="00190883"/>
    <w:rsid w:val="001932F9"/>
    <w:rsid w:val="00194B1F"/>
    <w:rsid w:val="001969FA"/>
    <w:rsid w:val="001A5FD1"/>
    <w:rsid w:val="001A7713"/>
    <w:rsid w:val="001B0B5A"/>
    <w:rsid w:val="001B3397"/>
    <w:rsid w:val="001B377A"/>
    <w:rsid w:val="001B3C9B"/>
    <w:rsid w:val="001B58E2"/>
    <w:rsid w:val="001B7A05"/>
    <w:rsid w:val="001B7D00"/>
    <w:rsid w:val="001C267B"/>
    <w:rsid w:val="001C3D32"/>
    <w:rsid w:val="001C4971"/>
    <w:rsid w:val="001C6177"/>
    <w:rsid w:val="001D1A5C"/>
    <w:rsid w:val="001D2CCE"/>
    <w:rsid w:val="001D48A7"/>
    <w:rsid w:val="001E35AA"/>
    <w:rsid w:val="001E4679"/>
    <w:rsid w:val="001F0C96"/>
    <w:rsid w:val="001F30BF"/>
    <w:rsid w:val="002002A6"/>
    <w:rsid w:val="00203B0D"/>
    <w:rsid w:val="0020538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1B18"/>
    <w:rsid w:val="00263319"/>
    <w:rsid w:val="0026352E"/>
    <w:rsid w:val="002641A1"/>
    <w:rsid w:val="00265103"/>
    <w:rsid w:val="002718AB"/>
    <w:rsid w:val="0027530F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1BF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5FA"/>
    <w:rsid w:val="00372A94"/>
    <w:rsid w:val="00372F44"/>
    <w:rsid w:val="003752CF"/>
    <w:rsid w:val="00375DB7"/>
    <w:rsid w:val="00375F59"/>
    <w:rsid w:val="0037679E"/>
    <w:rsid w:val="003808C9"/>
    <w:rsid w:val="00382776"/>
    <w:rsid w:val="003827C1"/>
    <w:rsid w:val="00382A02"/>
    <w:rsid w:val="00386723"/>
    <w:rsid w:val="0038733A"/>
    <w:rsid w:val="00391B8F"/>
    <w:rsid w:val="00394C2D"/>
    <w:rsid w:val="00397739"/>
    <w:rsid w:val="003A57F5"/>
    <w:rsid w:val="003A5B30"/>
    <w:rsid w:val="003B336A"/>
    <w:rsid w:val="003B38CA"/>
    <w:rsid w:val="003B5171"/>
    <w:rsid w:val="003C33D2"/>
    <w:rsid w:val="003C56EE"/>
    <w:rsid w:val="003C604F"/>
    <w:rsid w:val="003D08E7"/>
    <w:rsid w:val="003D48D2"/>
    <w:rsid w:val="003D696A"/>
    <w:rsid w:val="003E2626"/>
    <w:rsid w:val="003E6850"/>
    <w:rsid w:val="003F1189"/>
    <w:rsid w:val="003F2AB6"/>
    <w:rsid w:val="003F3205"/>
    <w:rsid w:val="003F49A3"/>
    <w:rsid w:val="00403DA6"/>
    <w:rsid w:val="0040445F"/>
    <w:rsid w:val="0040743C"/>
    <w:rsid w:val="00411304"/>
    <w:rsid w:val="004145ED"/>
    <w:rsid w:val="00422EA1"/>
    <w:rsid w:val="00432F94"/>
    <w:rsid w:val="004332B9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56CF6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A6F3E"/>
    <w:rsid w:val="004C0BAB"/>
    <w:rsid w:val="004C19E9"/>
    <w:rsid w:val="004C1A92"/>
    <w:rsid w:val="004C1FA7"/>
    <w:rsid w:val="004C3749"/>
    <w:rsid w:val="004C674B"/>
    <w:rsid w:val="004D1D0B"/>
    <w:rsid w:val="004E222F"/>
    <w:rsid w:val="004F37D0"/>
    <w:rsid w:val="004F51E8"/>
    <w:rsid w:val="004F562C"/>
    <w:rsid w:val="0050008E"/>
    <w:rsid w:val="0050725C"/>
    <w:rsid w:val="00513675"/>
    <w:rsid w:val="005148B4"/>
    <w:rsid w:val="0051567D"/>
    <w:rsid w:val="00520C7C"/>
    <w:rsid w:val="00524BBC"/>
    <w:rsid w:val="00524D2E"/>
    <w:rsid w:val="0053131B"/>
    <w:rsid w:val="00531E8C"/>
    <w:rsid w:val="00533A93"/>
    <w:rsid w:val="00534085"/>
    <w:rsid w:val="00544CAC"/>
    <w:rsid w:val="00546CFD"/>
    <w:rsid w:val="00550F56"/>
    <w:rsid w:val="00552452"/>
    <w:rsid w:val="00553147"/>
    <w:rsid w:val="00553A4C"/>
    <w:rsid w:val="005548B8"/>
    <w:rsid w:val="00556034"/>
    <w:rsid w:val="005563D1"/>
    <w:rsid w:val="00563EEA"/>
    <w:rsid w:val="005677CC"/>
    <w:rsid w:val="005709D1"/>
    <w:rsid w:val="005710B6"/>
    <w:rsid w:val="00572108"/>
    <w:rsid w:val="0057244F"/>
    <w:rsid w:val="00572958"/>
    <w:rsid w:val="00577646"/>
    <w:rsid w:val="00580CAE"/>
    <w:rsid w:val="00581C95"/>
    <w:rsid w:val="0058233C"/>
    <w:rsid w:val="00582B4A"/>
    <w:rsid w:val="005850FD"/>
    <w:rsid w:val="00590419"/>
    <w:rsid w:val="00593160"/>
    <w:rsid w:val="005A10EC"/>
    <w:rsid w:val="005A2884"/>
    <w:rsid w:val="005A64E8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024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36DD6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57D92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87F73"/>
    <w:rsid w:val="0079109B"/>
    <w:rsid w:val="00791A1E"/>
    <w:rsid w:val="00791CD6"/>
    <w:rsid w:val="00791DAA"/>
    <w:rsid w:val="00795D91"/>
    <w:rsid w:val="007A3CA6"/>
    <w:rsid w:val="007A5E89"/>
    <w:rsid w:val="007A6038"/>
    <w:rsid w:val="007B5AE3"/>
    <w:rsid w:val="007C0FA5"/>
    <w:rsid w:val="007C1BB7"/>
    <w:rsid w:val="007C35E4"/>
    <w:rsid w:val="007C55A8"/>
    <w:rsid w:val="007C72FD"/>
    <w:rsid w:val="007D443A"/>
    <w:rsid w:val="007D6C2C"/>
    <w:rsid w:val="007D773A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16A9F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F9F"/>
    <w:rsid w:val="008477B1"/>
    <w:rsid w:val="00853196"/>
    <w:rsid w:val="00854A46"/>
    <w:rsid w:val="00855B8F"/>
    <w:rsid w:val="00857815"/>
    <w:rsid w:val="00863A0B"/>
    <w:rsid w:val="00863D6D"/>
    <w:rsid w:val="00865DB0"/>
    <w:rsid w:val="00867277"/>
    <w:rsid w:val="00872D50"/>
    <w:rsid w:val="0087335C"/>
    <w:rsid w:val="00874D28"/>
    <w:rsid w:val="00875BE0"/>
    <w:rsid w:val="0088360D"/>
    <w:rsid w:val="00885FCC"/>
    <w:rsid w:val="00887FA6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0D8"/>
    <w:rsid w:val="008C06FD"/>
    <w:rsid w:val="008C4921"/>
    <w:rsid w:val="008D339B"/>
    <w:rsid w:val="008D7B6A"/>
    <w:rsid w:val="008E3302"/>
    <w:rsid w:val="008E45EB"/>
    <w:rsid w:val="008F0C83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368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D5ECA"/>
    <w:rsid w:val="009E4F26"/>
    <w:rsid w:val="009E65C3"/>
    <w:rsid w:val="009F00FA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1F1E"/>
    <w:rsid w:val="00A24CF5"/>
    <w:rsid w:val="00A314D8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2912"/>
    <w:rsid w:val="00A632AD"/>
    <w:rsid w:val="00A6347B"/>
    <w:rsid w:val="00A63E8E"/>
    <w:rsid w:val="00A734C9"/>
    <w:rsid w:val="00A73862"/>
    <w:rsid w:val="00A75AD7"/>
    <w:rsid w:val="00A830FA"/>
    <w:rsid w:val="00A868F0"/>
    <w:rsid w:val="00A87B48"/>
    <w:rsid w:val="00A87E6F"/>
    <w:rsid w:val="00A913FA"/>
    <w:rsid w:val="00A939CD"/>
    <w:rsid w:val="00A95571"/>
    <w:rsid w:val="00AA142D"/>
    <w:rsid w:val="00AA2DDE"/>
    <w:rsid w:val="00AA7BD8"/>
    <w:rsid w:val="00AA7F74"/>
    <w:rsid w:val="00AC0B6F"/>
    <w:rsid w:val="00AC0F08"/>
    <w:rsid w:val="00AC2DEF"/>
    <w:rsid w:val="00AC4571"/>
    <w:rsid w:val="00AC5D6A"/>
    <w:rsid w:val="00AC6751"/>
    <w:rsid w:val="00AC7D25"/>
    <w:rsid w:val="00AC7E06"/>
    <w:rsid w:val="00AD045F"/>
    <w:rsid w:val="00AD3B39"/>
    <w:rsid w:val="00AD4623"/>
    <w:rsid w:val="00AE49EE"/>
    <w:rsid w:val="00AF22C4"/>
    <w:rsid w:val="00AF5E71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53C53"/>
    <w:rsid w:val="00B60193"/>
    <w:rsid w:val="00B60478"/>
    <w:rsid w:val="00B6211D"/>
    <w:rsid w:val="00B640AE"/>
    <w:rsid w:val="00B64411"/>
    <w:rsid w:val="00B7096B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4CD0"/>
    <w:rsid w:val="00BC6C1E"/>
    <w:rsid w:val="00BC7A71"/>
    <w:rsid w:val="00BD6C24"/>
    <w:rsid w:val="00BD73AA"/>
    <w:rsid w:val="00BD7EAF"/>
    <w:rsid w:val="00BE1A61"/>
    <w:rsid w:val="00BE1A75"/>
    <w:rsid w:val="00BE2C04"/>
    <w:rsid w:val="00BE515E"/>
    <w:rsid w:val="00BF31FE"/>
    <w:rsid w:val="00BF438E"/>
    <w:rsid w:val="00BF7B12"/>
    <w:rsid w:val="00C0055F"/>
    <w:rsid w:val="00C04405"/>
    <w:rsid w:val="00C04753"/>
    <w:rsid w:val="00C04B93"/>
    <w:rsid w:val="00C05814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3CC1"/>
    <w:rsid w:val="00C46B27"/>
    <w:rsid w:val="00C46B60"/>
    <w:rsid w:val="00C500FC"/>
    <w:rsid w:val="00C53E27"/>
    <w:rsid w:val="00C55EA3"/>
    <w:rsid w:val="00C567CB"/>
    <w:rsid w:val="00C61DA8"/>
    <w:rsid w:val="00C62F25"/>
    <w:rsid w:val="00C70743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1C3"/>
    <w:rsid w:val="00CA12CB"/>
    <w:rsid w:val="00CA3156"/>
    <w:rsid w:val="00CA35A8"/>
    <w:rsid w:val="00CB1EDF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7B74"/>
    <w:rsid w:val="00D31F08"/>
    <w:rsid w:val="00D44123"/>
    <w:rsid w:val="00D4474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2592"/>
    <w:rsid w:val="00D84941"/>
    <w:rsid w:val="00D90139"/>
    <w:rsid w:val="00D90CB7"/>
    <w:rsid w:val="00D93C4F"/>
    <w:rsid w:val="00D93F91"/>
    <w:rsid w:val="00D96988"/>
    <w:rsid w:val="00DA0E4B"/>
    <w:rsid w:val="00DA145D"/>
    <w:rsid w:val="00DA3681"/>
    <w:rsid w:val="00DA5B7E"/>
    <w:rsid w:val="00DB022A"/>
    <w:rsid w:val="00DB16C8"/>
    <w:rsid w:val="00DB23A7"/>
    <w:rsid w:val="00DC043F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260DA"/>
    <w:rsid w:val="00E30339"/>
    <w:rsid w:val="00E30EE7"/>
    <w:rsid w:val="00E32E63"/>
    <w:rsid w:val="00E37F57"/>
    <w:rsid w:val="00E44DB0"/>
    <w:rsid w:val="00E45C57"/>
    <w:rsid w:val="00E462ED"/>
    <w:rsid w:val="00E50A6E"/>
    <w:rsid w:val="00E51B30"/>
    <w:rsid w:val="00E52724"/>
    <w:rsid w:val="00E60CA0"/>
    <w:rsid w:val="00E60E9C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1D76"/>
    <w:rsid w:val="00E9518E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D7F0A"/>
    <w:rsid w:val="00EE00F4"/>
    <w:rsid w:val="00EE0D54"/>
    <w:rsid w:val="00EE3E0F"/>
    <w:rsid w:val="00EE5421"/>
    <w:rsid w:val="00EE71B0"/>
    <w:rsid w:val="00EE73A5"/>
    <w:rsid w:val="00EE7CF5"/>
    <w:rsid w:val="00EF3BCB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231E"/>
    <w:rsid w:val="00F435FD"/>
    <w:rsid w:val="00F538D6"/>
    <w:rsid w:val="00F565BD"/>
    <w:rsid w:val="00F60E93"/>
    <w:rsid w:val="00F625DF"/>
    <w:rsid w:val="00F639FC"/>
    <w:rsid w:val="00F66705"/>
    <w:rsid w:val="00F66C1E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1671"/>
    <w:rsid w:val="00FD1A19"/>
    <w:rsid w:val="00FD493F"/>
    <w:rsid w:val="00FD4C56"/>
    <w:rsid w:val="00FE0270"/>
    <w:rsid w:val="00FE0E84"/>
    <w:rsid w:val="00FE4664"/>
    <w:rsid w:val="00FF26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  <w:style w:type="table" w:customStyle="1" w:styleId="Tabela-Siatka4">
    <w:name w:val="Tabela - Siatka4"/>
    <w:basedOn w:val="Standardowy"/>
    <w:next w:val="Tabela-Siatka"/>
    <w:uiPriority w:val="39"/>
    <w:rsid w:val="00433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28A9-5D45-4260-A309-0C0D3AC0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5742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25</cp:revision>
  <cp:lastPrinted>2023-02-16T13:15:00Z</cp:lastPrinted>
  <dcterms:created xsi:type="dcterms:W3CDTF">2023-02-16T13:25:00Z</dcterms:created>
  <dcterms:modified xsi:type="dcterms:W3CDTF">2023-06-12T07:53:00Z</dcterms:modified>
</cp:coreProperties>
</file>