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numPr>
          <w:ilvl w:val="8"/>
          <w:numId w:val="1"/>
        </w:numPr>
        <w:jc w:val="center"/>
        <w:rPr>
          <w:i w:val="false"/>
          <w:i w:val="false"/>
          <w:iCs w:val="false"/>
        </w:rPr>
      </w:pPr>
      <w:r>
        <w:rPr>
          <w:rFonts w:ascii="Verdana" w:hAnsi="Verdana"/>
          <w:b/>
          <w:bCs/>
          <w:i w:val="false"/>
          <w:iCs w:val="false"/>
          <w:sz w:val="22"/>
          <w:szCs w:val="22"/>
          <w:u w:val="single"/>
        </w:rPr>
        <w:t>Opis przedmiotu zamówienia:</w:t>
      </w:r>
    </w:p>
    <w:p>
      <w:pPr>
        <w:pStyle w:val="Tretekstu"/>
        <w:widowControl w:val="false"/>
        <w:numPr>
          <w:ilvl w:val="0"/>
          <w:numId w:val="1"/>
        </w:numPr>
        <w:bidi w:val="0"/>
        <w:spacing w:before="0" w:after="120"/>
        <w:ind w:left="0" w:right="0" w:hanging="0"/>
        <w:jc w:val="both"/>
        <w:rPr/>
      </w:pPr>
      <w:r>
        <w:rPr>
          <w:rFonts w:cs="Calibri" w:ascii="Verdana" w:hAnsi="Verdana"/>
          <w:sz w:val="20"/>
          <w:szCs w:val="20"/>
        </w:rPr>
        <w:t>Nazwa nadana zamówieniu przez Zamawiającego:</w:t>
      </w:r>
      <w:bookmarkStart w:id="0" w:name="__DdeLink__3251_498431025"/>
      <w:r>
        <w:rPr>
          <w:rFonts w:cs="Calibri" w:ascii="Verdana" w:hAnsi="Verdana"/>
          <w:sz w:val="20"/>
          <w:szCs w:val="20"/>
        </w:rPr>
        <w:t xml:space="preserve"> </w:t>
      </w:r>
      <w:r>
        <w:rPr>
          <w:rFonts w:eastAsia="Verdana" w:cs="Verdana" w:ascii="Verdana" w:hAnsi="Verdana"/>
          <w:b/>
          <w:bCs/>
          <w:i w:val="false"/>
          <w:iCs w:val="false"/>
          <w:color w:val="00000A"/>
          <w:sz w:val="20"/>
          <w:szCs w:val="20"/>
          <w:lang w:val="pl-PL"/>
        </w:rPr>
        <w:t>Zakup d</w:t>
      </w:r>
      <w:r>
        <w:rPr>
          <w:rFonts w:eastAsia="Verdana" w:cs="Verdana" w:ascii="Verdana" w:hAnsi="Verdana"/>
          <w:b/>
          <w:bCs/>
          <w:i w:val="false"/>
          <w:iCs w:val="false"/>
          <w:color w:val="00000A"/>
          <w:sz w:val="20"/>
          <w:szCs w:val="20"/>
          <w:highlight w:val="white"/>
          <w:lang w:val="pl-PL"/>
        </w:rPr>
        <w:t xml:space="preserve">efibrylatorów AED na </w:t>
      </w:r>
      <w:r>
        <w:rPr>
          <w:rFonts w:eastAsia="Verdana" w:cs="Arial" w:ascii="Verdana" w:hAnsi="Verdana"/>
          <w:b/>
          <w:bCs/>
          <w:i w:val="false"/>
          <w:iCs w:val="false"/>
          <w:color w:val="00000A"/>
          <w:sz w:val="20"/>
          <w:szCs w:val="20"/>
          <w:highlight w:val="white"/>
          <w:lang w:val="pl-PL"/>
        </w:rPr>
        <w:t>Pasaż Roguckiego i Nabrzeże Wiślane.</w:t>
      </w:r>
    </w:p>
    <w:p>
      <w:pPr>
        <w:pStyle w:val="Domylnie"/>
        <w:numPr>
          <w:ilvl w:val="0"/>
          <w:numId w:val="1"/>
        </w:numPr>
        <w:jc w:val="both"/>
        <w:rPr>
          <w:rFonts w:ascii="Verdana" w:hAnsi="Verdana" w:cs="Calibri"/>
          <w:b/>
          <w:b/>
          <w:bCs/>
          <w:i/>
          <w:i/>
          <w:iCs/>
          <w:sz w:val="22"/>
          <w:szCs w:val="22"/>
          <w:u w:val="single"/>
        </w:rPr>
      </w:pPr>
      <w:bookmarkEnd w:id="0"/>
      <w:r>
        <w:rPr>
          <w:rFonts w:cs="Calibri" w:ascii="Verdana" w:hAnsi="Verdana"/>
          <w:b/>
          <w:bCs/>
          <w:i/>
          <w:iCs/>
          <w:sz w:val="22"/>
          <w:szCs w:val="22"/>
          <w:u w:val="single"/>
        </w:rPr>
      </w:r>
    </w:p>
    <w:p>
      <w:pPr>
        <w:pStyle w:val="Domylni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cs="Calibri" w:ascii="Verdana" w:hAnsi="Verdana"/>
          <w:b/>
          <w:bCs/>
          <w:i/>
          <w:iCs/>
          <w:sz w:val="22"/>
          <w:szCs w:val="22"/>
          <w:u w:val="single"/>
        </w:rPr>
        <w:t>Przedmiot zamówienia:</w:t>
      </w:r>
    </w:p>
    <w:p>
      <w:pPr>
        <w:pStyle w:val="Domylnie"/>
        <w:numPr>
          <w:ilvl w:val="0"/>
          <w:numId w:val="1"/>
        </w:numPr>
        <w:jc w:val="both"/>
        <w:rPr>
          <w:rFonts w:ascii="Verdana" w:hAnsi="Verdana" w:cs="Calibri"/>
          <w:i/>
          <w:i/>
          <w:iCs/>
          <w:sz w:val="22"/>
          <w:szCs w:val="22"/>
          <w:u w:val="single"/>
        </w:rPr>
      </w:pPr>
      <w:r>
        <w:rPr>
          <w:rFonts w:cs="Calibri" w:ascii="Verdana" w:hAnsi="Verdana"/>
          <w:i/>
          <w:iCs/>
          <w:sz w:val="22"/>
          <w:szCs w:val="22"/>
          <w:u w:val="single"/>
        </w:rPr>
      </w:r>
    </w:p>
    <w:p>
      <w:pPr>
        <w:pStyle w:val="Domylnie"/>
        <w:widowControl/>
        <w:numPr>
          <w:ilvl w:val="0"/>
          <w:numId w:val="1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Calibri" w:ascii="Verdana" w:hAnsi="Verdana"/>
          <w:sz w:val="20"/>
          <w:szCs w:val="20"/>
          <w:highlight w:val="white"/>
        </w:rPr>
        <w:t>Przedmiotem zamówienia jest zakup i dostawa: dwóch zestawów defibrylatorów AED, jednej zewnętrznej szafki ściennej na AED oraz dwóch zestawów oznakowań z logo AED.</w:t>
      </w:r>
    </w:p>
    <w:p>
      <w:pPr>
        <w:pStyle w:val="Domylnie"/>
        <w:numPr>
          <w:ilvl w:val="0"/>
          <w:numId w:val="1"/>
        </w:numPr>
        <w:jc w:val="both"/>
        <w:rPr>
          <w:rFonts w:ascii="Verdana" w:hAnsi="Verdana" w:cs="Calibri"/>
          <w:b/>
          <w:b/>
          <w:bCs/>
          <w:i/>
          <w:i/>
          <w:iCs/>
          <w:sz w:val="22"/>
          <w:szCs w:val="22"/>
          <w:u w:val="single"/>
        </w:rPr>
      </w:pPr>
      <w:r>
        <w:rPr>
          <w:rFonts w:cs="Calibri" w:ascii="Verdana" w:hAnsi="Verdana"/>
          <w:b/>
          <w:bCs/>
          <w:i/>
          <w:iCs/>
          <w:sz w:val="22"/>
          <w:szCs w:val="22"/>
          <w:u w:val="single"/>
        </w:rPr>
      </w:r>
    </w:p>
    <w:p>
      <w:pPr>
        <w:pStyle w:val="Domylni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cs="Calibri" w:ascii="Verdana" w:hAnsi="Verdana"/>
          <w:b/>
          <w:bCs/>
          <w:i/>
          <w:iCs/>
          <w:sz w:val="22"/>
          <w:szCs w:val="22"/>
          <w:u w:val="single"/>
        </w:rPr>
        <w:t>Opis przedmiotu zamówienia:</w:t>
      </w:r>
    </w:p>
    <w:p>
      <w:pPr>
        <w:pStyle w:val="Domylnie"/>
        <w:numPr>
          <w:ilvl w:val="0"/>
          <w:numId w:val="1"/>
        </w:numPr>
        <w:jc w:val="both"/>
        <w:rPr>
          <w:rFonts w:ascii="Verdana" w:hAnsi="Verdana" w:cs="Calibri"/>
          <w:i/>
          <w:i/>
          <w:iCs/>
          <w:sz w:val="22"/>
          <w:szCs w:val="22"/>
          <w:u w:val="single"/>
        </w:rPr>
      </w:pPr>
      <w:r>
        <w:rPr>
          <w:rFonts w:cs="Calibri" w:ascii="Verdana" w:hAnsi="Verdana"/>
          <w:i/>
          <w:iCs/>
          <w:sz w:val="22"/>
          <w:szCs w:val="22"/>
          <w:u w:val="single"/>
        </w:rPr>
      </w:r>
    </w:p>
    <w:p>
      <w:pPr>
        <w:pStyle w:val="Tretekstu"/>
        <w:numPr>
          <w:ilvl w:val="0"/>
          <w:numId w:val="5"/>
        </w:numPr>
        <w:bidi w:val="0"/>
        <w:jc w:val="both"/>
        <w:rPr/>
      </w:pPr>
      <w:r>
        <w:rPr>
          <w:rFonts w:ascii="Verdana" w:hAnsi="Verdana"/>
          <w:sz w:val="20"/>
          <w:szCs w:val="20"/>
        </w:rPr>
        <w:t>Półautomatyczny Defibrylator AED (</w:t>
      </w:r>
      <w:r>
        <w:rPr>
          <w:rFonts w:ascii="Verdana" w:hAnsi="Verdana"/>
          <w:b/>
          <w:bCs/>
          <w:sz w:val="20"/>
          <w:szCs w:val="20"/>
        </w:rPr>
        <w:t>2 zestawy</w:t>
      </w:r>
      <w:r>
        <w:rPr>
          <w:rFonts w:ascii="Verdana" w:hAnsi="Verdana"/>
          <w:sz w:val="20"/>
          <w:szCs w:val="20"/>
        </w:rPr>
        <w:t>) wraz z torbą transportową. W zestawie znajdują się również: baterie (5-letni okres trwałości), 1 para elektrod uniwersalnych lub  po 1 parze elektrod dla dorosłych i elektrod pediatrycznych (min. 2 lata okres trwałości) oraz instrukcje obsługi w języku polskim;</w:t>
      </w:r>
    </w:p>
    <w:p>
      <w:pPr>
        <w:pStyle w:val="Tretekstu"/>
        <w:numPr>
          <w:ilvl w:val="0"/>
          <w:numId w:val="5"/>
        </w:numPr>
        <w:jc w:val="both"/>
        <w:rPr/>
      </w:pPr>
      <w:r>
        <w:rPr>
          <w:rFonts w:ascii="Verdana" w:hAnsi="Verdana"/>
          <w:sz w:val="20"/>
          <w:szCs w:val="20"/>
        </w:rPr>
        <w:t>Szafka ścienna zewnętrzna na AED z alarmem dźwiękowym do umieszczenia na zewnątrz budynku, która chroni AED przed kurzem, wilgocią i aktami wandalizmu, wzmocniony model z dodatkowym podgrzewaniem dostosowany do każdej pory roku –</w:t>
      </w:r>
      <w:r>
        <w:rPr>
          <w:rFonts w:ascii="Verdana" w:hAnsi="Verdana"/>
          <w:b/>
          <w:bCs/>
          <w:sz w:val="20"/>
          <w:szCs w:val="20"/>
        </w:rPr>
        <w:t xml:space="preserve"> 1 sztuka;</w:t>
      </w:r>
    </w:p>
    <w:p>
      <w:pPr>
        <w:pStyle w:val="Tretekstu"/>
        <w:numPr>
          <w:ilvl w:val="0"/>
          <w:numId w:val="5"/>
        </w:numPr>
        <w:jc w:val="both"/>
        <w:rPr/>
      </w:pPr>
      <w:r>
        <w:rPr>
          <w:rStyle w:val="Wyrnienie"/>
          <w:rFonts w:cs="Calibri" w:ascii="Verdana" w:hAnsi="Verdana"/>
          <w:b w:val="false"/>
          <w:bCs w:val="false"/>
          <w:i w:val="false"/>
          <w:iCs w:val="false"/>
          <w:sz w:val="20"/>
          <w:szCs w:val="20"/>
          <w:highlight w:val="white"/>
        </w:rPr>
        <w:t>Oznakowanie z logo AED – zestaw znakowań zawiera przynajmniej dwa znaki bezpieczeństwa (tabliczki) z logo AED oraz 1 ścienną instrukcję obsługi defibrylatora – </w:t>
      </w:r>
      <w:r>
        <w:rPr>
          <w:rStyle w:val="Wyrnienie"/>
          <w:rFonts w:cs="Calibri" w:ascii="Verdana" w:hAnsi="Verdana"/>
          <w:b/>
          <w:bCs/>
          <w:i w:val="false"/>
          <w:iCs w:val="false"/>
          <w:sz w:val="20"/>
          <w:szCs w:val="20"/>
          <w:highlight w:val="white"/>
        </w:rPr>
        <w:t xml:space="preserve">2 zestawy. </w:t>
      </w:r>
      <w:r>
        <w:rPr>
          <w:rFonts w:ascii="Verdana" w:hAnsi="Verdana"/>
          <w:b/>
          <w:bCs/>
          <w:i w:val="false"/>
          <w:iCs w:val="false"/>
          <w:sz w:val="20"/>
          <w:szCs w:val="20"/>
          <w:highlight w:val="white"/>
        </w:rPr>
        <w:br/>
      </w:r>
    </w:p>
    <w:p>
      <w:pPr>
        <w:pStyle w:val="Domylnie"/>
        <w:numPr>
          <w:ilvl w:val="0"/>
          <w:numId w:val="1"/>
        </w:numPr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cs="Calibri" w:ascii="Verdana" w:hAnsi="Verdana"/>
          <w:b/>
          <w:bCs/>
          <w:i/>
          <w:iCs/>
          <w:sz w:val="22"/>
          <w:szCs w:val="22"/>
          <w:u w:val="single"/>
        </w:rPr>
        <w:t xml:space="preserve">Wymagania dotyczące przedmiotu zamówienia: </w:t>
      </w:r>
    </w:p>
    <w:p>
      <w:pPr>
        <w:pStyle w:val="Domylnie"/>
        <w:numPr>
          <w:ilvl w:val="0"/>
          <w:numId w:val="1"/>
        </w:numPr>
        <w:jc w:val="both"/>
        <w:rPr>
          <w:rFonts w:ascii="Verdana" w:hAnsi="Verdana" w:cs="Calibri"/>
          <w:i/>
          <w:i/>
          <w:iCs/>
          <w:sz w:val="20"/>
          <w:szCs w:val="20"/>
          <w:u w:val="single"/>
        </w:rPr>
      </w:pPr>
      <w:r>
        <w:rPr>
          <w:rFonts w:cs="Calibri" w:ascii="Verdana" w:hAnsi="Verdana"/>
          <w:i/>
          <w:iCs/>
          <w:sz w:val="20"/>
          <w:szCs w:val="20"/>
          <w:u w:val="single"/>
        </w:rPr>
      </w:r>
    </w:p>
    <w:p>
      <w:pPr>
        <w:pStyle w:val="Domylni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>wykonany zgodnie z odpowie</w:t>
      </w:r>
      <w:r>
        <w:rPr>
          <w:rFonts w:cs="Calibri" w:ascii="Verdana" w:hAnsi="Verdana"/>
          <w:sz w:val="20"/>
          <w:szCs w:val="20"/>
          <w:shd w:fill="FFFFFF" w:val="clear"/>
        </w:rPr>
        <w:t xml:space="preserve">dnią polską normą, </w:t>
      </w:r>
      <w:r>
        <w:rPr>
          <w:rFonts w:cs="Calibri" w:ascii="Verdana" w:hAnsi="Verdana"/>
          <w:sz w:val="20"/>
          <w:szCs w:val="20"/>
        </w:rPr>
        <w:t>posiada certyfikaty i atesty, potwierdzające spełnienie wymogów bezpieczeństwa oraz gwarantujące dobrą jakość towaru,</w:t>
      </w:r>
    </w:p>
    <w:p>
      <w:pPr>
        <w:pStyle w:val="Domylni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cs="Calibri" w:ascii="Verdana" w:hAnsi="Verdana"/>
          <w:strike w:val="false"/>
          <w:dstrike w:val="false"/>
          <w:sz w:val="20"/>
          <w:szCs w:val="20"/>
        </w:rPr>
        <w:t>fabrycznie nowe, nieużywane, wolne od  wad (fizycznych i prawnych) oraz uszkodzeń,</w:t>
      </w:r>
    </w:p>
    <w:p>
      <w:pPr>
        <w:pStyle w:val="Domylnie"/>
        <w:numPr>
          <w:ilvl w:val="0"/>
          <w:numId w:val="0"/>
        </w:numPr>
        <w:ind w:left="432" w:hanging="0"/>
        <w:jc w:val="both"/>
        <w:rPr>
          <w:rFonts w:ascii="Verdana" w:hAnsi="Verdana" w:cs="Calibri"/>
          <w:strike w:val="false"/>
          <w:dstrike w:val="false"/>
          <w:sz w:val="20"/>
          <w:szCs w:val="20"/>
          <w:highlight w:val="white"/>
        </w:rPr>
      </w:pPr>
      <w:r>
        <w:rPr>
          <w:rFonts w:cs="Calibri" w:ascii="Verdana" w:hAnsi="Verdana"/>
          <w:strike w:val="false"/>
          <w:dstrike w:val="false"/>
          <w:sz w:val="20"/>
          <w:szCs w:val="20"/>
          <w:highlight w:val="white"/>
        </w:rPr>
      </w:r>
    </w:p>
    <w:p>
      <w:pPr>
        <w:pStyle w:val="Domylnie"/>
        <w:widowControl/>
        <w:numPr>
          <w:ilvl w:val="0"/>
          <w:numId w:val="0"/>
        </w:numPr>
        <w:suppressAutoHyphens w:val="true"/>
        <w:bidi w:val="0"/>
        <w:spacing w:lineRule="atLeast" w:line="100" w:before="0" w:after="113"/>
        <w:ind w:left="0" w:right="0" w:hanging="0"/>
        <w:jc w:val="left"/>
        <w:rPr>
          <w:rFonts w:ascii="Verdana" w:hAnsi="Verdana" w:cs="Calibri"/>
          <w:b/>
          <w:b/>
          <w:bCs/>
          <w:i/>
          <w:i/>
          <w:iCs/>
          <w:sz w:val="22"/>
          <w:szCs w:val="22"/>
          <w:u w:val="single"/>
        </w:rPr>
      </w:pPr>
      <w:r>
        <w:rPr>
          <w:rFonts w:cs="Calibri" w:ascii="Verdana" w:hAnsi="Verdana"/>
          <w:b/>
          <w:bCs/>
          <w:i/>
          <w:iCs/>
          <w:sz w:val="22"/>
          <w:szCs w:val="22"/>
          <w:u w:val="single"/>
        </w:rPr>
      </w:r>
    </w:p>
    <w:p>
      <w:pPr>
        <w:pStyle w:val="Domylnie"/>
        <w:widowControl/>
        <w:numPr>
          <w:ilvl w:val="0"/>
          <w:numId w:val="0"/>
        </w:numPr>
        <w:suppressAutoHyphens w:val="true"/>
        <w:bidi w:val="0"/>
        <w:spacing w:lineRule="atLeast" w:line="100" w:before="0" w:after="113"/>
        <w:ind w:left="0" w:right="0" w:hanging="0"/>
        <w:jc w:val="left"/>
        <w:rPr/>
      </w:pPr>
      <w:r>
        <w:rPr>
          <w:rFonts w:cs="Calibri" w:ascii="Verdana" w:hAnsi="Verdana"/>
          <w:b/>
          <w:bCs/>
          <w:i/>
          <w:iCs/>
          <w:sz w:val="22"/>
          <w:szCs w:val="22"/>
          <w:u w:val="single"/>
        </w:rPr>
        <w:t>Szczegółowy opis przedmiotu zamówienia:</w:t>
      </w:r>
    </w:p>
    <w:p>
      <w:pPr>
        <w:pStyle w:val="Tretekstu"/>
        <w:bidi w:val="0"/>
        <w:spacing w:before="0" w:after="113"/>
        <w:jc w:val="left"/>
        <w:rPr/>
      </w:pPr>
      <w:r>
        <w:rPr>
          <w:rFonts w:ascii="Verdana" w:hAnsi="Verdana"/>
          <w:b/>
          <w:bCs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Defibrylator AED</w:t>
      </w:r>
      <w:r>
        <w:rPr>
          <w:rFonts w:ascii="Verdana" w:hAnsi="Verdana"/>
          <w:sz w:val="20"/>
          <w:szCs w:val="20"/>
        </w:rPr>
        <w:t xml:space="preserve"> to półauto</w:t>
      </w:r>
      <w:r>
        <w:rPr>
          <w:rFonts w:ascii="Verdana" w:hAnsi="Verdana"/>
          <w:sz w:val="20"/>
          <w:szCs w:val="20"/>
          <w:highlight w:val="white"/>
        </w:rPr>
        <w:t>matyczny defibrylator przeznaczony do użytku publicznego wyposażony w elektrody dla dorosłych (i pediatryczne) lub defibrylator z wbudowanym trybem pediatrycznym (przełącznik). Urządzenie to może użyć każda osoba podejmująca się udzielania pomocy osobie z nagłym zatrzymaniem kr</w:t>
      </w:r>
      <w:r>
        <w:rPr>
          <w:rFonts w:ascii="Verdana" w:hAnsi="Verdana"/>
          <w:sz w:val="20"/>
          <w:szCs w:val="20"/>
        </w:rPr>
        <w:t xml:space="preserve">ążenia. Od chwili uruchomienia aparat informuje o wszystkich podstawowych czynnościach, które należy wykonać przy poszkodowanym dzięki jasnym poleceniom głosowym i wizualnym w języku polskim przeprowadzających osobę ratującą przez cały proces reanimacji. Głośność urządzenia automatycznie dopasowuje się do warunków otoczenia. Defibrylator wyposażony we wskaźniki dźwiękowe i wizualne na bieżąco przypomina o wszystkich koniecznych do wykonania czynnościach ratowniczych i o właściwej ich kolejności jak również o niewłaściwym podłączeniu elektrod lub ich braku, sprawności urządzenia czy stanie baterii. Defibrylator posiada wbudowany metronom, który umożliwia zachowanie właściwego tempa masażu klatki piersiowej.  </w:t>
      </w:r>
    </w:p>
    <w:p>
      <w:pPr>
        <w:pStyle w:val="Tretekstu"/>
        <w:numPr>
          <w:ilvl w:val="8"/>
          <w:numId w:val="2"/>
        </w:numPr>
        <w:rPr/>
      </w:pPr>
      <w:r>
        <w:rPr>
          <w:rFonts w:ascii="Verdana" w:hAnsi="Verdana"/>
          <w:sz w:val="20"/>
          <w:szCs w:val="20"/>
        </w:rPr>
        <w:t xml:space="preserve">Defibrylator przeznaczony jest do defibrylacji zarówno pacjentów dorosłych jak i dzieci. Defibrylator sam rozpoznaje rodzaj podłączonych elektrod (dla dorosłych lub pediatrycznych) i automatycznie dostosowuje poziom energii defibrylacji do wieku pacjenta lub wyposażony jest w elektrody uniwersalne i dzięki przełącznikowi (przycisk pediatryczny), zmienia tryb pracy na pediatryczny, redukując min. energię defibrylacji. </w:t>
      </w:r>
    </w:p>
    <w:p>
      <w:pPr>
        <w:pStyle w:val="Tretekstu"/>
        <w:numPr>
          <w:ilvl w:val="8"/>
          <w:numId w:val="2"/>
        </w:numPr>
        <w:jc w:val="both"/>
        <w:rPr/>
      </w:pPr>
      <w:r>
        <w:rPr>
          <w:rFonts w:ascii="Verdana" w:hAnsi="Verdana"/>
          <w:sz w:val="20"/>
          <w:szCs w:val="20"/>
        </w:rPr>
        <w:t>Defibrylator AED zamknięty jest w szczelnej, twardej obudowie zabezpieczającej defibrylator przed wpływami wody i kurzu (IP55) oraz wstrząsami. Wyposażony jest w pamięć wewnętrzną, umożliwiającą ciągły zapis EKG wraz z informacjami o czynnościach ratowniczych i komunikatami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 AED. </w:t>
      </w:r>
      <w:r>
        <w:rPr>
          <w:rStyle w:val="Mocnowyrniony"/>
          <w:rFonts w:ascii="Verdana" w:hAnsi="Verdana"/>
          <w:b w:val="false"/>
          <w:bCs w:val="false"/>
          <w:sz w:val="20"/>
          <w:szCs w:val="20"/>
        </w:rPr>
        <w:t>Z</w:t>
      </w:r>
      <w:r>
        <w:rPr>
          <w:rFonts w:ascii="Verdana" w:hAnsi="Verdana"/>
          <w:b w:val="false"/>
          <w:bCs w:val="false"/>
          <w:sz w:val="20"/>
          <w:szCs w:val="20"/>
        </w:rPr>
        <w:t>asilany jest baterią posiadającymi min. 5-letni okres trwało</w:t>
      </w:r>
      <w:r>
        <w:rPr>
          <w:rFonts w:ascii="Verdana" w:hAnsi="Verdana"/>
          <w:sz w:val="20"/>
          <w:szCs w:val="20"/>
        </w:rPr>
        <w:t>ści w stanie spoczynku. Wymiana baterii jest nieskomplikowana i możliwa do wykonania we własnym zakresie. Dodatkowo Defibrylator przeprowadza cyklicznie automatyczne testy i sygnalizuje gotowość urządzenia do użycia. Opisane powyżej składowe elementy defibrylatora AED  przekładają się na bardzo małe koszty eksploatacji tego urządzenia w dłuższym czasie.</w:t>
      </w:r>
    </w:p>
    <w:p>
      <w:pPr>
        <w:pStyle w:val="Tretekstu"/>
        <w:bidi w:val="0"/>
        <w:spacing w:before="0" w:after="57"/>
        <w:jc w:val="both"/>
        <w:rPr/>
      </w:pPr>
      <w:r>
        <w:rPr>
          <w:rFonts w:ascii="Verdana" w:hAnsi="Verdana"/>
          <w:sz w:val="20"/>
          <w:szCs w:val="20"/>
        </w:rPr>
        <w:t>W skład każdego zestawu wchodzi: defibrylator AED, baterie, 1 para elektrod uniwersalnych lub  po 1 parze elektrod dla dorosłych i elektrod pediatrycznych, instrukcja obsługi w języku polskim oraz torba transportowa.</w:t>
      </w:r>
    </w:p>
    <w:p>
      <w:pPr>
        <w:pStyle w:val="Tretekstu"/>
        <w:bidi w:val="0"/>
        <w:spacing w:before="0" w:after="57"/>
        <w:jc w:val="both"/>
        <w:rPr/>
      </w:pPr>
      <w:r>
        <w:rPr>
          <w:rStyle w:val="Mocnowyrniony"/>
          <w:rFonts w:ascii="Verdana" w:hAnsi="Verdana"/>
          <w:sz w:val="20"/>
          <w:szCs w:val="20"/>
          <w:highlight w:val="white"/>
        </w:rPr>
        <w:t>Gwarancja:</w:t>
      </w:r>
    </w:p>
    <w:p>
      <w:pPr>
        <w:pStyle w:val="Tretekstu"/>
        <w:numPr>
          <w:ilvl w:val="0"/>
          <w:numId w:val="6"/>
        </w:numPr>
        <w:bidi w:val="0"/>
        <w:spacing w:before="0" w:after="57"/>
        <w:jc w:val="both"/>
        <w:rPr/>
      </w:pPr>
      <w:r>
        <w:rPr>
          <w:rFonts w:ascii="Verdana" w:hAnsi="Verdana"/>
          <w:sz w:val="20"/>
          <w:szCs w:val="20"/>
          <w:highlight w:val="white"/>
        </w:rPr>
        <w:t>Okres gwaranc</w:t>
      </w:r>
      <w:r>
        <w:rPr>
          <w:rFonts w:ascii="Verdana" w:hAnsi="Verdana"/>
          <w:sz w:val="20"/>
          <w:szCs w:val="20"/>
        </w:rPr>
        <w:t>yjny wynosi min. 7 lat;</w:t>
      </w:r>
    </w:p>
    <w:p>
      <w:pPr>
        <w:pStyle w:val="Tretekstu"/>
        <w:numPr>
          <w:ilvl w:val="0"/>
          <w:numId w:val="6"/>
        </w:numPr>
        <w:bidi w:val="0"/>
        <w:spacing w:before="0" w:after="57"/>
        <w:jc w:val="both"/>
        <w:rPr/>
      </w:pPr>
      <w:r>
        <w:rPr>
          <w:rFonts w:ascii="Verdana" w:hAnsi="Verdana"/>
          <w:sz w:val="20"/>
          <w:szCs w:val="20"/>
        </w:rPr>
        <w:t xml:space="preserve">Okres gwarancyjny wynosi min. 5 lat na </w:t>
      </w:r>
      <w:r>
        <w:rPr>
          <w:rFonts w:ascii="Verdana" w:hAnsi="Verdana"/>
          <w:sz w:val="20"/>
          <w:szCs w:val="20"/>
          <w:lang w:val="pl-PL" w:bidi="zxx"/>
        </w:rPr>
        <w:t>baterie w trybie czuwania;</w:t>
      </w:r>
    </w:p>
    <w:p>
      <w:pPr>
        <w:pStyle w:val="Tretekstu"/>
        <w:numPr>
          <w:ilvl w:val="0"/>
          <w:numId w:val="6"/>
        </w:numPr>
        <w:bidi w:val="0"/>
        <w:spacing w:before="0" w:after="57"/>
        <w:jc w:val="both"/>
        <w:rPr/>
      </w:pPr>
      <w:r>
        <w:rPr>
          <w:rFonts w:ascii="Verdana" w:hAnsi="Verdana"/>
          <w:sz w:val="20"/>
          <w:szCs w:val="20"/>
          <w:lang w:val="pl-PL" w:bidi="zxx"/>
        </w:rPr>
        <w:t>Okres gwarancyjny wynosi min. 2 lata na elektrody.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left="720" w:hanging="0"/>
        <w:jc w:val="left"/>
        <w:rPr>
          <w:rStyle w:val="Mocnowyrniony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Tretekstu"/>
        <w:widowControl w:val="false"/>
        <w:numPr>
          <w:ilvl w:val="0"/>
          <w:numId w:val="0"/>
        </w:numPr>
        <w:bidi w:val="0"/>
        <w:spacing w:before="0" w:after="0"/>
        <w:ind w:left="437" w:right="0" w:hanging="0"/>
        <w:jc w:val="left"/>
        <w:rPr/>
      </w:pPr>
      <w:r>
        <w:rPr>
          <w:rStyle w:val="Mocnowyrniony"/>
          <w:rFonts w:ascii="Verdana" w:hAnsi="Verdana"/>
          <w:sz w:val="20"/>
          <w:szCs w:val="20"/>
        </w:rPr>
        <w:t>Dane techniczne Defibrylatora :</w:t>
      </w:r>
      <w:r>
        <w:rPr>
          <w:rFonts w:ascii="Verdana" w:hAnsi="Verdana"/>
          <w:sz w:val="20"/>
          <w:szCs w:val="20"/>
        </w:rPr>
        <w:br/>
      </w:r>
    </w:p>
    <w:p>
      <w:pPr>
        <w:pStyle w:val="Tretekstu"/>
        <w:numPr>
          <w:ilvl w:val="0"/>
          <w:numId w:val="7"/>
        </w:numPr>
        <w:bidi w:val="0"/>
        <w:spacing w:before="0" w:after="0"/>
        <w:jc w:val="left"/>
        <w:rPr/>
      </w:pPr>
      <w:r>
        <w:rPr>
          <w:rFonts w:ascii="Verdana" w:hAnsi="Verdana"/>
          <w:sz w:val="20"/>
          <w:szCs w:val="20"/>
        </w:rPr>
        <w:t>Odporność na wibracje: MIL-STD-810</w:t>
      </w:r>
    </w:p>
    <w:p>
      <w:pPr>
        <w:pStyle w:val="Tretekstu"/>
        <w:numPr>
          <w:ilvl w:val="0"/>
          <w:numId w:val="7"/>
        </w:numPr>
        <w:bidi w:val="0"/>
        <w:spacing w:before="0" w:after="0"/>
        <w:jc w:val="left"/>
        <w:rPr/>
      </w:pPr>
      <w:r>
        <w:rPr>
          <w:rFonts w:ascii="Verdana" w:hAnsi="Verdana"/>
          <w:sz w:val="20"/>
          <w:szCs w:val="20"/>
        </w:rPr>
        <w:t>Odporność na wstrząs: 100 G</w:t>
      </w:r>
    </w:p>
    <w:p>
      <w:pPr>
        <w:pStyle w:val="Tretekstu"/>
        <w:numPr>
          <w:ilvl w:val="0"/>
          <w:numId w:val="7"/>
        </w:numPr>
        <w:bidi w:val="0"/>
        <w:spacing w:before="0" w:after="0"/>
        <w:jc w:val="left"/>
        <w:rPr/>
      </w:pPr>
      <w:r>
        <w:rPr>
          <w:rFonts w:ascii="Verdana" w:hAnsi="Verdana"/>
          <w:sz w:val="20"/>
          <w:szCs w:val="20"/>
        </w:rPr>
        <w:t>stopień ochrony – nie mniej niż IP55</w:t>
      </w:r>
    </w:p>
    <w:p>
      <w:pPr>
        <w:pStyle w:val="Tretekstu"/>
        <w:numPr>
          <w:ilvl w:val="0"/>
          <w:numId w:val="7"/>
        </w:numPr>
        <w:bidi w:val="0"/>
        <w:spacing w:before="0" w:after="0"/>
        <w:jc w:val="left"/>
        <w:rPr/>
      </w:pPr>
      <w:r>
        <w:rPr>
          <w:rFonts w:ascii="Verdana" w:hAnsi="Verdana"/>
          <w:sz w:val="20"/>
          <w:szCs w:val="20"/>
        </w:rPr>
        <w:t>serwis producenta w Polsce</w:t>
      </w:r>
    </w:p>
    <w:p>
      <w:pPr>
        <w:pStyle w:val="Tretekstu"/>
        <w:numPr>
          <w:ilvl w:val="0"/>
          <w:numId w:val="7"/>
        </w:numPr>
        <w:bidi w:val="0"/>
        <w:spacing w:before="0" w:after="0"/>
        <w:jc w:val="left"/>
        <w:rPr/>
      </w:pPr>
      <w:r>
        <w:rPr>
          <w:rFonts w:ascii="Verdana" w:hAnsi="Verdana"/>
          <w:sz w:val="20"/>
          <w:szCs w:val="20"/>
        </w:rPr>
        <w:t>urządzenie wielokrotnego użycia</w:t>
      </w:r>
    </w:p>
    <w:p>
      <w:pPr>
        <w:pStyle w:val="Tretekstu"/>
        <w:numPr>
          <w:ilvl w:val="0"/>
          <w:numId w:val="7"/>
        </w:numPr>
        <w:bidi w:val="0"/>
        <w:spacing w:before="0" w:after="0"/>
        <w:jc w:val="left"/>
        <w:rPr/>
      </w:pPr>
      <w:r>
        <w:rPr>
          <w:rFonts w:ascii="Verdana" w:hAnsi="Verdana"/>
          <w:sz w:val="20"/>
          <w:szCs w:val="20"/>
        </w:rPr>
        <w:t>posiada algorytm postępowania zgodny z aktualnymi, obowiązującymi wytycznymi Europejskiej Rady Resuscytacji</w:t>
      </w:r>
    </w:p>
    <w:p>
      <w:pPr>
        <w:pStyle w:val="Tretekstu"/>
        <w:bidi w:val="0"/>
        <w:spacing w:before="0" w:after="0"/>
        <w:jc w:val="left"/>
        <w:rPr>
          <w:rStyle w:val="Mocnowyrniony"/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</w:r>
    </w:p>
    <w:p>
      <w:pPr>
        <w:pStyle w:val="Tretekstu"/>
        <w:jc w:val="both"/>
        <w:rPr/>
      </w:pPr>
      <w:r>
        <w:rPr>
          <w:rFonts w:ascii="Verdana" w:hAnsi="Verdana"/>
          <w:b/>
          <w:bCs/>
          <w:sz w:val="20"/>
          <w:szCs w:val="20"/>
        </w:rPr>
        <w:t xml:space="preserve">2. Zewnętrzna szafka ścienna na AED </w:t>
      </w:r>
      <w:r>
        <w:rPr>
          <w:rStyle w:val="Mocnowyrniony"/>
          <w:rFonts w:ascii="Verdana" w:hAnsi="Verdana"/>
          <w:b/>
          <w:bCs/>
          <w:sz w:val="20"/>
          <w:szCs w:val="20"/>
        </w:rPr>
        <w:t>do umieszczania na zewnątrz budynku,</w:t>
      </w:r>
      <w:r>
        <w:rPr>
          <w:rStyle w:val="Mocnowyrniony"/>
          <w:rFonts w:ascii="Verdana" w:hAnsi="Verdana"/>
          <w:b w:val="false"/>
          <w:bCs w:val="false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która zapewnia rozpoznawalny i estetyczny wygląd oraz trwałe przechowywanie defib</w:t>
      </w:r>
      <w:r>
        <w:rPr>
          <w:rFonts w:ascii="Verdana" w:hAnsi="Verdana"/>
          <w:sz w:val="20"/>
          <w:szCs w:val="20"/>
        </w:rPr>
        <w:t>rylatora AED. Szafka powinna być w barwach zieleni ratunkowej</w:t>
      </w: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 xml:space="preserve"> spełniająca międzynarodowe standardy, ułatwiająca znalezienie defibrylatora. Wykonana z wysokiej jakości tworzyw sztucznych – poliwęglan, które ochronią defibrylator przed kurzem, wilgocią, wysokimi wahaniami temperatury oraz uderzeniami. Obudowa posiada s</w:t>
      </w:r>
      <w:r>
        <w:rPr>
          <w:rStyle w:val="Mocnowyrniony"/>
          <w:rFonts w:ascii="Verdana" w:hAnsi="Verdana"/>
          <w:b w:val="false"/>
          <w:bCs w:val="false"/>
          <w:i w:val="false"/>
          <w:iCs w:val="false"/>
          <w:sz w:val="20"/>
          <w:szCs w:val="20"/>
        </w:rPr>
        <w:t xml:space="preserve">pecjalny filtr blokujący promienie UV, który sprawia, że promienie słoneczne nie nagrzewają skrzynki, ani jej nie odbarwiają. Szafka jest łatwa w otwarciu ponieważ posiada czytelne i obrazkowe instrukcje postępowania – umieszczone na pokrywie. </w:t>
      </w: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 xml:space="preserve">W zestawie solidny uchwyt do zamocowania szafki na ścianie. </w:t>
      </w:r>
    </w:p>
    <w:p>
      <w:pPr>
        <w:pStyle w:val="Tretekstu"/>
        <w:jc w:val="both"/>
        <w:rPr/>
      </w:pP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 xml:space="preserve">Szafka zewnętrza na AED to wzmocniony model z dodatkowym </w:t>
      </w:r>
      <w:r>
        <w:rPr>
          <w:rStyle w:val="Mocnowyrniony"/>
          <w:rFonts w:ascii="Verdana" w:hAnsi="Verdana"/>
          <w:b w:val="false"/>
          <w:bCs w:val="false"/>
          <w:i w:val="false"/>
          <w:iCs w:val="false"/>
          <w:sz w:val="20"/>
          <w:szCs w:val="20"/>
        </w:rPr>
        <w:t>podgrzewaniem</w:t>
      </w: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 xml:space="preserve"> przystosowany do umieszczania </w:t>
      </w:r>
      <w:r>
        <w:rPr>
          <w:rStyle w:val="Mocnowyrniony"/>
          <w:rFonts w:ascii="Verdana" w:hAnsi="Verdana"/>
          <w:b w:val="false"/>
          <w:bCs w:val="false"/>
          <w:i w:val="false"/>
          <w:iCs w:val="false"/>
          <w:sz w:val="20"/>
          <w:szCs w:val="20"/>
        </w:rPr>
        <w:t>na zewnątrz pomieszczeń</w:t>
      </w: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 xml:space="preserve"> o każdej porze roku. </w:t>
      </w:r>
      <w:r>
        <w:rPr>
          <w:rStyle w:val="Mocnowyrniony"/>
          <w:rFonts w:ascii="Verdana" w:hAnsi="Verdana"/>
          <w:b w:val="false"/>
          <w:bCs w:val="false"/>
          <w:i w:val="false"/>
          <w:iCs w:val="false"/>
          <w:sz w:val="20"/>
          <w:szCs w:val="20"/>
        </w:rPr>
        <w:t>Moduł grzewczy uruchamia się automatycznie kiedy temperatura otoczenia spadnie poniżej 5°C. Po uruchomieniu modułu grzejącego szafka w środku utrzyma idealne warunki nawet wtedy, gdy temperatura na zewnątrz spadnie do -20 stopni Celsjusza. Ta funkcja zapewnia pełną dostępność do defibrylatora AED o każdej porze roku. Szafka z modułem podgrzewania posiada kabel do podłączenia do sieci 230V. Moduł grzewczy jest w pełni zautomatyzowany – działa 24h/dobę (po po</w:t>
      </w:r>
      <w:r>
        <w:rPr>
          <w:rStyle w:val="Mocnowyrniony"/>
          <w:rFonts w:ascii="Verdana" w:hAnsi="Verdana"/>
          <w:b w:val="false"/>
          <w:bCs w:val="false"/>
          <w:i w:val="false"/>
          <w:iCs w:val="false"/>
          <w:sz w:val="20"/>
          <w:szCs w:val="20"/>
          <w:highlight w:val="white"/>
        </w:rPr>
        <w:t>dłączeniu szafki do zasilania). Szafka może posiadać zasilanie awaryjne (akumulator) zapewniające pełną funkcjonalność w razie braku zasilania głównego.</w:t>
      </w:r>
    </w:p>
    <w:p>
      <w:pPr>
        <w:pStyle w:val="Tretekstu"/>
        <w:jc w:val="both"/>
        <w:rPr/>
      </w:pPr>
      <w:r>
        <w:rPr>
          <w:rStyle w:val="Mocnowyrniony"/>
          <w:rFonts w:ascii="Verdana" w:hAnsi="Verdana"/>
          <w:b w:val="false"/>
          <w:bCs w:val="false"/>
          <w:i w:val="false"/>
          <w:iCs w:val="false"/>
          <w:sz w:val="20"/>
          <w:szCs w:val="20"/>
          <w:highlight w:val="white"/>
        </w:rPr>
        <w:t>Szafka zewnętrzna na AED posiada funkcję automatycznego powiadamiania o otwarciu szafki, bez informacji o stanie urządzenia AED, za pomocą wbudowanego modułu GSM, który służy do wysyłania powiadomień za pomnąca wiadomości SMS. SMS-y wysyłane na przynajmniej dwa numery telefonu (karta SIM – wymagana do funkcjonowania modułu GSM oraz rejestracja u dowolnego operatora sieci komórkowej nie wchodzi w zakres przedmiotu zamówienia dotyczącego zakupu zewnętrznej szafki ściennej na AED). Szafka przy otwarciu powinna mieć również alarm dźwiękowy.</w:t>
      </w:r>
    </w:p>
    <w:p>
      <w:pPr>
        <w:pStyle w:val="Tretekstu"/>
        <w:bidi w:val="0"/>
        <w:spacing w:before="0" w:after="0"/>
        <w:jc w:val="both"/>
        <w:rPr>
          <w:b/>
          <w:b/>
          <w:bCs/>
        </w:rPr>
      </w:pPr>
      <w:bookmarkStart w:id="1" w:name="__DdeLink__1604_2367469480"/>
      <w:bookmarkEnd w:id="1"/>
      <w:r>
        <w:rPr>
          <w:rFonts w:ascii="Verdana" w:hAnsi="Verdana"/>
          <w:b/>
          <w:bCs/>
          <w:sz w:val="20"/>
          <w:szCs w:val="20"/>
          <w:highlight w:val="white"/>
          <w:lang w:val="pl-PL" w:bidi="zxx"/>
        </w:rPr>
        <w:t>Gwarancja:</w:t>
      </w:r>
    </w:p>
    <w:p>
      <w:pPr>
        <w:pStyle w:val="Tretekstu"/>
        <w:bidi w:val="0"/>
        <w:spacing w:before="0" w:after="57"/>
        <w:jc w:val="both"/>
        <w:rPr/>
      </w:pPr>
      <w:r>
        <w:rPr>
          <w:rFonts w:ascii="Verdana" w:hAnsi="Verdana"/>
          <w:b w:val="false"/>
          <w:bCs w:val="false"/>
          <w:sz w:val="20"/>
          <w:szCs w:val="20"/>
          <w:highlight w:val="white"/>
          <w:lang w:val="pl-PL" w:bidi="zxx"/>
        </w:rPr>
        <w:t>Okres gwarancyjny wynosi minimum 2 lata.</w:t>
      </w:r>
    </w:p>
    <w:p>
      <w:pPr>
        <w:pStyle w:val="Domylnie"/>
        <w:bidi w:val="0"/>
        <w:spacing w:before="0" w:after="57"/>
        <w:jc w:val="both"/>
        <w:rPr>
          <w:rStyle w:val="Mocnowyrniony"/>
          <w:rFonts w:ascii="Verdana" w:hAnsi="Verdana" w:cs="Calibri"/>
          <w:b w:val="false"/>
          <w:b w:val="false"/>
          <w:bCs w:val="false"/>
          <w:sz w:val="20"/>
          <w:szCs w:val="20"/>
          <w:highlight w:val="white"/>
        </w:rPr>
      </w:pPr>
      <w:r>
        <w:rPr>
          <w:rFonts w:cs="Calibri" w:ascii="Verdana" w:hAnsi="Verdana"/>
          <w:b w:val="false"/>
          <w:bCs w:val="false"/>
          <w:sz w:val="20"/>
          <w:szCs w:val="20"/>
          <w:highlight w:val="white"/>
        </w:rPr>
      </w:r>
    </w:p>
    <w:p>
      <w:pPr>
        <w:pStyle w:val="Domylnie"/>
        <w:bidi w:val="0"/>
        <w:spacing w:before="0" w:after="57"/>
        <w:jc w:val="both"/>
        <w:rPr/>
      </w:pPr>
      <w:r>
        <w:rPr>
          <w:rStyle w:val="Mocnowyrniony"/>
          <w:rFonts w:cs="Calibri" w:ascii="Verdana" w:hAnsi="Verdana"/>
          <w:b/>
          <w:bCs/>
          <w:i w:val="false"/>
          <w:iCs w:val="false"/>
          <w:sz w:val="20"/>
          <w:szCs w:val="20"/>
          <w:highlight w:val="white"/>
        </w:rPr>
        <w:t xml:space="preserve">3. </w:t>
      </w:r>
      <w:r>
        <w:rPr>
          <w:rStyle w:val="Wyrnienie"/>
          <w:rFonts w:cs="Calibri" w:ascii="Verdana" w:hAnsi="Verdana"/>
          <w:b/>
          <w:bCs/>
          <w:i w:val="false"/>
          <w:iCs w:val="false"/>
          <w:sz w:val="20"/>
          <w:szCs w:val="20"/>
          <w:highlight w:val="white"/>
        </w:rPr>
        <w:t>Oznakowanie z logo AED</w:t>
      </w:r>
      <w:r>
        <w:rPr>
          <w:rStyle w:val="Wyrnienie"/>
          <w:rFonts w:cs="Calibri" w:ascii="Verdana" w:hAnsi="Verdana"/>
          <w:b w:val="false"/>
          <w:bCs w:val="false"/>
          <w:i w:val="false"/>
          <w:iCs w:val="false"/>
          <w:sz w:val="20"/>
          <w:szCs w:val="20"/>
          <w:highlight w:val="white"/>
        </w:rPr>
        <w:t>– zestaw oznakowań zawiera przynajmniej dwa znaki bezpieczeństwa (tabliczki) z logo AED wg wytycznych Europejskiej Rady Resuscytacji oraz 1 ścienną instrukcję obsługi defibrylatora (oznakowanie na 2 miejsca, w których zostaną zamieszczone AED).</w:t>
      </w:r>
    </w:p>
    <w:p>
      <w:pPr>
        <w:pStyle w:val="Domylnie"/>
        <w:bidi w:val="0"/>
        <w:spacing w:before="0" w:after="57"/>
        <w:jc w:val="both"/>
        <w:rPr>
          <w:rStyle w:val="Mocnowyrniony"/>
          <w:rFonts w:ascii="Verdana" w:hAnsi="Verdana" w:cs="Verdana"/>
          <w:sz w:val="20"/>
          <w:szCs w:val="20"/>
          <w:highlight w:val="white"/>
        </w:rPr>
      </w:pPr>
      <w:r>
        <w:rPr>
          <w:rFonts w:cs="Verdana" w:ascii="Verdana" w:hAnsi="Verdana"/>
          <w:sz w:val="20"/>
          <w:szCs w:val="20"/>
          <w:highlight w:val="white"/>
        </w:rPr>
      </w:r>
    </w:p>
    <w:p>
      <w:pPr>
        <w:pStyle w:val="Domylnie"/>
        <w:bidi w:val="0"/>
        <w:spacing w:lineRule="auto" w:line="240" w:before="0" w:after="0"/>
        <w:jc w:val="both"/>
        <w:rPr/>
      </w:pPr>
      <w:r>
        <w:rPr>
          <w:rStyle w:val="Mocnowyrniony"/>
          <w:rFonts w:ascii="Verdana" w:hAnsi="Verdana"/>
          <w:i/>
          <w:iCs/>
          <w:sz w:val="22"/>
          <w:szCs w:val="22"/>
          <w:u w:val="single"/>
        </w:rPr>
        <w:t>Akcesoria dodatkowe:</w:t>
      </w:r>
    </w:p>
    <w:p>
      <w:pPr>
        <w:pStyle w:val="Domylnie"/>
        <w:jc w:val="both"/>
        <w:rPr>
          <w:rStyle w:val="Mocnowyrniony"/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Wyrnienie"/>
          <w:rFonts w:ascii="Verdana" w:hAnsi="Verdana"/>
          <w:sz w:val="20"/>
          <w:szCs w:val="20"/>
        </w:rPr>
        <w:t>Apteczka (przenośny zestaw pierwszej pomocy zawierający: rękawiczki jednorazowe, maseczkę do sztucznego oddychania, nożyczki, jednorazową maszynkę do golenia, szmatkę do osuszenia klatki piersiowej poszkodowanego);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Wyrnienie"/>
          <w:rFonts w:ascii="Verdana" w:hAnsi="Verdana"/>
          <w:sz w:val="20"/>
          <w:szCs w:val="20"/>
        </w:rPr>
        <w:t>Lifekey - osłona twarzy z zaworem jednokierunkowym do resuscytacji.</w:t>
      </w:r>
    </w:p>
    <w:p>
      <w:pPr>
        <w:pStyle w:val="Tretekstu"/>
        <w:widowControl w:val="false"/>
        <w:numPr>
          <w:ilvl w:val="0"/>
          <w:numId w:val="0"/>
        </w:numPr>
        <w:bidi w:val="0"/>
        <w:spacing w:before="0" w:after="0"/>
        <w:ind w:left="0" w:right="0" w:hanging="0"/>
        <w:jc w:val="both"/>
        <w:rPr>
          <w:rFonts w:ascii="Verdana" w:hAnsi="Verdana" w:eastAsia="Verdana" w:cs="Calibri"/>
          <w:color w:val="000000"/>
          <w:sz w:val="20"/>
          <w:szCs w:val="20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080" w:right="1080" w:header="0" w:top="1440" w:footer="1440" w:bottom="1942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paragraph" w:styleId="Nagwek9">
    <w:name w:val="Heading 9"/>
    <w:basedOn w:val="Nagwek"/>
    <w:qFormat/>
    <w:pPr>
      <w:keepNext/>
      <w:widowControl w:val="false"/>
      <w:bidi w:val="0"/>
      <w:ind w:left="0" w:right="-110" w:hanging="0"/>
      <w:jc w:val="center"/>
    </w:pPr>
    <w:rPr>
      <w:rFonts w:ascii="Liberation Serif" w:hAnsi="Liberation Serif" w:eastAsia="SimSun" w:cs="Arial"/>
      <w:b/>
      <w:bCs/>
      <w:color w:val="00000A"/>
      <w:sz w:val="28"/>
      <w:szCs w:val="18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Czeinternetowe">
    <w:name w:val="Łącze internetowe"/>
    <w:rPr>
      <w:color w:val="0000FF"/>
      <w:u w:val="single"/>
      <w:lang w:val="pl-PL" w:eastAsia="pl-PL" w:bidi="pl-PL"/>
    </w:rPr>
  </w:style>
  <w:style w:type="character" w:styleId="Mocnowyrniony">
    <w:name w:val="Mocno wyróżniony"/>
    <w:qFormat/>
    <w:rPr>
      <w:b/>
      <w:bCs/>
    </w:rPr>
  </w:style>
  <w:style w:type="character" w:styleId="Nagwek9Znak">
    <w:name w:val="Nagłówek 9 Znak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Arial"/>
      <w:b w:val="false"/>
      <w:i w:val="false"/>
      <w:color w:val="00000A"/>
    </w:rPr>
  </w:style>
  <w:style w:type="character" w:styleId="ListLabel4">
    <w:name w:val="ListLabel 4"/>
    <w:qFormat/>
    <w:rPr>
      <w:rFonts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b w:val="false"/>
      <w:i w:val="false"/>
      <w:color w:val="00000A"/>
    </w:rPr>
  </w:style>
  <w:style w:type="character" w:styleId="ListLabel9">
    <w:name w:val="ListLabel 9"/>
    <w:qFormat/>
    <w:rPr>
      <w:rFonts w:cs="Tahoma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b w:val="false"/>
      <w:i w:val="false"/>
      <w:color w:val="00000A"/>
    </w:rPr>
  </w:style>
  <w:style w:type="character" w:styleId="ListLabel14">
    <w:name w:val="ListLabel 14"/>
    <w:qFormat/>
    <w:rPr>
      <w:rFonts w:cs="OpenSymbol"/>
    </w:rPr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Wyrnienie">
    <w:name w:val="Wyróżnienie"/>
    <w:qFormat/>
    <w:rPr>
      <w:i/>
      <w:iCs/>
    </w:rPr>
  </w:style>
  <w:style w:type="character" w:styleId="ListLabel15">
    <w:name w:val="ListLabel 15"/>
    <w:qFormat/>
    <w:rPr>
      <w:rFonts w:cs="Wingdings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Wingdings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rFonts w:ascii="Verdana" w:hAnsi="Verdana"/>
      <w:b/>
      <w:bCs/>
      <w:sz w:val="20"/>
      <w:szCs w:val="20"/>
    </w:rPr>
  </w:style>
  <w:style w:type="character" w:styleId="ListLabel50">
    <w:name w:val="ListLabel 50"/>
    <w:qFormat/>
    <w:rPr>
      <w:rFonts w:ascii="Verdana" w:hAnsi="Verdana" w:cs="Wingdings"/>
      <w:sz w:val="20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Verdana" w:hAnsi="Verdana" w:cs="Wingdings"/>
      <w:sz w:val="20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Verdana" w:hAnsi="Verdana"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ascii="Verdana" w:hAnsi="Verdana" w:cs="Wingdings"/>
      <w:sz w:val="20"/>
    </w:rPr>
  </w:style>
  <w:style w:type="character" w:styleId="ListLabel82">
    <w:name w:val="ListLabel 82"/>
    <w:qFormat/>
    <w:rPr>
      <w:rFonts w:ascii="Verdana" w:hAnsi="Verdana" w:cs="Wingdings"/>
      <w:sz w:val="20"/>
    </w:rPr>
  </w:style>
  <w:style w:type="character" w:styleId="ListLabel83">
    <w:name w:val="ListLabel 83"/>
    <w:qFormat/>
    <w:rPr>
      <w:rFonts w:ascii="Arial" w:hAnsi="Arial" w:cs="Wingdings"/>
      <w:sz w:val="22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Wingdings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ascii="Verdana" w:hAnsi="Verdana" w:cs="Wingdings"/>
      <w:sz w:val="20"/>
    </w:rPr>
  </w:style>
  <w:style w:type="character" w:styleId="ListLabel102">
    <w:name w:val="ListLabel 102"/>
    <w:qFormat/>
    <w:rPr>
      <w:rFonts w:ascii="Verdana" w:hAnsi="Verdana" w:cs="Wingdings"/>
      <w:sz w:val="20"/>
    </w:rPr>
  </w:style>
  <w:style w:type="character" w:styleId="ListLabel103">
    <w:name w:val="ListLabel 103"/>
    <w:qFormat/>
    <w:rPr>
      <w:rFonts w:ascii="Arial" w:hAnsi="Arial" w:cs="Wingdings"/>
      <w:sz w:val="22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WW8Num4z0">
    <w:name w:val="WW8Num4z0"/>
    <w:qFormat/>
    <w:rPr>
      <w:b w:val="false"/>
    </w:rPr>
  </w:style>
  <w:style w:type="character" w:styleId="ListLabel112">
    <w:name w:val="ListLabel 112"/>
    <w:qFormat/>
    <w:rPr>
      <w:rFonts w:cs="Wingdings"/>
      <w:sz w:val="20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ascii="Verdana" w:hAnsi="Verdana" w:cs="Wingdings"/>
      <w:sz w:val="20"/>
    </w:rPr>
  </w:style>
  <w:style w:type="character" w:styleId="ListLabel122">
    <w:name w:val="ListLabel 122"/>
    <w:qFormat/>
    <w:rPr>
      <w:rFonts w:ascii="Verdana" w:hAnsi="Verdana" w:cs="Wingdings"/>
      <w:sz w:val="20"/>
    </w:rPr>
  </w:style>
  <w:style w:type="character" w:styleId="ListLabel123">
    <w:name w:val="ListLabel 123"/>
    <w:qFormat/>
    <w:rPr>
      <w:rFonts w:ascii="Arial" w:hAnsi="Arial" w:cs="Wingdings"/>
      <w:sz w:val="22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Wingdings"/>
      <w:sz w:val="20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ascii="Verdana" w:hAnsi="Verdana" w:cs="Wingdings"/>
      <w:sz w:val="20"/>
    </w:rPr>
  </w:style>
  <w:style w:type="character" w:styleId="ListLabel169">
    <w:name w:val="ListLabel 169"/>
    <w:qFormat/>
    <w:rPr>
      <w:rFonts w:ascii="Verdana" w:hAnsi="Verdana" w:cs="Wingdings"/>
      <w:sz w:val="20"/>
    </w:rPr>
  </w:style>
  <w:style w:type="character" w:styleId="ListLabel170">
    <w:name w:val="ListLabel 170"/>
    <w:qFormat/>
    <w:rPr>
      <w:rFonts w:ascii="Arial" w:hAnsi="Arial" w:cs="Wingdings"/>
      <w:sz w:val="22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Wingdings"/>
      <w:sz w:val="20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Verdana" w:hAnsi="Verdana" w:cs="Wingdings"/>
      <w:sz w:val="20"/>
    </w:rPr>
  </w:style>
  <w:style w:type="character" w:styleId="ListLabel216">
    <w:name w:val="ListLabel 216"/>
    <w:qFormat/>
    <w:rPr>
      <w:rFonts w:ascii="Verdana" w:hAnsi="Verdana" w:cs="Wingdings"/>
      <w:sz w:val="20"/>
    </w:rPr>
  </w:style>
  <w:style w:type="character" w:styleId="ListLabel217">
    <w:name w:val="ListLabel 217"/>
    <w:qFormat/>
    <w:rPr>
      <w:rFonts w:ascii="Arial" w:hAnsi="Arial" w:cs="Wingdings"/>
      <w:sz w:val="22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Wingdings"/>
      <w:sz w:val="20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ascii="Verdana" w:hAnsi="Verdana" w:cs="Wingdings"/>
      <w:sz w:val="20"/>
    </w:rPr>
  </w:style>
  <w:style w:type="character" w:styleId="ListLabel254">
    <w:name w:val="ListLabel 254"/>
    <w:qFormat/>
    <w:rPr>
      <w:rFonts w:ascii="Verdana" w:hAnsi="Verdana" w:cs="Wingdings"/>
      <w:sz w:val="20"/>
    </w:rPr>
  </w:style>
  <w:style w:type="character" w:styleId="ListLabel255">
    <w:name w:val="ListLabel 255"/>
    <w:qFormat/>
    <w:rPr>
      <w:rFonts w:ascii="Verdana" w:hAnsi="Verdana" w:cs="Wingdings"/>
      <w:sz w:val="20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Wingdings"/>
      <w:sz w:val="20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ascii="Verdana" w:hAnsi="Verdana" w:cs="Wingdings"/>
      <w:sz w:val="20"/>
    </w:rPr>
  </w:style>
  <w:style w:type="character" w:styleId="ListLabel292">
    <w:name w:val="ListLabel 292"/>
    <w:qFormat/>
    <w:rPr>
      <w:rFonts w:ascii="Verdana" w:hAnsi="Verdana" w:cs="Wingdings"/>
      <w:sz w:val="20"/>
    </w:rPr>
  </w:style>
  <w:style w:type="character" w:styleId="ListLabel293">
    <w:name w:val="ListLabel 293"/>
    <w:qFormat/>
    <w:rPr>
      <w:rFonts w:ascii="Verdana" w:hAnsi="Verdana" w:cs="Wingdings"/>
      <w:sz w:val="20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Wingdings"/>
      <w:sz w:val="20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ascii="Verdana" w:hAnsi="Verdana" w:cs="Wingdings"/>
      <w:sz w:val="20"/>
    </w:rPr>
  </w:style>
  <w:style w:type="character" w:styleId="ListLabel330">
    <w:name w:val="ListLabel 330"/>
    <w:qFormat/>
    <w:rPr>
      <w:rFonts w:ascii="Verdana" w:hAnsi="Verdana" w:cs="Wingdings"/>
      <w:sz w:val="20"/>
    </w:rPr>
  </w:style>
  <w:style w:type="character" w:styleId="ListLabel331">
    <w:name w:val="ListLabel 331"/>
    <w:qFormat/>
    <w:rPr>
      <w:rFonts w:ascii="Verdana" w:hAnsi="Verdana" w:cs="OpenSymbol"/>
      <w:sz w:val="20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ascii="Verdana" w:hAnsi="Verdana" w:cs="OpenSymbol"/>
      <w:sz w:val="20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ascii="Verdana" w:hAnsi="Verdana" w:cs="Wingdings"/>
      <w:sz w:val="20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Wingdings"/>
      <w:sz w:val="20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ascii="Verdana" w:hAnsi="Verdana" w:cs="Wingdings"/>
      <w:sz w:val="20"/>
    </w:rPr>
  </w:style>
  <w:style w:type="character" w:styleId="ListLabel368">
    <w:name w:val="ListLabel 368"/>
    <w:qFormat/>
    <w:rPr>
      <w:rFonts w:ascii="Verdana" w:hAnsi="Verdana" w:cs="Wingdings"/>
      <w:sz w:val="20"/>
    </w:rPr>
  </w:style>
  <w:style w:type="character" w:styleId="ListLabel369">
    <w:name w:val="ListLabel 369"/>
    <w:qFormat/>
    <w:rPr>
      <w:rFonts w:ascii="Verdana" w:hAnsi="Verdana" w:cs="OpenSymbol"/>
      <w:sz w:val="20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ascii="Verdana" w:hAnsi="Verdana" w:cs="OpenSymbol"/>
      <w:sz w:val="20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ascii="Verdana" w:hAnsi="Verdana" w:cs="Wingdings"/>
      <w:sz w:val="20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Wingdings"/>
      <w:sz w:val="20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ascii="Verdana" w:hAnsi="Verdana" w:cs="Wingdings"/>
      <w:sz w:val="20"/>
    </w:rPr>
  </w:style>
  <w:style w:type="character" w:styleId="ListLabel406">
    <w:name w:val="ListLabel 406"/>
    <w:qFormat/>
    <w:rPr>
      <w:rFonts w:ascii="Verdana" w:hAnsi="Verdana" w:cs="Wingdings"/>
      <w:sz w:val="20"/>
    </w:rPr>
  </w:style>
  <w:style w:type="character" w:styleId="ListLabel407">
    <w:name w:val="ListLabel 407"/>
    <w:qFormat/>
    <w:rPr>
      <w:rFonts w:ascii="Verdana" w:hAnsi="Verdana" w:cs="Wingdings"/>
      <w:sz w:val="20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Wingdings"/>
      <w:sz w:val="20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cs="Wingdings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ascii="Verdana" w:hAnsi="Verdana" w:cs="Wingdings"/>
      <w:sz w:val="20"/>
    </w:rPr>
  </w:style>
  <w:style w:type="character" w:styleId="ListLabel426">
    <w:name w:val="ListLabel 426"/>
    <w:qFormat/>
    <w:rPr>
      <w:rFonts w:ascii="Verdana" w:hAnsi="Verdana" w:cs="Wingdings"/>
      <w:sz w:val="20"/>
    </w:rPr>
  </w:style>
  <w:style w:type="character" w:styleId="ListLabel427">
    <w:name w:val="ListLabel 427"/>
    <w:qFormat/>
    <w:rPr>
      <w:rFonts w:ascii="Verdana" w:hAnsi="Verdana" w:cs="Wingdings"/>
      <w:sz w:val="20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Wingdings"/>
      <w:sz w:val="20"/>
    </w:rPr>
  </w:style>
  <w:style w:type="character" w:styleId="ListLabel437">
    <w:name w:val="ListLabel 437"/>
    <w:qFormat/>
    <w:rPr>
      <w:rFonts w:cs="Wingdings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Wingdings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Wingdings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ascii="Verdana" w:hAnsi="Verdana" w:cs="Wingdings"/>
      <w:sz w:val="20"/>
    </w:rPr>
  </w:style>
  <w:style w:type="character" w:styleId="ListLabel446">
    <w:name w:val="ListLabel 446"/>
    <w:qFormat/>
    <w:rPr>
      <w:rFonts w:ascii="Verdana" w:hAnsi="Verdana" w:cs="Wingdings"/>
      <w:sz w:val="20"/>
    </w:rPr>
  </w:style>
  <w:style w:type="character" w:styleId="ListLabel447">
    <w:name w:val="ListLabel 447"/>
    <w:qFormat/>
    <w:rPr>
      <w:rFonts w:ascii="Verdana" w:hAnsi="Verdana" w:cs="Wingdings"/>
      <w:sz w:val="20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Wingdings"/>
      <w:sz w:val="20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cs="Wingdings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Wingdings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Wingdings"/>
    </w:rPr>
  </w:style>
  <w:style w:type="character" w:styleId="ListLabel465">
    <w:name w:val="ListLabel 465"/>
    <w:qFormat/>
    <w:rPr>
      <w:rFonts w:ascii="Verdana" w:hAnsi="Verdana" w:cs="Wingdings"/>
      <w:sz w:val="20"/>
    </w:rPr>
  </w:style>
  <w:style w:type="character" w:styleId="ListLabel466">
    <w:name w:val="ListLabel 466"/>
    <w:qFormat/>
    <w:rPr>
      <w:rFonts w:ascii="Verdana" w:hAnsi="Verdana" w:cs="Wingdings"/>
      <w:sz w:val="20"/>
    </w:rPr>
  </w:style>
  <w:style w:type="character" w:styleId="ListLabel467">
    <w:name w:val="ListLabel 467"/>
    <w:qFormat/>
    <w:rPr>
      <w:rFonts w:ascii="Verdana" w:hAnsi="Verdana" w:cs="Wingdings"/>
      <w:sz w:val="20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Wingdings"/>
      <w:sz w:val="20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Wingdings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Wingdings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ascii="Verdana" w:hAnsi="Verdana" w:cs="Wingdings"/>
      <w:sz w:val="20"/>
    </w:rPr>
  </w:style>
  <w:style w:type="character" w:styleId="ListLabel486">
    <w:name w:val="ListLabel 486"/>
    <w:qFormat/>
    <w:rPr>
      <w:rFonts w:ascii="Verdana" w:hAnsi="Verdana" w:cs="Wingdings"/>
      <w:sz w:val="20"/>
    </w:rPr>
  </w:style>
  <w:style w:type="character" w:styleId="ListLabel487">
    <w:name w:val="ListLabel 487"/>
    <w:qFormat/>
    <w:rPr>
      <w:rFonts w:ascii="Verdana" w:hAnsi="Verdana" w:cs="Wingdings"/>
      <w:sz w:val="20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Wingdings"/>
      <w:sz w:val="20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ascii="Verdana" w:hAnsi="Verdana" w:cs="Wingdings"/>
      <w:sz w:val="20"/>
    </w:rPr>
  </w:style>
  <w:style w:type="character" w:styleId="ListLabel506">
    <w:name w:val="ListLabel 506"/>
    <w:qFormat/>
    <w:rPr>
      <w:rFonts w:ascii="Verdana" w:hAnsi="Verdana" w:cs="Wingdings"/>
      <w:sz w:val="20"/>
    </w:rPr>
  </w:style>
  <w:style w:type="character" w:styleId="ListLabel507">
    <w:name w:val="ListLabel 507"/>
    <w:qFormat/>
    <w:rPr>
      <w:rFonts w:ascii="Verdana" w:hAnsi="Verdana" w:cs="Wingdings"/>
      <w:sz w:val="20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b w:val="false"/>
      <w:bCs/>
      <w:sz w:val="20"/>
      <w:szCs w:val="20"/>
    </w:rPr>
  </w:style>
  <w:style w:type="character" w:styleId="ListLabel517">
    <w:name w:val="ListLabel 517"/>
    <w:qFormat/>
    <w:rPr>
      <w:b/>
      <w:bCs/>
      <w:sz w:val="20"/>
      <w:szCs w:val="20"/>
    </w:rPr>
  </w:style>
  <w:style w:type="character" w:styleId="ListLabel518">
    <w:name w:val="ListLabel 518"/>
    <w:qFormat/>
    <w:rPr>
      <w:b/>
      <w:bCs/>
      <w:sz w:val="20"/>
      <w:szCs w:val="20"/>
    </w:rPr>
  </w:style>
  <w:style w:type="character" w:styleId="ListLabel519">
    <w:name w:val="ListLabel 519"/>
    <w:qFormat/>
    <w:rPr>
      <w:b/>
      <w:bCs/>
      <w:sz w:val="20"/>
      <w:szCs w:val="20"/>
    </w:rPr>
  </w:style>
  <w:style w:type="character" w:styleId="ListLabel520">
    <w:name w:val="ListLabel 520"/>
    <w:qFormat/>
    <w:rPr>
      <w:b/>
      <w:bCs/>
      <w:sz w:val="20"/>
      <w:szCs w:val="20"/>
    </w:rPr>
  </w:style>
  <w:style w:type="character" w:styleId="ListLabel521">
    <w:name w:val="ListLabel 521"/>
    <w:qFormat/>
    <w:rPr>
      <w:b/>
      <w:bCs/>
      <w:sz w:val="20"/>
      <w:szCs w:val="20"/>
    </w:rPr>
  </w:style>
  <w:style w:type="character" w:styleId="ListLabel522">
    <w:name w:val="ListLabel 522"/>
    <w:qFormat/>
    <w:rPr>
      <w:b/>
      <w:bCs/>
      <w:sz w:val="20"/>
      <w:szCs w:val="20"/>
    </w:rPr>
  </w:style>
  <w:style w:type="character" w:styleId="ListLabel523">
    <w:name w:val="ListLabel 523"/>
    <w:qFormat/>
    <w:rPr>
      <w:b/>
      <w:bCs/>
      <w:sz w:val="20"/>
      <w:szCs w:val="20"/>
    </w:rPr>
  </w:style>
  <w:style w:type="character" w:styleId="ListLabel524">
    <w:name w:val="ListLabel 524"/>
    <w:qFormat/>
    <w:rPr>
      <w:b/>
      <w:bCs/>
      <w:sz w:val="20"/>
      <w:szCs w:val="20"/>
    </w:rPr>
  </w:style>
  <w:style w:type="character" w:styleId="ListLabel525">
    <w:name w:val="ListLabel 525"/>
    <w:qFormat/>
    <w:rPr>
      <w:rFonts w:cs="Wingdings"/>
      <w:sz w:val="20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Wingdings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cs="Wingdings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Wingdings"/>
    </w:rPr>
  </w:style>
  <w:style w:type="character" w:styleId="ListLabel534">
    <w:name w:val="ListLabel 534"/>
    <w:qFormat/>
    <w:rPr>
      <w:rFonts w:ascii="Verdana" w:hAnsi="Verdana" w:cs="Wingdings"/>
      <w:sz w:val="20"/>
    </w:rPr>
  </w:style>
  <w:style w:type="character" w:styleId="ListLabel535">
    <w:name w:val="ListLabel 535"/>
    <w:qFormat/>
    <w:rPr>
      <w:rFonts w:ascii="Verdana" w:hAnsi="Verdana" w:cs="Wingdings"/>
      <w:sz w:val="20"/>
    </w:rPr>
  </w:style>
  <w:style w:type="character" w:styleId="ListLabel536">
    <w:name w:val="ListLabel 536"/>
    <w:qFormat/>
    <w:rPr>
      <w:rFonts w:ascii="Verdana" w:hAnsi="Verdana" w:cs="Wingdings"/>
      <w:sz w:val="20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b w:val="false"/>
      <w:bCs/>
      <w:sz w:val="20"/>
      <w:szCs w:val="20"/>
    </w:rPr>
  </w:style>
  <w:style w:type="character" w:styleId="ListLabel546">
    <w:name w:val="ListLabel 546"/>
    <w:qFormat/>
    <w:rPr>
      <w:b/>
      <w:bCs/>
      <w:sz w:val="20"/>
      <w:szCs w:val="20"/>
    </w:rPr>
  </w:style>
  <w:style w:type="character" w:styleId="ListLabel547">
    <w:name w:val="ListLabel 547"/>
    <w:qFormat/>
    <w:rPr>
      <w:b/>
      <w:bCs/>
      <w:sz w:val="20"/>
      <w:szCs w:val="20"/>
    </w:rPr>
  </w:style>
  <w:style w:type="character" w:styleId="ListLabel548">
    <w:name w:val="ListLabel 548"/>
    <w:qFormat/>
    <w:rPr>
      <w:b/>
      <w:bCs/>
      <w:sz w:val="20"/>
      <w:szCs w:val="20"/>
    </w:rPr>
  </w:style>
  <w:style w:type="character" w:styleId="ListLabel549">
    <w:name w:val="ListLabel 549"/>
    <w:qFormat/>
    <w:rPr>
      <w:b/>
      <w:bCs/>
      <w:sz w:val="20"/>
      <w:szCs w:val="20"/>
    </w:rPr>
  </w:style>
  <w:style w:type="character" w:styleId="ListLabel550">
    <w:name w:val="ListLabel 550"/>
    <w:qFormat/>
    <w:rPr>
      <w:b/>
      <w:bCs/>
      <w:sz w:val="20"/>
      <w:szCs w:val="20"/>
    </w:rPr>
  </w:style>
  <w:style w:type="character" w:styleId="ListLabel551">
    <w:name w:val="ListLabel 551"/>
    <w:qFormat/>
    <w:rPr>
      <w:b/>
      <w:bCs/>
      <w:sz w:val="20"/>
      <w:szCs w:val="20"/>
    </w:rPr>
  </w:style>
  <w:style w:type="character" w:styleId="ListLabel552">
    <w:name w:val="ListLabel 552"/>
    <w:qFormat/>
    <w:rPr>
      <w:b/>
      <w:bCs/>
      <w:sz w:val="20"/>
      <w:szCs w:val="20"/>
    </w:rPr>
  </w:style>
  <w:style w:type="character" w:styleId="ListLabel553">
    <w:name w:val="ListLabel 553"/>
    <w:qFormat/>
    <w:rPr>
      <w:b/>
      <w:bCs/>
      <w:sz w:val="20"/>
      <w:szCs w:val="20"/>
    </w:rPr>
  </w:style>
  <w:style w:type="character" w:styleId="ListLabel554">
    <w:name w:val="ListLabel 554"/>
    <w:qFormat/>
    <w:rPr>
      <w:rFonts w:cs="Wingdings"/>
      <w:sz w:val="20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Wingdings"/>
    </w:rPr>
  </w:style>
  <w:style w:type="character" w:styleId="ListLabel557">
    <w:name w:val="ListLabel 557"/>
    <w:qFormat/>
    <w:rPr>
      <w:rFonts w:cs="Wingdings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Wingdings"/>
    </w:rPr>
  </w:style>
  <w:style w:type="character" w:styleId="ListLabel560">
    <w:name w:val="ListLabel 560"/>
    <w:qFormat/>
    <w:rPr>
      <w:rFonts w:cs="Wingdings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Wingdings"/>
    </w:rPr>
  </w:style>
  <w:style w:type="character" w:styleId="ListLabel563">
    <w:name w:val="ListLabel 563"/>
    <w:qFormat/>
    <w:rPr>
      <w:rFonts w:ascii="Verdana" w:hAnsi="Verdana" w:cs="Wingdings"/>
      <w:sz w:val="20"/>
    </w:rPr>
  </w:style>
  <w:style w:type="character" w:styleId="ListLabel564">
    <w:name w:val="ListLabel 564"/>
    <w:qFormat/>
    <w:rPr>
      <w:rFonts w:ascii="Verdana" w:hAnsi="Verdana" w:cs="Wingdings"/>
      <w:sz w:val="20"/>
    </w:rPr>
  </w:style>
  <w:style w:type="character" w:styleId="ListLabel565">
    <w:name w:val="ListLabel 565"/>
    <w:qFormat/>
    <w:rPr>
      <w:rFonts w:cs="Wingdings"/>
      <w:sz w:val="20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b w:val="false"/>
      <w:bCs/>
      <w:sz w:val="20"/>
      <w:szCs w:val="20"/>
    </w:rPr>
  </w:style>
  <w:style w:type="character" w:styleId="ListLabel575">
    <w:name w:val="ListLabel 575"/>
    <w:qFormat/>
    <w:rPr>
      <w:b/>
      <w:bCs/>
      <w:sz w:val="20"/>
      <w:szCs w:val="20"/>
    </w:rPr>
  </w:style>
  <w:style w:type="character" w:styleId="ListLabel576">
    <w:name w:val="ListLabel 576"/>
    <w:qFormat/>
    <w:rPr>
      <w:b/>
      <w:bCs/>
      <w:sz w:val="20"/>
      <w:szCs w:val="20"/>
    </w:rPr>
  </w:style>
  <w:style w:type="character" w:styleId="ListLabel577">
    <w:name w:val="ListLabel 577"/>
    <w:qFormat/>
    <w:rPr>
      <w:b/>
      <w:bCs/>
      <w:sz w:val="20"/>
      <w:szCs w:val="20"/>
    </w:rPr>
  </w:style>
  <w:style w:type="character" w:styleId="ListLabel578">
    <w:name w:val="ListLabel 578"/>
    <w:qFormat/>
    <w:rPr>
      <w:b/>
      <w:bCs/>
      <w:sz w:val="20"/>
      <w:szCs w:val="20"/>
    </w:rPr>
  </w:style>
  <w:style w:type="character" w:styleId="ListLabel579">
    <w:name w:val="ListLabel 579"/>
    <w:qFormat/>
    <w:rPr>
      <w:b/>
      <w:bCs/>
      <w:sz w:val="20"/>
      <w:szCs w:val="20"/>
    </w:rPr>
  </w:style>
  <w:style w:type="character" w:styleId="ListLabel580">
    <w:name w:val="ListLabel 580"/>
    <w:qFormat/>
    <w:rPr>
      <w:b/>
      <w:bCs/>
      <w:sz w:val="20"/>
      <w:szCs w:val="20"/>
    </w:rPr>
  </w:style>
  <w:style w:type="character" w:styleId="ListLabel581">
    <w:name w:val="ListLabel 581"/>
    <w:qFormat/>
    <w:rPr>
      <w:b/>
      <w:bCs/>
      <w:sz w:val="20"/>
      <w:szCs w:val="20"/>
    </w:rPr>
  </w:style>
  <w:style w:type="character" w:styleId="ListLabel582">
    <w:name w:val="ListLabel 582"/>
    <w:qFormat/>
    <w:rPr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ListLabel583">
    <w:name w:val="ListLabel 583"/>
    <w:qFormat/>
    <w:rPr>
      <w:rFonts w:cs="Wingdings"/>
      <w:sz w:val="20"/>
    </w:rPr>
  </w:style>
  <w:style w:type="character" w:styleId="ListLabel584">
    <w:name w:val="ListLabel 584"/>
    <w:qFormat/>
    <w:rPr>
      <w:rFonts w:cs="Wingdings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Wingdings"/>
    </w:rPr>
  </w:style>
  <w:style w:type="character" w:styleId="ListLabel587">
    <w:name w:val="ListLabel 587"/>
    <w:qFormat/>
    <w:rPr>
      <w:rFonts w:cs="Wingdings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Wingdings"/>
    </w:rPr>
  </w:style>
  <w:style w:type="character" w:styleId="ListLabel590">
    <w:name w:val="ListLabel 590"/>
    <w:qFormat/>
    <w:rPr>
      <w:rFonts w:cs="Wingdings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ascii="Verdana" w:hAnsi="Verdana" w:cs="Wingdings"/>
      <w:sz w:val="20"/>
    </w:rPr>
  </w:style>
  <w:style w:type="character" w:styleId="ListLabel593">
    <w:name w:val="ListLabel 593"/>
    <w:qFormat/>
    <w:rPr>
      <w:rFonts w:cs="Wingdings"/>
      <w:sz w:val="20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b w:val="false"/>
      <w:bCs/>
      <w:sz w:val="20"/>
      <w:szCs w:val="20"/>
    </w:rPr>
  </w:style>
  <w:style w:type="character" w:styleId="ListLabel603">
    <w:name w:val="ListLabel 603"/>
    <w:qFormat/>
    <w:rPr>
      <w:b/>
      <w:bCs/>
      <w:sz w:val="20"/>
      <w:szCs w:val="20"/>
    </w:rPr>
  </w:style>
  <w:style w:type="character" w:styleId="ListLabel604">
    <w:name w:val="ListLabel 604"/>
    <w:qFormat/>
    <w:rPr>
      <w:b/>
      <w:bCs/>
      <w:sz w:val="20"/>
      <w:szCs w:val="20"/>
    </w:rPr>
  </w:style>
  <w:style w:type="character" w:styleId="ListLabel605">
    <w:name w:val="ListLabel 605"/>
    <w:qFormat/>
    <w:rPr>
      <w:b/>
      <w:bCs/>
      <w:sz w:val="20"/>
      <w:szCs w:val="20"/>
    </w:rPr>
  </w:style>
  <w:style w:type="character" w:styleId="ListLabel606">
    <w:name w:val="ListLabel 606"/>
    <w:qFormat/>
    <w:rPr>
      <w:b/>
      <w:bCs/>
      <w:sz w:val="20"/>
      <w:szCs w:val="20"/>
    </w:rPr>
  </w:style>
  <w:style w:type="character" w:styleId="ListLabel607">
    <w:name w:val="ListLabel 607"/>
    <w:qFormat/>
    <w:rPr>
      <w:b/>
      <w:bCs/>
      <w:sz w:val="20"/>
      <w:szCs w:val="20"/>
    </w:rPr>
  </w:style>
  <w:style w:type="character" w:styleId="ListLabel608">
    <w:name w:val="ListLabel 608"/>
    <w:qFormat/>
    <w:rPr>
      <w:b/>
      <w:bCs/>
      <w:sz w:val="20"/>
      <w:szCs w:val="20"/>
    </w:rPr>
  </w:style>
  <w:style w:type="character" w:styleId="ListLabel609">
    <w:name w:val="ListLabel 609"/>
    <w:qFormat/>
    <w:rPr>
      <w:b/>
      <w:bCs/>
      <w:sz w:val="20"/>
      <w:szCs w:val="20"/>
    </w:rPr>
  </w:style>
  <w:style w:type="character" w:styleId="ListLabel610">
    <w:name w:val="ListLabel 610"/>
    <w:qFormat/>
    <w:rPr>
      <w:b/>
      <w:bCs/>
      <w:sz w:val="20"/>
      <w:szCs w:val="20"/>
    </w:rPr>
  </w:style>
  <w:style w:type="character" w:styleId="ListLabel611">
    <w:name w:val="ListLabel 611"/>
    <w:qFormat/>
    <w:rPr>
      <w:rFonts w:cs="Wingdings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Wingdings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Wingdings"/>
      <w:sz w:val="20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Wingdings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Wingdings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ascii="Verdana" w:hAnsi="Verdana" w:cs="Wingdings"/>
      <w:sz w:val="20"/>
    </w:rPr>
  </w:style>
  <w:style w:type="character" w:styleId="ListLabel639">
    <w:name w:val="ListLabel 639"/>
    <w:qFormat/>
    <w:rPr>
      <w:rFonts w:cs="Wingdings"/>
      <w:sz w:val="20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b w:val="false"/>
      <w:bCs/>
      <w:sz w:val="20"/>
      <w:szCs w:val="20"/>
    </w:rPr>
  </w:style>
  <w:style w:type="character" w:styleId="ListLabel649">
    <w:name w:val="ListLabel 649"/>
    <w:qFormat/>
    <w:rPr>
      <w:b/>
      <w:bCs/>
      <w:sz w:val="20"/>
      <w:szCs w:val="20"/>
    </w:rPr>
  </w:style>
  <w:style w:type="character" w:styleId="ListLabel650">
    <w:name w:val="ListLabel 650"/>
    <w:qFormat/>
    <w:rPr>
      <w:b/>
      <w:bCs/>
      <w:sz w:val="20"/>
      <w:szCs w:val="20"/>
    </w:rPr>
  </w:style>
  <w:style w:type="character" w:styleId="ListLabel651">
    <w:name w:val="ListLabel 651"/>
    <w:qFormat/>
    <w:rPr>
      <w:b/>
      <w:bCs/>
      <w:sz w:val="20"/>
      <w:szCs w:val="20"/>
    </w:rPr>
  </w:style>
  <w:style w:type="character" w:styleId="ListLabel652">
    <w:name w:val="ListLabel 652"/>
    <w:qFormat/>
    <w:rPr>
      <w:b/>
      <w:bCs/>
      <w:sz w:val="20"/>
      <w:szCs w:val="20"/>
    </w:rPr>
  </w:style>
  <w:style w:type="character" w:styleId="ListLabel653">
    <w:name w:val="ListLabel 653"/>
    <w:qFormat/>
    <w:rPr>
      <w:b/>
      <w:bCs/>
      <w:sz w:val="20"/>
      <w:szCs w:val="20"/>
    </w:rPr>
  </w:style>
  <w:style w:type="character" w:styleId="ListLabel654">
    <w:name w:val="ListLabel 654"/>
    <w:qFormat/>
    <w:rPr>
      <w:b/>
      <w:bCs/>
      <w:sz w:val="20"/>
      <w:szCs w:val="20"/>
    </w:rPr>
  </w:style>
  <w:style w:type="character" w:styleId="ListLabel655">
    <w:name w:val="ListLabel 655"/>
    <w:qFormat/>
    <w:rPr>
      <w:b/>
      <w:bCs/>
      <w:sz w:val="20"/>
      <w:szCs w:val="20"/>
    </w:rPr>
  </w:style>
  <w:style w:type="character" w:styleId="ListLabel656">
    <w:name w:val="ListLabel 656"/>
    <w:qFormat/>
    <w:rPr>
      <w:b/>
      <w:bCs/>
      <w:sz w:val="20"/>
      <w:szCs w:val="20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Wingdings"/>
      <w:sz w:val="20"/>
    </w:rPr>
  </w:style>
  <w:style w:type="character" w:styleId="ListLabel676">
    <w:name w:val="ListLabel 676"/>
    <w:qFormat/>
    <w:rPr>
      <w:rFonts w:cs="Wingdings"/>
    </w:rPr>
  </w:style>
  <w:style w:type="character" w:styleId="ListLabel677">
    <w:name w:val="ListLabel 677"/>
    <w:qFormat/>
    <w:rPr>
      <w:rFonts w:cs="Wingdings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Wingdings"/>
    </w:rPr>
  </w:style>
  <w:style w:type="character" w:styleId="ListLabel680">
    <w:name w:val="ListLabel 680"/>
    <w:qFormat/>
    <w:rPr>
      <w:rFonts w:cs="Wingdings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Wingdings"/>
    </w:rPr>
  </w:style>
  <w:style w:type="character" w:styleId="ListLabel683">
    <w:name w:val="ListLabel 683"/>
    <w:qFormat/>
    <w:rPr>
      <w:rFonts w:cs="Wingdings"/>
    </w:rPr>
  </w:style>
  <w:style w:type="character" w:styleId="ListLabel684">
    <w:name w:val="ListLabel 684"/>
    <w:qFormat/>
    <w:rPr>
      <w:rFonts w:ascii="Verdana" w:hAnsi="Verdana" w:cs="Wingdings"/>
      <w:sz w:val="20"/>
    </w:rPr>
  </w:style>
  <w:style w:type="character" w:styleId="ListLabel685">
    <w:name w:val="ListLabel 685"/>
    <w:qFormat/>
    <w:rPr>
      <w:rFonts w:cs="Wingdings"/>
      <w:sz w:val="20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b w:val="false"/>
      <w:bCs/>
      <w:sz w:val="20"/>
      <w:szCs w:val="20"/>
    </w:rPr>
  </w:style>
  <w:style w:type="character" w:styleId="ListLabel695">
    <w:name w:val="ListLabel 695"/>
    <w:qFormat/>
    <w:rPr>
      <w:b/>
      <w:bCs/>
      <w:sz w:val="20"/>
      <w:szCs w:val="20"/>
    </w:rPr>
  </w:style>
  <w:style w:type="character" w:styleId="ListLabel696">
    <w:name w:val="ListLabel 696"/>
    <w:qFormat/>
    <w:rPr>
      <w:b/>
      <w:bCs/>
      <w:sz w:val="20"/>
      <w:szCs w:val="20"/>
    </w:rPr>
  </w:style>
  <w:style w:type="character" w:styleId="ListLabel697">
    <w:name w:val="ListLabel 697"/>
    <w:qFormat/>
    <w:rPr>
      <w:b/>
      <w:bCs/>
      <w:sz w:val="20"/>
      <w:szCs w:val="20"/>
    </w:rPr>
  </w:style>
  <w:style w:type="character" w:styleId="ListLabel698">
    <w:name w:val="ListLabel 698"/>
    <w:qFormat/>
    <w:rPr>
      <w:b/>
      <w:bCs/>
      <w:sz w:val="20"/>
      <w:szCs w:val="20"/>
    </w:rPr>
  </w:style>
  <w:style w:type="character" w:styleId="ListLabel699">
    <w:name w:val="ListLabel 699"/>
    <w:qFormat/>
    <w:rPr>
      <w:b/>
      <w:bCs/>
      <w:sz w:val="20"/>
      <w:szCs w:val="20"/>
    </w:rPr>
  </w:style>
  <w:style w:type="character" w:styleId="ListLabel700">
    <w:name w:val="ListLabel 700"/>
    <w:qFormat/>
    <w:rPr>
      <w:b/>
      <w:bCs/>
      <w:sz w:val="20"/>
      <w:szCs w:val="20"/>
    </w:rPr>
  </w:style>
  <w:style w:type="character" w:styleId="ListLabel701">
    <w:name w:val="ListLabel 701"/>
    <w:qFormat/>
    <w:rPr>
      <w:b/>
      <w:bCs/>
      <w:sz w:val="20"/>
      <w:szCs w:val="20"/>
    </w:rPr>
  </w:style>
  <w:style w:type="character" w:styleId="ListLabel702">
    <w:name w:val="ListLabel 702"/>
    <w:qFormat/>
    <w:rPr>
      <w:b/>
      <w:bCs/>
      <w:sz w:val="20"/>
      <w:szCs w:val="20"/>
    </w:rPr>
  </w:style>
  <w:style w:type="character" w:styleId="ListLabel703">
    <w:name w:val="ListLabel 703"/>
    <w:qFormat/>
    <w:rPr>
      <w:rFonts w:cs="Wingdings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Wingdings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Wingdings"/>
      <w:sz w:val="20"/>
    </w:rPr>
  </w:style>
  <w:style w:type="character" w:styleId="ListLabel722">
    <w:name w:val="ListLabel 722"/>
    <w:qFormat/>
    <w:rPr>
      <w:rFonts w:cs="Wingdings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Wingdings"/>
    </w:rPr>
  </w:style>
  <w:style w:type="character" w:styleId="ListLabel725">
    <w:name w:val="ListLabel 725"/>
    <w:qFormat/>
    <w:rPr>
      <w:rFonts w:cs="Wingdings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Wingdings"/>
    </w:rPr>
  </w:style>
  <w:style w:type="character" w:styleId="ListLabel728">
    <w:name w:val="ListLabel 728"/>
    <w:qFormat/>
    <w:rPr>
      <w:rFonts w:cs="Wingdings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ascii="Verdana" w:hAnsi="Verdana" w:cs="Wingdings"/>
      <w:sz w:val="20"/>
    </w:rPr>
  </w:style>
  <w:style w:type="character" w:styleId="ListLabel731">
    <w:name w:val="ListLabel 731"/>
    <w:qFormat/>
    <w:rPr>
      <w:rFonts w:cs="Wingdings"/>
      <w:sz w:val="20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b w:val="false"/>
      <w:bCs/>
      <w:sz w:val="20"/>
      <w:szCs w:val="20"/>
    </w:rPr>
  </w:style>
  <w:style w:type="character" w:styleId="ListLabel741">
    <w:name w:val="ListLabel 741"/>
    <w:qFormat/>
    <w:rPr>
      <w:b/>
      <w:bCs/>
      <w:sz w:val="20"/>
      <w:szCs w:val="20"/>
    </w:rPr>
  </w:style>
  <w:style w:type="character" w:styleId="ListLabel742">
    <w:name w:val="ListLabel 742"/>
    <w:qFormat/>
    <w:rPr>
      <w:b/>
      <w:bCs/>
      <w:sz w:val="20"/>
      <w:szCs w:val="20"/>
    </w:rPr>
  </w:style>
  <w:style w:type="character" w:styleId="ListLabel743">
    <w:name w:val="ListLabel 743"/>
    <w:qFormat/>
    <w:rPr>
      <w:b/>
      <w:bCs/>
      <w:sz w:val="20"/>
      <w:szCs w:val="20"/>
    </w:rPr>
  </w:style>
  <w:style w:type="character" w:styleId="ListLabel744">
    <w:name w:val="ListLabel 744"/>
    <w:qFormat/>
    <w:rPr>
      <w:b/>
      <w:bCs/>
      <w:sz w:val="20"/>
      <w:szCs w:val="20"/>
    </w:rPr>
  </w:style>
  <w:style w:type="character" w:styleId="ListLabel745">
    <w:name w:val="ListLabel 745"/>
    <w:qFormat/>
    <w:rPr>
      <w:b/>
      <w:bCs/>
      <w:sz w:val="20"/>
      <w:szCs w:val="20"/>
    </w:rPr>
  </w:style>
  <w:style w:type="character" w:styleId="ListLabel746">
    <w:name w:val="ListLabel 746"/>
    <w:qFormat/>
    <w:rPr>
      <w:b/>
      <w:bCs/>
      <w:sz w:val="20"/>
      <w:szCs w:val="20"/>
    </w:rPr>
  </w:style>
  <w:style w:type="character" w:styleId="ListLabel747">
    <w:name w:val="ListLabel 747"/>
    <w:qFormat/>
    <w:rPr>
      <w:b/>
      <w:bCs/>
      <w:sz w:val="20"/>
      <w:szCs w:val="20"/>
    </w:rPr>
  </w:style>
  <w:style w:type="character" w:styleId="ListLabel748">
    <w:name w:val="ListLabel 748"/>
    <w:qFormat/>
    <w:rPr>
      <w:b/>
      <w:bCs/>
      <w:sz w:val="20"/>
      <w:szCs w:val="20"/>
    </w:rPr>
  </w:style>
  <w:style w:type="character" w:styleId="ListLabel749">
    <w:name w:val="ListLabel 749"/>
    <w:qFormat/>
    <w:rPr>
      <w:rFonts w:cs="Wingdings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Wingdings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Wingdings"/>
      <w:sz w:val="20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Wingdings"/>
    </w:rPr>
  </w:style>
  <w:style w:type="character" w:styleId="ListLabel770">
    <w:name w:val="ListLabel 770"/>
    <w:qFormat/>
    <w:rPr>
      <w:rFonts w:cs="Wingdings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Wingdings"/>
    </w:rPr>
  </w:style>
  <w:style w:type="character" w:styleId="ListLabel773">
    <w:name w:val="ListLabel 773"/>
    <w:qFormat/>
    <w:rPr>
      <w:rFonts w:cs="Wingdings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Wingdings"/>
    </w:rPr>
  </w:style>
  <w:style w:type="character" w:styleId="ListLabel776">
    <w:name w:val="ListLabel 776"/>
    <w:qFormat/>
    <w:rPr>
      <w:rFonts w:ascii="Verdana" w:hAnsi="Verdana" w:cs="Wingdings"/>
      <w:sz w:val="20"/>
    </w:rPr>
  </w:style>
  <w:style w:type="character" w:styleId="ListLabel777">
    <w:name w:val="ListLabel 777"/>
    <w:qFormat/>
    <w:rPr>
      <w:rFonts w:cs="Wingdings"/>
      <w:sz w:val="20"/>
    </w:rPr>
  </w:style>
  <w:style w:type="character" w:styleId="ListLabel778">
    <w:name w:val="ListLabel 778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80">
    <w:name w:val="ListLabel 780"/>
    <w:qFormat/>
    <w:rPr>
      <w:rFonts w:cs="OpenSymbol"/>
    </w:rPr>
  </w:style>
  <w:style w:type="character" w:styleId="ListLabel781">
    <w:name w:val="ListLabel 781"/>
    <w:qFormat/>
    <w:rPr>
      <w:rFonts w:cs="OpenSymbol"/>
    </w:rPr>
  </w:style>
  <w:style w:type="character" w:styleId="ListLabel782">
    <w:name w:val="ListLabel 782"/>
    <w:qFormat/>
    <w:rPr>
      <w:rFonts w:cs="OpenSymbol"/>
    </w:rPr>
  </w:style>
  <w:style w:type="character" w:styleId="ListLabel783">
    <w:name w:val="ListLabel 783"/>
    <w:qFormat/>
    <w:rPr>
      <w:rFonts w:cs="OpenSymbol"/>
    </w:rPr>
  </w:style>
  <w:style w:type="character" w:styleId="ListLabel784">
    <w:name w:val="ListLabel 784"/>
    <w:qFormat/>
    <w:rPr>
      <w:rFonts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b w:val="false"/>
      <w:bCs/>
      <w:sz w:val="20"/>
      <w:szCs w:val="20"/>
    </w:rPr>
  </w:style>
  <w:style w:type="character" w:styleId="ListLabel787">
    <w:name w:val="ListLabel 787"/>
    <w:qFormat/>
    <w:rPr>
      <w:b/>
      <w:bCs/>
      <w:sz w:val="20"/>
      <w:szCs w:val="20"/>
    </w:rPr>
  </w:style>
  <w:style w:type="character" w:styleId="ListLabel788">
    <w:name w:val="ListLabel 788"/>
    <w:qFormat/>
    <w:rPr>
      <w:b/>
      <w:bCs/>
      <w:sz w:val="20"/>
      <w:szCs w:val="20"/>
    </w:rPr>
  </w:style>
  <w:style w:type="character" w:styleId="ListLabel789">
    <w:name w:val="ListLabel 789"/>
    <w:qFormat/>
    <w:rPr>
      <w:b/>
      <w:bCs/>
      <w:sz w:val="20"/>
      <w:szCs w:val="20"/>
    </w:rPr>
  </w:style>
  <w:style w:type="character" w:styleId="ListLabel790">
    <w:name w:val="ListLabel 790"/>
    <w:qFormat/>
    <w:rPr>
      <w:b/>
      <w:bCs/>
      <w:sz w:val="20"/>
      <w:szCs w:val="20"/>
    </w:rPr>
  </w:style>
  <w:style w:type="character" w:styleId="ListLabel791">
    <w:name w:val="ListLabel 791"/>
    <w:qFormat/>
    <w:rPr>
      <w:b/>
      <w:bCs/>
      <w:sz w:val="20"/>
      <w:szCs w:val="20"/>
    </w:rPr>
  </w:style>
  <w:style w:type="character" w:styleId="ListLabel792">
    <w:name w:val="ListLabel 792"/>
    <w:qFormat/>
    <w:rPr>
      <w:b/>
      <w:bCs/>
      <w:sz w:val="20"/>
      <w:szCs w:val="20"/>
    </w:rPr>
  </w:style>
  <w:style w:type="character" w:styleId="ListLabel793">
    <w:name w:val="ListLabel 793"/>
    <w:qFormat/>
    <w:rPr>
      <w:b/>
      <w:bCs/>
      <w:sz w:val="20"/>
      <w:szCs w:val="20"/>
    </w:rPr>
  </w:style>
  <w:style w:type="character" w:styleId="ListLabel794">
    <w:name w:val="ListLabel 794"/>
    <w:qFormat/>
    <w:rPr>
      <w:b/>
      <w:bCs/>
      <w:sz w:val="20"/>
      <w:szCs w:val="20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cs="OpenSymbol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widowControl w:val="false"/>
      <w:bidi w:val="0"/>
      <w:spacing w:before="240" w:after="120"/>
      <w:jc w:val="left"/>
    </w:pPr>
    <w:rPr>
      <w:rFonts w:ascii="Arial" w:hAnsi="Arial" w:eastAsia="Lucida Sans Unicode" w:cs="Mangal"/>
      <w:color w:val="00000A"/>
      <w:sz w:val="28"/>
      <w:szCs w:val="28"/>
      <w:lang w:val="pl-PL" w:eastAsia="zh-CN" w:bidi="hi-IN"/>
    </w:rPr>
  </w:style>
  <w:style w:type="paragraph" w:styleId="Tretekstu">
    <w:name w:val="Body Text"/>
    <w:basedOn w:val="Normal"/>
    <w:pPr>
      <w:widowControl w:val="false"/>
      <w:bidi w:val="0"/>
      <w:spacing w:before="0" w:after="120"/>
      <w:jc w:val="both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Mangal"/>
      <w:i/>
      <w:iCs/>
      <w:color w:val="00000A"/>
      <w:sz w:val="24"/>
      <w:szCs w:val="24"/>
      <w:lang w:val="pl-PL" w:eastAsia="zh-CN" w:bidi="hi-IN"/>
    </w:rPr>
  </w:style>
  <w:style w:type="paragraph" w:styleId="Indeks">
    <w:name w:val="Indeks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Domylnie">
    <w:name w:val="Domyślnie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ar-SA" w:bidi="ar-SA"/>
    </w:rPr>
  </w:style>
  <w:style w:type="paragraph" w:styleId="Gwka">
    <w:name w:val="Header"/>
    <w:basedOn w:val="Domylnie"/>
    <w:pPr>
      <w:keepNext/>
      <w:suppressLineNumbers/>
      <w:tabs>
        <w:tab w:val="center" w:pos="4819" w:leader="none"/>
        <w:tab w:val="right" w:pos="9638" w:leader="none"/>
      </w:tabs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abelapozycja">
    <w:name w:val="Tabela pozycja"/>
    <w:basedOn w:val="Domylnie"/>
    <w:qFormat/>
    <w:pPr>
      <w:suppressAutoHyphens w:val="false"/>
    </w:pPr>
    <w:rPr>
      <w:rFonts w:ascii="Arial" w:hAnsi="Arial" w:eastAsia="MS Outlook"/>
      <w:sz w:val="22"/>
      <w:szCs w:val="20"/>
      <w:lang w:eastAsia="pl-PL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ar-SA" w:bidi="ar-SA"/>
    </w:rPr>
  </w:style>
  <w:style w:type="paragraph" w:styleId="WWTekstdugiegocytatu">
    <w:name w:val="WW-Tekst długiego cytatu"/>
    <w:basedOn w:val="Domylnie"/>
    <w:qFormat/>
    <w:pPr>
      <w:ind w:left="-76" w:right="-110" w:hanging="0"/>
      <w:jc w:val="both"/>
    </w:pPr>
    <w:rPr>
      <w:bCs/>
    </w:rPr>
  </w:style>
  <w:style w:type="paragraph" w:styleId="ListParagraph">
    <w:name w:val="List Paragraph"/>
    <w:basedOn w:val="Domylnie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Domylnie"/>
    <w:qFormat/>
    <w:pPr>
      <w:spacing w:lineRule="atLeast" w:line="10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;宋体" w:cs="Mangal"/>
      <w:color w:val="00000A"/>
      <w:sz w:val="24"/>
      <w:szCs w:val="24"/>
      <w:lang w:val="pl-PL" w:eastAsia="zh-CN" w:bidi="hi-IN"/>
    </w:rPr>
  </w:style>
  <w:style w:type="paragraph" w:styleId="Western">
    <w:name w:val="western"/>
    <w:basedOn w:val="Normal"/>
    <w:qFormat/>
    <w:pPr>
      <w:spacing w:before="100" w:after="119"/>
    </w:pPr>
    <w:rPr>
      <w:rFonts w:eastAsia="Times New Roman"/>
      <w:color w:val="000000"/>
      <w:lang w:val="pl-PL"/>
    </w:rPr>
  </w:style>
  <w:style w:type="paragraph" w:styleId="Stopka">
    <w:name w:val="Footer"/>
    <w:basedOn w:val="Normal"/>
    <w:pPr/>
    <w:rPr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Application>LibreOffice/5.3.3.2$Windows_x86 LibreOffice_project/3d9a8b4b4e538a85e0782bd6c2d430bafe583448</Application>
  <Pages>3</Pages>
  <Words>907</Words>
  <Characters>6048</Characters>
  <CharactersWithSpaces>6919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2015-09-01T20:03:00Z</dcterms:created>
  <dc:creator>OP-Marcin</dc:creator>
  <dc:description/>
  <dc:language>pl-PL</dc:language>
  <cp:lastModifiedBy/>
  <cp:lastPrinted>2018-09-14T10:25:49Z</cp:lastPrinted>
  <dcterms:modified xsi:type="dcterms:W3CDTF">2018-09-21T12:22:49Z</dcterms:modified>
  <cp:revision>90</cp:revision>
  <dc:subject/>
  <dc:title/>
</cp:coreProperties>
</file>