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pPr>
      <w:r>
        <w:rPr/>
      </w:r>
    </w:p>
    <w:p>
      <w:pPr>
        <w:pStyle w:val="Normal"/>
        <w:spacing w:lineRule="auto" w:line="276"/>
        <w:rPr/>
      </w:pPr>
      <w:r>
        <w:rPr/>
        <w:t xml:space="preserve"> </w:t>
      </w:r>
      <w:r>
        <w:rPr/>
        <w:t>Numer sprawy: WA.271.8.2023.AM</w:t>
      </w:r>
    </w:p>
    <w:p>
      <w:pPr>
        <w:pStyle w:val="Normal"/>
        <w:spacing w:lineRule="auto" w:line="276"/>
        <w:rPr/>
      </w:pPr>
      <w:r>
        <w:rPr/>
      </w:r>
    </w:p>
    <w:p>
      <w:pPr>
        <w:pStyle w:val="Normal"/>
        <w:spacing w:lineRule="auto" w:line="276"/>
        <w:rPr/>
      </w:pPr>
      <w:r>
        <w:rPr/>
      </w:r>
    </w:p>
    <w:tbl>
      <w:tblPr>
        <w:tblW w:w="907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40"/>
                <w:szCs w:val="40"/>
              </w:rPr>
            </w:pPr>
            <w:r>
              <w:rPr>
                <w:sz w:val="40"/>
                <w:szCs w:val="40"/>
              </w:rPr>
              <w:t>SPECYFIKACJA WARUNKÓW ZAMÓWIENIA</w:t>
            </w:r>
          </w:p>
        </w:tc>
      </w:tr>
    </w:tbl>
    <w:p>
      <w:pPr>
        <w:pStyle w:val="Normal"/>
        <w:spacing w:lineRule="auto" w:line="276"/>
        <w:rPr/>
      </w:pPr>
      <w:r>
        <w:rPr/>
      </w:r>
    </w:p>
    <w:p>
      <w:pPr>
        <w:pStyle w:val="Normal"/>
        <w:spacing w:lineRule="auto" w:line="276"/>
        <w:jc w:val="center"/>
        <w:rPr/>
      </w:pPr>
      <w:r>
        <w:rPr/>
        <w:t>dalej  (SWZ)</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t>Nazwa nadana zamówieniu przez Zamawiającego:</w:t>
      </w:r>
    </w:p>
    <w:p>
      <w:pPr>
        <w:pStyle w:val="Normal"/>
        <w:spacing w:lineRule="auto" w:line="276"/>
        <w:jc w:val="center"/>
        <w:rPr/>
      </w:pPr>
      <w:r>
        <w:rPr/>
      </w:r>
    </w:p>
    <w:p>
      <w:pPr>
        <w:pStyle w:val="Normal"/>
        <w:spacing w:lineRule="auto" w:line="276"/>
        <w:jc w:val="center"/>
        <w:rPr>
          <w:b/>
          <w:bCs/>
          <w:sz w:val="32"/>
          <w:szCs w:val="32"/>
        </w:rPr>
      </w:pPr>
      <w:r>
        <w:rPr>
          <w:b/>
          <w:bCs/>
          <w:sz w:val="32"/>
          <w:szCs w:val="32"/>
        </w:rPr>
        <w:t>„</w:t>
      </w:r>
      <w:r>
        <w:rPr>
          <w:b/>
          <w:bCs/>
          <w:sz w:val="32"/>
          <w:szCs w:val="32"/>
        </w:rPr>
        <w:t>Dostawa i montaż  instalacji fotowoltaicznej do zasilania obiektów Miejskiego Ośrodka Sportu i Rekreacji we Włodawie”</w:t>
        <w:br/>
        <w:t xml:space="preserve"> w ramach zadania inwestycyjnego „Budowa instalacji fotowoltaicznej do zasilania obiektów Miejskiego Ośrodka Sportu i Rekreacji we Włodawie” </w:t>
      </w:r>
    </w:p>
    <w:p>
      <w:pPr>
        <w:pStyle w:val="Normal"/>
        <w:spacing w:lineRule="auto" w:line="276"/>
        <w:rPr/>
      </w:pPr>
      <w:r>
        <w:rPr/>
      </w:r>
    </w:p>
    <w:p>
      <w:pPr>
        <w:pStyle w:val="Normal"/>
        <w:spacing w:lineRule="auto" w:line="276"/>
        <w:rPr/>
      </w:pPr>
      <w:r>
        <w:rPr/>
      </w:r>
    </w:p>
    <w:p>
      <w:pPr>
        <w:pStyle w:val="Normal"/>
        <w:spacing w:lineRule="auto" w:line="276"/>
        <w:jc w:val="both"/>
        <w:rPr/>
      </w:pPr>
      <w:r>
        <w:rPr/>
      </w:r>
    </w:p>
    <w:p>
      <w:pPr>
        <w:pStyle w:val="Normal"/>
        <w:spacing w:lineRule="auto" w:line="276"/>
        <w:jc w:val="both"/>
        <w:rPr/>
      </w:pPr>
      <w:r>
        <w:rPr/>
        <w:t xml:space="preserve">Działając na podstawie ustawy z dnia 11 września 2019 r. Prawo zamówień publicznych (Dz. U. z 2022 r. poz. </w:t>
      </w:r>
      <w:r>
        <w:rPr>
          <w:lang w:val="pl-PL" w:eastAsia="pl-PL" w:bidi="ar-SA"/>
        </w:rPr>
        <w:t>1710</w:t>
      </w:r>
      <w:r>
        <w:rPr/>
        <w:t>) w trybie podstawowym, w którym w odpowiedzi na ogłoszenie</w:t>
        <w:br/>
        <w:t>o zamówieniu oferty mogą składać wszyscy zainteresowani wykonawcy, a następnie zamawiający wybiera najkorzystniejszą ofertę bez przeprowadzenia negocjacji (art. 275 pkt 1 ustawy). Zamawiający nie przewiduje możliwości wyboru najkorzystniejszej oferty</w:t>
        <w:br/>
        <w:t xml:space="preserve">z możliwością prowadzenia negocjacji (art. 275 pkt 2) ustawy) </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jc w:val="center"/>
        <w:rPr/>
      </w:pPr>
      <w:r>
        <w:rPr/>
        <w:t xml:space="preserve">Zatwierdził w dniu </w:t>
      </w:r>
      <w:r>
        <w:rPr/>
        <w:t>17.05.2023r.</w:t>
      </w:r>
    </w:p>
    <w:p>
      <w:pPr>
        <w:pStyle w:val="Normal"/>
        <w:spacing w:lineRule="auto" w:line="276"/>
        <w:jc w:val="center"/>
        <w:rPr>
          <w:rFonts w:ascii="Cambria" w:hAnsi="Cambria"/>
          <w:b/>
          <w:bCs/>
          <w:i/>
          <w:i/>
          <w:iCs/>
        </w:rPr>
      </w:pPr>
      <w:r>
        <w:rPr>
          <w:rFonts w:ascii="Cambria" w:hAnsi="Cambria"/>
          <w:b/>
          <w:bCs/>
          <w:i/>
          <w:iCs/>
        </w:rPr>
      </w:r>
    </w:p>
    <w:p>
      <w:pPr>
        <w:pStyle w:val="Normal"/>
        <w:bidi w:val="0"/>
        <w:spacing w:lineRule="auto" w:line="276" w:before="0" w:after="0"/>
        <w:jc w:val="center"/>
        <w:rPr>
          <w:rFonts w:ascii="Cambria" w:hAnsi="Cambria"/>
        </w:rPr>
      </w:pPr>
      <w:r>
        <w:rPr>
          <w:rFonts w:eastAsia="Calibri" w:cs="Times New Roman" w:ascii="Cambria" w:hAnsi="Cambria"/>
          <w:b/>
          <w:bCs/>
          <w:i/>
          <w:iCs/>
          <w:color w:val="000000"/>
          <w:spacing w:val="-1"/>
          <w:kern w:val="2"/>
          <w:sz w:val="24"/>
          <w:szCs w:val="24"/>
          <w:lang w:val="pl-PL" w:eastAsia="zxx" w:bidi="zxx"/>
        </w:rPr>
        <w:t>(-)BURMISTRZ WŁODAWY</w:t>
      </w:r>
    </w:p>
    <w:p>
      <w:pPr>
        <w:pStyle w:val="Normal"/>
        <w:bidi w:val="0"/>
        <w:spacing w:lineRule="auto" w:line="276" w:before="0" w:after="0"/>
        <w:jc w:val="center"/>
        <w:rPr>
          <w:rFonts w:ascii="Cambria" w:hAnsi="Cambria"/>
          <w:b/>
          <w:bCs/>
          <w:i/>
          <w:i/>
          <w:iCs/>
        </w:rPr>
      </w:pPr>
      <w:r>
        <w:rPr>
          <w:rFonts w:eastAsia="Calibri" w:cs="Times New Roman" w:ascii="Cambria" w:hAnsi="Cambria"/>
          <w:b/>
          <w:bCs/>
          <w:i/>
          <w:iCs/>
          <w:spacing w:val="-1"/>
          <w:kern w:val="2"/>
          <w:sz w:val="24"/>
          <w:szCs w:val="24"/>
          <w:lang w:val="pl-PL" w:eastAsia="zxx" w:bidi="zxx"/>
        </w:rPr>
        <w:t>WIESŁAW MUSZYŃSKI</w:t>
      </w:r>
    </w:p>
    <w:p>
      <w:pPr>
        <w:pStyle w:val="Normal"/>
        <w:spacing w:lineRule="auto" w:line="276"/>
        <w:jc w:val="center"/>
        <w:rPr/>
      </w:pPr>
      <w:r>
        <w:rPr/>
      </w:r>
    </w:p>
    <w:p>
      <w:pPr>
        <w:pStyle w:val="Normal"/>
        <w:spacing w:lineRule="auto" w:line="276"/>
        <w:jc w:val="center"/>
        <w:rPr/>
      </w:pPr>
      <w:r>
        <w:rPr/>
        <w:t>………………………………</w:t>
      </w:r>
      <w:r>
        <w:rPr/>
        <w:t>.………….………..</w:t>
      </w:r>
    </w:p>
    <w:p>
      <w:pPr>
        <w:sectPr>
          <w:headerReference w:type="default" r:id="rId2"/>
          <w:footerReference w:type="default" r:id="rId3"/>
          <w:type w:val="nextPage"/>
          <w:pgSz w:w="11906" w:h="16838"/>
          <w:pgMar w:left="1417" w:right="1417" w:gutter="0" w:header="327" w:top="1416" w:footer="1261" w:bottom="1420"/>
          <w:pgNumType w:fmt="decimal"/>
          <w:formProt w:val="false"/>
          <w:textDirection w:val="lrTb"/>
          <w:docGrid w:type="default" w:linePitch="326" w:charSpace="0"/>
        </w:sectPr>
        <w:pStyle w:val="Normal"/>
        <w:spacing w:lineRule="auto" w:line="276"/>
        <w:jc w:val="center"/>
        <w:rPr/>
      </w:pPr>
      <w:r>
        <w:rPr/>
        <w:t>(podpis Kierownika Zamawiającego)</w:t>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w:t>
            </w:r>
          </w:p>
          <w:p>
            <w:pPr>
              <w:pStyle w:val="Normal"/>
              <w:widowControl w:val="false"/>
              <w:spacing w:lineRule="auto" w:line="276"/>
              <w:jc w:val="center"/>
              <w:rPr>
                <w:b/>
                <w:bCs/>
              </w:rPr>
            </w:pPr>
            <w:r>
              <w:rPr>
                <w:b/>
                <w:bCs/>
              </w:rPr>
              <w:t>POSTANOWIENIA OGÓLNE</w:t>
            </w:r>
          </w:p>
        </w:tc>
      </w:tr>
    </w:tbl>
    <w:p>
      <w:pPr>
        <w:pStyle w:val="Normal"/>
        <w:spacing w:lineRule="auto" w:line="276"/>
        <w:rPr/>
      </w:pPr>
      <w:r>
        <w:rPr/>
      </w:r>
    </w:p>
    <w:p>
      <w:pPr>
        <w:pStyle w:val="Normal"/>
        <w:numPr>
          <w:ilvl w:val="1"/>
          <w:numId w:val="1"/>
        </w:numPr>
        <w:spacing w:lineRule="auto" w:line="276"/>
        <w:rPr>
          <w:b/>
          <w:bCs/>
        </w:rPr>
      </w:pPr>
      <w:r>
        <w:rPr>
          <w:b/>
          <w:bCs/>
        </w:rPr>
        <w:t>Nazwa oraz adres Zamawiającego.</w:t>
        <w:tab/>
      </w:r>
    </w:p>
    <w:p>
      <w:pPr>
        <w:pStyle w:val="Normal"/>
        <w:spacing w:lineRule="auto" w:line="276"/>
        <w:rPr>
          <w:b/>
          <w:bCs/>
        </w:rPr>
      </w:pPr>
      <w:r>
        <w:rPr>
          <w:b/>
          <w:bCs/>
        </w:rPr>
        <w:t>Gmina Miejska Włodawa</w:t>
      </w:r>
    </w:p>
    <w:p>
      <w:pPr>
        <w:pStyle w:val="Normal"/>
        <w:spacing w:lineRule="auto" w:line="276"/>
        <w:rPr/>
      </w:pPr>
      <w:r>
        <w:rPr/>
        <w:t xml:space="preserve">Al. Józefa Piłsudskiego 41, 22-200 Włodawa </w:t>
      </w:r>
    </w:p>
    <w:p>
      <w:pPr>
        <w:pStyle w:val="Normal"/>
        <w:spacing w:lineRule="auto" w:line="276"/>
        <w:rPr/>
      </w:pPr>
      <w:r>
        <w:rPr/>
        <w:t>NIP: 565-14-09-974, REGON: 110197902</w:t>
      </w:r>
    </w:p>
    <w:p>
      <w:pPr>
        <w:pStyle w:val="Normal"/>
        <w:spacing w:lineRule="auto" w:line="276"/>
        <w:rPr/>
      </w:pPr>
      <w:r>
        <w:rPr/>
        <w:t>nr telefonu (82) 57 21 444, nr faksu (82) 57 22 454</w:t>
      </w:r>
    </w:p>
    <w:p>
      <w:pPr>
        <w:pStyle w:val="Normal"/>
        <w:spacing w:lineRule="auto" w:line="276"/>
        <w:rPr/>
      </w:pPr>
      <w:r>
        <w:rPr/>
        <w:t>Godziny urzędowania : poniedziałek- piątek godz. 7.30 – 15.30.</w:t>
      </w:r>
    </w:p>
    <w:p>
      <w:pPr>
        <w:pStyle w:val="Normal"/>
        <w:spacing w:lineRule="auto" w:line="276"/>
        <w:rPr/>
      </w:pPr>
      <w:r>
        <w:rPr/>
        <w:t xml:space="preserve">Adres poczty elektronicznej: </w:t>
      </w:r>
      <w:hyperlink r:id="rId4">
        <w:r>
          <w:rPr>
            <w:rStyle w:val="Czeinternetowe"/>
          </w:rPr>
          <w:t>info@wlodawa.eu</w:t>
        </w:r>
      </w:hyperlink>
      <w:r>
        <w:rPr/>
        <w:t xml:space="preserve"> </w:t>
      </w:r>
    </w:p>
    <w:p>
      <w:pPr>
        <w:pStyle w:val="Normal"/>
        <w:spacing w:lineRule="auto" w:line="276"/>
        <w:rPr/>
      </w:pPr>
      <w:r>
        <w:rPr/>
        <w:t xml:space="preserve">Strona internetowa Zamawiającego:  </w:t>
      </w:r>
      <w:hyperlink r:id="rId5">
        <w:r>
          <w:rPr>
            <w:rStyle w:val="Czeinternetowe"/>
          </w:rPr>
          <w:t>www.wlodawa.eu</w:t>
        </w:r>
      </w:hyperlink>
    </w:p>
    <w:p>
      <w:pPr>
        <w:pStyle w:val="Normal"/>
        <w:spacing w:lineRule="auto" w:line="276"/>
        <w:rPr/>
      </w:pPr>
      <w:r>
        <w:rPr/>
        <w:t xml:space="preserve">Strona BIP Zamawiającego: </w:t>
      </w:r>
      <w:r>
        <w:rPr>
          <w:color w:val="0000FF"/>
        </w:rPr>
        <w:t>um</w:t>
      </w:r>
      <w:hyperlink r:id="rId6">
        <w:r>
          <w:rPr>
            <w:rStyle w:val="Czeinternetowe"/>
            <w:color w:val="0000FF"/>
          </w:rPr>
          <w:t>wlodawa.bip.lubelsk</w:t>
        </w:r>
      </w:hyperlink>
      <w:r>
        <w:rPr>
          <w:color w:val="0000FF"/>
        </w:rPr>
        <w:t xml:space="preserve">ie.pl </w:t>
      </w:r>
      <w:r>
        <w:rPr/>
        <w:t xml:space="preserve"> </w:t>
      </w:r>
    </w:p>
    <w:p>
      <w:pPr>
        <w:pStyle w:val="Normal"/>
        <w:spacing w:lineRule="auto" w:line="276"/>
        <w:jc w:val="both"/>
        <w:rPr/>
      </w:pPr>
      <w:r>
        <w:rPr/>
        <w:t>Strona internetowa prowadzonego postępowania na której udostępniane będą zmiany</w:t>
        <w:br/>
        <w:t>i wyjaśnienia treści SWZ oraz inne dokumenty zamówienia bezpośrednio związane</w:t>
        <w:br/>
        <w:t xml:space="preserve">z postępowaniem o udzielenie zamówienia [URL]: </w:t>
      </w:r>
      <w:hyperlink r:id="rId7">
        <w:r>
          <w:rPr>
            <w:rStyle w:val="Czeinternetowe"/>
          </w:rPr>
          <w:t>https://platformazakupowa.pl/pn/wlodawa</w:t>
        </w:r>
      </w:hyperlink>
      <w:r>
        <w:rPr>
          <w:rStyle w:val="Czeinternetowe"/>
        </w:rPr>
        <w:t xml:space="preserve"> </w:t>
      </w:r>
      <w:r>
        <w:rPr/>
        <w:t xml:space="preserve"> </w:t>
      </w:r>
    </w:p>
    <w:p>
      <w:pPr>
        <w:pStyle w:val="Normal"/>
        <w:spacing w:lineRule="auto" w:line="276"/>
        <w:rPr/>
      </w:pPr>
      <w:r>
        <w:rPr/>
        <w:tab/>
      </w:r>
    </w:p>
    <w:p>
      <w:pPr>
        <w:pStyle w:val="Normal"/>
        <w:numPr>
          <w:ilvl w:val="1"/>
          <w:numId w:val="1"/>
        </w:numPr>
        <w:spacing w:lineRule="auto" w:line="276"/>
        <w:rPr>
          <w:b/>
          <w:bCs/>
        </w:rPr>
      </w:pPr>
      <w:r>
        <w:rPr>
          <w:b/>
          <w:bCs/>
        </w:rPr>
        <w:t>Tryb udzielenia zamówienia.</w:t>
      </w:r>
    </w:p>
    <w:p>
      <w:pPr>
        <w:pStyle w:val="Normal"/>
        <w:spacing w:lineRule="auto" w:line="276"/>
        <w:jc w:val="both"/>
        <w:rPr/>
      </w:pPr>
      <w:r>
        <w:rPr/>
        <w:t>Niniejsze postępowanie o udzielenie zamówienia publicznego prowadzone jest  na podstawie przepisów ustawy w trybie podstawowym, w którym w odpowiedzi na ogłoszenie</w:t>
        <w:br/>
        <w:t>o zamówieniu oferty mogą składać wszyscy zainteresowani wykonawcy, a następnie zamawiający wybiera najkorzystniejszą ofertę bez przeprowadzenia negocjacji (art. 275 pkt 1 ustawy). Zamawiający nie przewiduje możliwości wyboru najkorzystniejszej oferty</w:t>
        <w:br/>
        <w:t>z możliwością prowadzenia negocjacji (art. 275 pkt 2) ustawy).</w:t>
      </w:r>
    </w:p>
    <w:p>
      <w:pPr>
        <w:pStyle w:val="Normal"/>
        <w:spacing w:lineRule="auto" w:line="276"/>
        <w:jc w:val="both"/>
        <w:rPr/>
      </w:pPr>
      <w:r>
        <w:rPr/>
      </w:r>
    </w:p>
    <w:p>
      <w:pPr>
        <w:pStyle w:val="Normal"/>
        <w:numPr>
          <w:ilvl w:val="1"/>
          <w:numId w:val="1"/>
        </w:numPr>
        <w:spacing w:lineRule="auto" w:line="276"/>
        <w:rPr>
          <w:b/>
          <w:bCs/>
        </w:rPr>
      </w:pPr>
      <w:r>
        <w:rPr>
          <w:b/>
          <w:bCs/>
        </w:rPr>
        <w:t>Wartość zamówienia.</w:t>
      </w:r>
    </w:p>
    <w:p>
      <w:pPr>
        <w:pStyle w:val="Normal"/>
        <w:spacing w:lineRule="auto" w:line="276"/>
        <w:jc w:val="both"/>
        <w:rPr/>
      </w:pPr>
      <w:r>
        <w:rPr/>
        <w:t>Niniejsze zamówienie jest zamówieniem klasycznym w rozumieniu art. 7 pkt 33) ustawy. Wartość zamówienia nie przekracza progów unijnych w rozumieniu art. 3 ustawy.</w:t>
      </w:r>
    </w:p>
    <w:p>
      <w:pPr>
        <w:pStyle w:val="Normal"/>
        <w:spacing w:lineRule="auto" w:line="276"/>
        <w:jc w:val="both"/>
        <w:rPr/>
      </w:pPr>
      <w:r>
        <w:rPr/>
      </w:r>
      <w:bookmarkStart w:id="0" w:name="_Hlk60813568"/>
      <w:bookmarkStart w:id="1" w:name="_Hlk60813568"/>
      <w:bookmarkEnd w:id="1"/>
    </w:p>
    <w:p>
      <w:pPr>
        <w:pStyle w:val="Normal"/>
        <w:numPr>
          <w:ilvl w:val="1"/>
          <w:numId w:val="1"/>
        </w:numPr>
        <w:spacing w:lineRule="auto" w:line="276"/>
        <w:jc w:val="both"/>
        <w:rPr>
          <w:b/>
          <w:bCs/>
        </w:rPr>
      </w:pPr>
      <w:r>
        <w:rPr>
          <w:b/>
          <w:bCs/>
        </w:rPr>
        <w:t>Słownik.</w:t>
      </w:r>
    </w:p>
    <w:p>
      <w:pPr>
        <w:pStyle w:val="Normal"/>
        <w:spacing w:lineRule="auto" w:line="276"/>
        <w:jc w:val="both"/>
        <w:rPr/>
      </w:pPr>
      <w:r>
        <w:rPr/>
        <w:t>Użyte w niniejszej SWZ (oraz w załącznikach) terminy mają następujące znaczenie:</w:t>
      </w:r>
    </w:p>
    <w:p>
      <w:pPr>
        <w:pStyle w:val="Normal"/>
        <w:spacing w:lineRule="auto" w:line="276"/>
        <w:jc w:val="both"/>
        <w:rPr/>
      </w:pPr>
      <w:r>
        <w:rPr/>
        <w:t>1) „</w:t>
      </w:r>
      <w:r>
        <w:rPr>
          <w:b/>
          <w:bCs/>
        </w:rPr>
        <w:t>ustawa</w:t>
      </w:r>
      <w:r>
        <w:rPr/>
        <w:t xml:space="preserve">” – ustawa z dnia 11 września 2019 r. Prawo zamówień publicznych  </w:t>
        <w:br/>
        <w:t xml:space="preserve">(Dz. U. z 2022 r. poz. </w:t>
      </w:r>
      <w:r>
        <w:rPr>
          <w:lang w:val="pl-PL" w:eastAsia="pl-PL" w:bidi="ar-SA"/>
        </w:rPr>
        <w:t>1710</w:t>
      </w:r>
      <w:r>
        <w:rPr/>
        <w:t xml:space="preserve"> z</w:t>
      </w:r>
      <w:r>
        <w:rPr>
          <w:lang w:val="pl-PL" w:eastAsia="pl-PL" w:bidi="ar-SA"/>
        </w:rPr>
        <w:t>e</w:t>
      </w:r>
      <w:r>
        <w:rPr/>
        <w:t xml:space="preserve"> zm.) ,</w:t>
      </w:r>
    </w:p>
    <w:p>
      <w:pPr>
        <w:pStyle w:val="Normal"/>
        <w:spacing w:lineRule="auto" w:line="276"/>
        <w:jc w:val="both"/>
        <w:rPr/>
      </w:pPr>
      <w:r>
        <w:rPr/>
        <w:t>2) „</w:t>
      </w:r>
      <w:r>
        <w:rPr>
          <w:b/>
          <w:bCs/>
        </w:rPr>
        <w:t>SWZ</w:t>
      </w:r>
      <w:r>
        <w:rPr/>
        <w:t>” – niniejsza Specyfikacja Warunków Zamówienia,</w:t>
      </w:r>
    </w:p>
    <w:p>
      <w:pPr>
        <w:pStyle w:val="Normal"/>
        <w:spacing w:lineRule="auto" w:line="276"/>
        <w:jc w:val="both"/>
        <w:rPr/>
      </w:pPr>
      <w:r>
        <w:rPr/>
        <w:t>3) „</w:t>
      </w:r>
      <w:r>
        <w:rPr>
          <w:b/>
          <w:bCs/>
        </w:rPr>
        <w:t>zamówienie</w:t>
      </w:r>
      <w:r>
        <w:rPr/>
        <w:t>” – zamówienie publiczne będące przedmiotem niniejszego postępowania,</w:t>
      </w:r>
    </w:p>
    <w:p>
      <w:pPr>
        <w:pStyle w:val="Normal"/>
        <w:spacing w:lineRule="auto" w:line="276"/>
        <w:jc w:val="both"/>
        <w:rPr/>
      </w:pPr>
      <w:r>
        <w:rPr/>
        <w:t>4)</w:t>
      </w:r>
      <w:r>
        <w:rPr>
          <w:b/>
          <w:bCs/>
        </w:rPr>
        <w:t>„postępowanie”</w:t>
      </w:r>
      <w:r>
        <w:rPr/>
        <w:t xml:space="preserve"> – postępowanie o udzielenie zamówienia publicznego, którego dotyczy niniejsza SWZ,</w:t>
      </w:r>
    </w:p>
    <w:p>
      <w:pPr>
        <w:pStyle w:val="Normal"/>
        <w:spacing w:lineRule="auto" w:line="276"/>
        <w:jc w:val="both"/>
        <w:rPr/>
      </w:pPr>
      <w:r>
        <w:rPr/>
        <w:t>5) „</w:t>
      </w:r>
      <w:r>
        <w:rPr>
          <w:b/>
          <w:bCs/>
        </w:rPr>
        <w:t>Zamawiający</w:t>
      </w:r>
      <w:r>
        <w:rPr/>
        <w:t xml:space="preserve">” – </w:t>
      </w:r>
      <w:r>
        <w:rPr>
          <w:lang w:val="pl-PL" w:eastAsia="zh-CN" w:bidi="ar-SA"/>
        </w:rPr>
        <w:t>Gmina Miejska Włodawa,</w:t>
      </w:r>
    </w:p>
    <w:p>
      <w:pPr>
        <w:pStyle w:val="Normal"/>
        <w:spacing w:lineRule="auto" w:line="276"/>
        <w:jc w:val="both"/>
        <w:rPr/>
      </w:pPr>
      <w:r>
        <w:rPr>
          <w:lang w:val="pl-PL" w:eastAsia="zh-CN" w:bidi="ar-SA"/>
        </w:rPr>
        <w:t xml:space="preserve">6) </w:t>
      </w:r>
      <w:r>
        <w:rPr/>
        <w:t>„</w:t>
      </w:r>
      <w:r>
        <w:rPr>
          <w:b/>
          <w:bCs/>
        </w:rPr>
        <w:t>Wykonawca</w:t>
      </w:r>
      <w:r>
        <w:rPr/>
        <w:t>”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lineRule="auto" w:line="276"/>
        <w:jc w:val="both"/>
        <w:rPr/>
      </w:pPr>
      <w:r>
        <w:rPr/>
        <w:t>7) „</w:t>
      </w:r>
      <w:r>
        <w:rPr>
          <w:b/>
          <w:bCs/>
        </w:rPr>
        <w:t>RODO</w:t>
      </w:r>
      <w:r>
        <w:rPr/>
        <w:t>”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w:t>
        <w:br/>
        <w:t>str. 1),</w:t>
      </w:r>
    </w:p>
    <w:p>
      <w:pPr>
        <w:pStyle w:val="Normal"/>
        <w:spacing w:lineRule="auto" w:line="276"/>
        <w:jc w:val="both"/>
        <w:rPr/>
      </w:pPr>
      <w:r>
        <w:rPr>
          <w:lang w:val="pl-PL" w:eastAsia="zh-CN" w:bidi="hi-IN"/>
        </w:rPr>
        <w:t xml:space="preserve">8) </w:t>
      </w:r>
      <w:r>
        <w:rPr>
          <w:b/>
          <w:bCs/>
          <w:lang w:val="pl-PL" w:eastAsia="zh-CN" w:bidi="hi-IN"/>
        </w:rPr>
        <w:t>platformazakupowa.pl</w:t>
      </w:r>
      <w:r>
        <w:rPr>
          <w:lang w:val="pl-PL" w:eastAsia="zh-CN" w:bidi="hi-IN"/>
        </w:rPr>
        <w:t xml:space="preserve"> </w:t>
      </w:r>
      <w:r>
        <w:rPr/>
        <w:t>– środek komunikacji elektronicznej służący do komunikacji elektronicznej między Zamawiającym i Wykonawcami,</w:t>
      </w:r>
    </w:p>
    <w:p>
      <w:pPr>
        <w:pStyle w:val="Normal"/>
        <w:spacing w:lineRule="auto" w:line="276"/>
        <w:jc w:val="both"/>
        <w:rPr/>
      </w:pPr>
      <w:r>
        <w:rPr/>
        <w:t xml:space="preserve">9) </w:t>
      </w:r>
      <w:r>
        <w:rPr>
          <w:b/>
          <w:bCs/>
        </w:rPr>
        <w:t>Profil nabywcy</w:t>
      </w:r>
      <w:r>
        <w:rPr/>
        <w:t xml:space="preserve"> – strona </w:t>
      </w:r>
      <w:hyperlink r:id="rId8">
        <w:r>
          <w:rPr>
            <w:rStyle w:val="Czeinternetowe"/>
          </w:rPr>
          <w:t>https://platformazakupowa.pl/pn/wlodawa</w:t>
        </w:r>
      </w:hyperlink>
      <w:r>
        <w:rPr>
          <w:rStyle w:val="Czeinternetowe"/>
        </w:rPr>
        <w:t xml:space="preserve"> </w:t>
      </w:r>
      <w:r>
        <w:rPr/>
        <w:t>, zgodnie z ustawą Pzp strona prowadzonego postępowania.</w:t>
      </w:r>
    </w:p>
    <w:p>
      <w:pPr>
        <w:pStyle w:val="Normal"/>
        <w:spacing w:lineRule="auto" w:line="276"/>
        <w:jc w:val="both"/>
        <w:rPr/>
      </w:pPr>
      <w:r>
        <w:rPr/>
        <w:t xml:space="preserve">10) </w:t>
      </w:r>
      <w:r>
        <w:rPr>
          <w:b/>
          <w:bCs/>
        </w:rPr>
        <w:t>Instrukcja użytkownika</w:t>
      </w:r>
      <w:r>
        <w:rPr/>
        <w:t xml:space="preserve"> – Instrukcja użytkownika platformy zakupowej dostępna na stronie internetowej pod adresem: </w:t>
      </w:r>
      <w:r>
        <w:rPr>
          <w:rStyle w:val="Czeinternetowe"/>
        </w:rPr>
        <w:t>https://platformazakupowa.pl/strona/45-instrukcje</w:t>
      </w:r>
    </w:p>
    <w:p>
      <w:pPr>
        <w:pStyle w:val="Normal"/>
        <w:spacing w:lineRule="auto" w:line="276"/>
        <w:jc w:val="both"/>
        <w:rPr/>
      </w:pPr>
      <w:r>
        <w:rPr/>
        <w:t>Zawiera ona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w:t>
        <w:br/>
        <w:t>o udzielenie zamówienia w szczególności składając ofertę akceptuje zasady korzystania</w:t>
        <w:br/>
        <w:t xml:space="preserve">z platformy zakupowej wskazane w Instrukcji użytkownika i SWZ. </w:t>
      </w:r>
    </w:p>
    <w:p>
      <w:pPr>
        <w:pStyle w:val="Normal"/>
        <w:spacing w:lineRule="auto" w:line="276"/>
        <w:rPr/>
      </w:pPr>
      <w:r>
        <w:rPr/>
      </w:r>
    </w:p>
    <w:p>
      <w:pPr>
        <w:pStyle w:val="Normal"/>
        <w:numPr>
          <w:ilvl w:val="1"/>
          <w:numId w:val="1"/>
        </w:numPr>
        <w:spacing w:lineRule="auto" w:line="276"/>
        <w:jc w:val="both"/>
        <w:rPr/>
      </w:pPr>
      <w:r>
        <w:rPr/>
        <w:t xml:space="preserve">Wykonawca powinien dokładnie zapoznać się z niniejszą SWZ i złożyć ofertę zgodnie </w:t>
        <w:br/>
        <w:t>z jej wymaganiami.</w:t>
      </w:r>
    </w:p>
    <w:p>
      <w:pPr>
        <w:pStyle w:val="Normal"/>
        <w:spacing w:lineRule="auto" w:line="276"/>
        <w:rPr/>
      </w:pPr>
      <w:r>
        <w:rPr/>
      </w:r>
    </w:p>
    <w:p>
      <w:pPr>
        <w:pStyle w:val="Normal"/>
        <w:spacing w:lineRule="auto" w:line="276"/>
        <w:rPr/>
      </w:pPr>
      <w:r>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rHeight w:val="735" w:hRule="atLeast"/>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w:t>
            </w:r>
          </w:p>
          <w:p>
            <w:pPr>
              <w:pStyle w:val="Normal"/>
              <w:widowControl w:val="false"/>
              <w:spacing w:lineRule="auto" w:line="276"/>
              <w:jc w:val="center"/>
              <w:rPr>
                <w:b/>
                <w:bCs/>
              </w:rPr>
            </w:pPr>
            <w:r>
              <w:rPr>
                <w:b/>
                <w:bCs/>
              </w:rPr>
              <w:t>INFORMACJA, CZY ZAMAWIAJĄCY PRZEWIDUJE WYBÓR NAJKORZYSTNIEJSZEJ OFERTY Z MOŻLIWOŚCIĄ PROWADZENIA NEGOCJACJI</w:t>
            </w:r>
          </w:p>
        </w:tc>
      </w:tr>
    </w:tbl>
    <w:p>
      <w:pPr>
        <w:pStyle w:val="Normal"/>
        <w:spacing w:lineRule="auto" w:line="276"/>
        <w:rPr/>
      </w:pPr>
      <w:r>
        <w:rPr/>
      </w:r>
    </w:p>
    <w:p>
      <w:pPr>
        <w:pStyle w:val="Normal"/>
        <w:spacing w:lineRule="auto" w:line="276"/>
        <w:rPr/>
      </w:pPr>
      <w:r>
        <w:rPr/>
      </w:r>
    </w:p>
    <w:p>
      <w:pPr>
        <w:pStyle w:val="Normal"/>
        <w:spacing w:lineRule="auto" w:line="276"/>
        <w:rPr/>
      </w:pPr>
      <w:r>
        <w:rPr/>
        <w:t xml:space="preserve">Zamawiający </w:t>
      </w:r>
      <w:r>
        <w:rPr>
          <w:b/>
          <w:bCs/>
          <w:u w:val="single"/>
        </w:rPr>
        <w:t>nie przewiduje</w:t>
      </w:r>
      <w:r>
        <w:rPr/>
        <w:t xml:space="preserve"> wyboru najkorzystniejszej oferty z możliwością prowadzenia negocjacji.</w:t>
      </w:r>
    </w:p>
    <w:p>
      <w:pPr>
        <w:pStyle w:val="Normal"/>
        <w:spacing w:lineRule="auto" w:line="276"/>
        <w:rPr/>
      </w:pPr>
      <w:r>
        <w:rPr/>
      </w:r>
    </w:p>
    <w:p>
      <w:pPr>
        <w:pStyle w:val="Normal"/>
        <w:spacing w:lineRule="auto" w:line="276"/>
        <w:rPr/>
      </w:pPr>
      <w:r>
        <w:rPr/>
      </w:r>
    </w:p>
    <w:p>
      <w:pPr>
        <w:pStyle w:val="Normal"/>
        <w:spacing w:lineRule="auto" w:line="276"/>
        <w:rPr/>
      </w:pPr>
      <w:r>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3</w:t>
            </w:r>
          </w:p>
          <w:p>
            <w:pPr>
              <w:pStyle w:val="Normal"/>
              <w:widowControl w:val="false"/>
              <w:spacing w:lineRule="auto" w:line="276"/>
              <w:jc w:val="center"/>
              <w:rPr>
                <w:b/>
                <w:bCs/>
              </w:rPr>
            </w:pPr>
            <w:r>
              <w:rPr>
                <w:b/>
                <w:bCs/>
              </w:rPr>
              <w:t>ŹRÓDŁA FINANSOWANIA</w:t>
            </w:r>
          </w:p>
        </w:tc>
      </w:tr>
    </w:tbl>
    <w:p>
      <w:pPr>
        <w:pStyle w:val="Normal"/>
        <w:spacing w:lineRule="auto" w:line="276"/>
        <w:rPr/>
      </w:pPr>
      <w:r>
        <w:rPr/>
      </w:r>
    </w:p>
    <w:p>
      <w:pPr>
        <w:pStyle w:val="Normal"/>
        <w:spacing w:lineRule="auto" w:line="276"/>
        <w:rPr/>
      </w:pPr>
      <w:r>
        <w:rPr/>
      </w:r>
    </w:p>
    <w:p>
      <w:pPr>
        <w:pStyle w:val="Normal"/>
        <w:spacing w:lineRule="auto" w:line="276"/>
        <w:jc w:val="both"/>
        <w:rPr/>
      </w:pPr>
      <w:r>
        <w:rPr/>
        <w:t xml:space="preserve">Zamawiający informuje, że zamówienie </w:t>
      </w:r>
      <w:r>
        <w:rPr>
          <w:b/>
          <w:bCs/>
          <w:u w:val="single"/>
        </w:rPr>
        <w:t>nie jest</w:t>
      </w:r>
      <w:r>
        <w:rPr/>
        <w:t xml:space="preserve"> finansowane ze środków zewnętrznych.</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4</w:t>
            </w:r>
          </w:p>
          <w:p>
            <w:pPr>
              <w:pStyle w:val="Normal"/>
              <w:widowControl w:val="false"/>
              <w:spacing w:lineRule="auto" w:line="276"/>
              <w:jc w:val="center"/>
              <w:rPr>
                <w:b/>
                <w:bCs/>
              </w:rPr>
            </w:pPr>
            <w:r>
              <w:rPr>
                <w:b/>
                <w:bCs/>
              </w:rPr>
              <w:t>OPIS PRZEDMIOTU ZAMÓWIENIA</w:t>
            </w:r>
          </w:p>
        </w:tc>
      </w:tr>
    </w:tbl>
    <w:p>
      <w:pPr>
        <w:pStyle w:val="Normal"/>
        <w:spacing w:lineRule="auto" w:line="276"/>
        <w:rPr/>
      </w:pPr>
      <w:r>
        <w:rPr/>
      </w:r>
    </w:p>
    <w:p>
      <w:pPr>
        <w:pStyle w:val="Normal"/>
        <w:spacing w:lineRule="auto" w:line="276"/>
        <w:rPr/>
      </w:pPr>
      <w:r>
        <w:rPr/>
      </w:r>
    </w:p>
    <w:p>
      <w:pPr>
        <w:pStyle w:val="Normal"/>
        <w:spacing w:lineRule="auto" w:line="276"/>
        <w:rPr>
          <w:b/>
          <w:bCs/>
        </w:rPr>
      </w:pPr>
      <w:r>
        <w:rPr>
          <w:b/>
          <w:bCs/>
        </w:rPr>
        <w:t>4.1. Szczegółowy opis</w:t>
      </w:r>
      <w:r>
        <w:rPr>
          <w:b/>
          <w:bCs/>
          <w:lang w:val="pl-PL"/>
        </w:rPr>
        <w:t xml:space="preserve"> ze wskazaniem zakresu zamówienia:</w:t>
      </w:r>
    </w:p>
    <w:p>
      <w:pPr>
        <w:pStyle w:val="Normal"/>
        <w:spacing w:lineRule="auto" w:line="276"/>
        <w:jc w:val="both"/>
        <w:rPr/>
      </w:pPr>
      <w:r>
        <w:rPr/>
        <w:t>Przedmiotem zamówienia jest dostawa i montaż instalacji fotowoltaicznej na terenie Miejskiego Ośrodka Sportu i Rekreacji we Włodawie w ramach zadania inwestycyjnego „Budowa instalacji fotowoltaicznej do zasilania obiektów Miejskiego Ośrodka Sportu</w:t>
        <w:br/>
        <w:t>i Rekreacji we Włodawie” o mocy zainstalowanej 49,5kW, w oparciu o panele fotowoltaiczne i falowniki rozproszone. Energia elektryczna wytworzona przez instalację fotowoltaiczną wykorzystywana będzie na potrzeby obiektów MOSiR.</w:t>
      </w:r>
    </w:p>
    <w:p>
      <w:pPr>
        <w:pStyle w:val="Normal"/>
        <w:spacing w:lineRule="auto" w:line="276"/>
        <w:jc w:val="both"/>
        <w:rPr/>
      </w:pPr>
      <w:r>
        <w:rPr/>
      </w:r>
    </w:p>
    <w:p>
      <w:pPr>
        <w:pStyle w:val="Normal"/>
        <w:spacing w:lineRule="auto" w:line="276"/>
        <w:jc w:val="both"/>
        <w:rPr>
          <w:b/>
          <w:bCs/>
        </w:rPr>
      </w:pPr>
      <w:r>
        <w:rPr>
          <w:b/>
          <w:bCs/>
        </w:rPr>
        <w:t>4.1.1. Zakres robót obejmuje:</w:t>
      </w:r>
    </w:p>
    <w:p>
      <w:pPr>
        <w:pStyle w:val="Normal"/>
        <w:spacing w:lineRule="auto" w:line="276"/>
        <w:jc w:val="both"/>
        <w:rPr/>
      </w:pPr>
      <w:r>
        <w:rPr/>
        <w:t>1) dostawę wraz z konstrukcją, montażem i uruchomieniem paneli fotowoltaicznych na gruncie Miejskiego Ośrodka Sportu i Rekreacji we Włodawie,</w:t>
      </w:r>
    </w:p>
    <w:p>
      <w:pPr>
        <w:pStyle w:val="Normal"/>
        <w:spacing w:lineRule="auto" w:line="276"/>
        <w:jc w:val="both"/>
        <w:rPr/>
      </w:pPr>
      <w:r>
        <w:rPr/>
        <w:t>2) dostawę i montaż instalacji fotowoltaicznej wraz z wykonaniem badań i pomiarów oraz dokonaniem zgłoszenia przyłączenia mikroinstalacji do sieci elektroenergetycznej wraz</w:t>
        <w:br/>
        <w:t>z uzyskaniem potwierdzenia przyłączenia mikroinstalacji do sieci elektroenergetycznej wydanego przez przedsiębiorstwo energetyczne, do sieci którego przyłączono mikroinstalację,</w:t>
      </w:r>
    </w:p>
    <w:p>
      <w:pPr>
        <w:pStyle w:val="Normal"/>
        <w:spacing w:lineRule="auto" w:line="276"/>
        <w:jc w:val="both"/>
        <w:rPr/>
      </w:pPr>
      <w:r>
        <w:rPr/>
        <w:t xml:space="preserve">3) montaż konstrukcji pod panele PV; </w:t>
      </w:r>
    </w:p>
    <w:p>
      <w:pPr>
        <w:pStyle w:val="Normal"/>
        <w:spacing w:lineRule="auto" w:line="276"/>
        <w:jc w:val="both"/>
        <w:rPr/>
      </w:pPr>
      <w:r>
        <w:rPr/>
        <w:t xml:space="preserve">4) montaż paneli PV na konstrukcji; </w:t>
      </w:r>
    </w:p>
    <w:p>
      <w:pPr>
        <w:pStyle w:val="Normal"/>
        <w:spacing w:lineRule="auto" w:line="276"/>
        <w:jc w:val="both"/>
        <w:rPr/>
      </w:pPr>
      <w:r>
        <w:rPr/>
        <w:t xml:space="preserve">5) ułożenie tras kablowych i kabli od paneli PV do rozdzielni elektrycznej; </w:t>
      </w:r>
    </w:p>
    <w:p>
      <w:pPr>
        <w:pStyle w:val="Normal"/>
        <w:spacing w:lineRule="auto" w:line="276"/>
        <w:jc w:val="both"/>
        <w:rPr/>
      </w:pPr>
      <w:r>
        <w:rPr/>
        <w:t xml:space="preserve">6) modernizacja rozdzielnicy elektrycznej AC; </w:t>
      </w:r>
    </w:p>
    <w:p>
      <w:pPr>
        <w:pStyle w:val="Normal"/>
        <w:spacing w:lineRule="auto" w:line="276"/>
        <w:jc w:val="both"/>
        <w:rPr/>
      </w:pPr>
      <w:r>
        <w:rPr/>
        <w:t xml:space="preserve">7) montaż rozdzielni DC; </w:t>
      </w:r>
    </w:p>
    <w:p>
      <w:pPr>
        <w:pStyle w:val="Normal"/>
        <w:spacing w:lineRule="auto" w:line="276"/>
        <w:jc w:val="both"/>
        <w:rPr/>
      </w:pPr>
      <w:r>
        <w:rPr/>
        <w:t xml:space="preserve">8) montaż uziemień, połączeń wyrównawczych; </w:t>
      </w:r>
    </w:p>
    <w:p>
      <w:pPr>
        <w:pStyle w:val="Normal"/>
        <w:spacing w:lineRule="auto" w:line="276"/>
        <w:jc w:val="both"/>
        <w:rPr/>
      </w:pPr>
      <w:r>
        <w:rPr/>
        <w:t>9) wykonanie prób instalacji oraz sprawdzających prawidłowe działanie aparatury;</w:t>
      </w:r>
    </w:p>
    <w:p>
      <w:pPr>
        <w:pStyle w:val="Normal"/>
        <w:spacing w:lineRule="auto" w:line="276"/>
        <w:jc w:val="both"/>
        <w:rPr/>
      </w:pPr>
      <w:r>
        <w:rPr/>
        <w:t xml:space="preserve">10) uruchomienie układu i regulacje; </w:t>
      </w:r>
    </w:p>
    <w:p>
      <w:pPr>
        <w:pStyle w:val="Normal"/>
        <w:spacing w:lineRule="auto" w:line="276"/>
        <w:jc w:val="both"/>
        <w:rPr/>
      </w:pPr>
      <w:r>
        <w:rPr/>
        <w:t>11) szkolenie z obsługi;</w:t>
      </w:r>
    </w:p>
    <w:p>
      <w:pPr>
        <w:pStyle w:val="Normal"/>
        <w:spacing w:lineRule="auto" w:line="276"/>
        <w:jc w:val="both"/>
        <w:rPr/>
      </w:pPr>
      <w:r>
        <w:rPr/>
        <w:t>12) inwentaryzacja powykonawcza,</w:t>
      </w:r>
    </w:p>
    <w:p>
      <w:pPr>
        <w:pStyle w:val="Normal"/>
        <w:spacing w:lineRule="auto" w:line="276"/>
        <w:jc w:val="both"/>
        <w:rPr/>
      </w:pPr>
      <w:r>
        <w:rPr/>
        <w:t>13) budowa ogrodzenia instalacji fotowoltaicznej,</w:t>
      </w:r>
    </w:p>
    <w:p>
      <w:pPr>
        <w:pStyle w:val="Normal"/>
        <w:spacing w:lineRule="auto" w:line="276"/>
        <w:jc w:val="both"/>
        <w:rPr/>
      </w:pPr>
      <w:r>
        <w:rPr/>
        <w:t>14) inne elementy ujęte w załączniku nr 1 do SWZ (dokumentacja projektowa);</w:t>
      </w:r>
    </w:p>
    <w:p>
      <w:pPr>
        <w:pStyle w:val="Normal"/>
        <w:spacing w:lineRule="auto" w:line="276"/>
        <w:jc w:val="both"/>
        <w:rPr/>
      </w:pPr>
      <w:r>
        <w:rPr/>
        <w:t>15) sporządzenie dokumentacji i instrukcji określającej zasady obsługi urządzeń i instalacji oraz przeprowadzenie instruktażu bezpiecznego użytkowania.</w:t>
      </w:r>
    </w:p>
    <w:p>
      <w:pPr>
        <w:pStyle w:val="Normal"/>
        <w:spacing w:lineRule="auto" w:line="276"/>
        <w:jc w:val="both"/>
        <w:rPr/>
      </w:pPr>
      <w:r>
        <w:rPr/>
      </w:r>
    </w:p>
    <w:p>
      <w:pPr>
        <w:pStyle w:val="Normal"/>
        <w:spacing w:lineRule="auto" w:line="276"/>
        <w:jc w:val="both"/>
        <w:rPr/>
      </w:pPr>
      <w:r>
        <w:rPr>
          <w:b/>
          <w:bCs/>
        </w:rPr>
        <w:t>4.1.2. Wymagania techniczne:</w:t>
      </w:r>
    </w:p>
    <w:p>
      <w:pPr>
        <w:pStyle w:val="Normal"/>
        <w:spacing w:lineRule="auto" w:line="276"/>
        <w:jc w:val="both"/>
        <w:rPr/>
      </w:pPr>
      <w:r>
        <w:rPr/>
        <w:t>1) wymagania techniczne co do modułów PV i instalatora PV:</w:t>
      </w:r>
    </w:p>
    <w:p>
      <w:pPr>
        <w:pStyle w:val="Normal"/>
        <w:spacing w:lineRule="auto" w:line="276"/>
        <w:jc w:val="both"/>
        <w:rPr/>
      </w:pPr>
      <w:r>
        <w:rPr/>
        <w:t>a) wszystkie moduły wykorzystane do wykonania instalacji powinny być fabrycznie nowe (data produkcji nie później niż 6 miesięcy od daty montażu), moduły fotowoltaiczne muszą być nowe, nieużywane. Panele fotowoltaiczne powinny posiadać gwarancję producenta na okres min 12 lat gwarancji na wady ukryte. Producent modułów fotowoltaicznych musi dostarczyć deklaracje odporności modułów odporności na gradobicie zgodnie z normą hW4 lub inną równoważną. Wykonawca dostarczy wraz z ofertą kartę katalogową modułów które zostały wycenione w ofercie. W przypadku zmiany modułów w trakcie realizacji zamawiający ma prawo do rozwiązania umowy z winy wykonawcy, chyba że zmiana będzie podyktowana czynnikami niezależnymi od wykonawcy (np. brak dostępności danego modelu, wycofanie produktu z rynku itp.),</w:t>
      </w:r>
    </w:p>
    <w:p>
      <w:pPr>
        <w:pStyle w:val="Normal"/>
        <w:spacing w:lineRule="auto" w:line="276"/>
        <w:jc w:val="both"/>
        <w:rPr/>
      </w:pPr>
      <w:r>
        <w:rPr/>
        <w:t xml:space="preserve">b) Wykonawca powinien dostarczyć dokumenty będące podstawą gwarancji producenta, </w:t>
        <w:br/>
        <w:t>c) Wykonawca powinien posiadać ważny certyfikat autoryzowanego instalatora od producenta paneli lub inny dokument potwierdzający, że po zamontowaniu modułów przez instalatora będą one posiadały gwarancję producenta.</w:t>
      </w:r>
    </w:p>
    <w:p>
      <w:pPr>
        <w:pStyle w:val="Normal"/>
        <w:spacing w:lineRule="auto" w:line="276"/>
        <w:jc w:val="both"/>
        <w:rPr/>
      </w:pPr>
      <w:r>
        <w:rPr/>
        <w:t>2) Wymagania techniczne co do falowników:</w:t>
      </w:r>
    </w:p>
    <w:p>
      <w:pPr>
        <w:pStyle w:val="Normal"/>
        <w:spacing w:lineRule="auto" w:line="276"/>
        <w:jc w:val="both"/>
        <w:rPr/>
      </w:pPr>
      <w:r>
        <w:rPr/>
        <w:t>a) Falownik musi posiadać 10 letnią gwarancję oraz posiadać autoryzowanego dystrybutora na terenie Polski</w:t>
      </w:r>
    </w:p>
    <w:p>
      <w:pPr>
        <w:pStyle w:val="Normal"/>
        <w:spacing w:lineRule="auto" w:line="276"/>
        <w:jc w:val="both"/>
        <w:rPr/>
      </w:pPr>
      <w:r>
        <w:rPr/>
        <w:t>b) Falownik musi posiadać następujące funkcję/zabezpieczenia:</w:t>
      </w:r>
    </w:p>
    <w:p>
      <w:pPr>
        <w:pStyle w:val="Normal"/>
        <w:spacing w:lineRule="auto" w:line="276"/>
        <w:jc w:val="both"/>
        <w:rPr/>
      </w:pPr>
      <w:r>
        <w:rPr/>
        <w:t xml:space="preserve">    • </w:t>
      </w:r>
      <w:r>
        <w:rPr/>
        <w:t>Urządzenie odłączające po stronie wejścia,</w:t>
      </w:r>
    </w:p>
    <w:p>
      <w:pPr>
        <w:pStyle w:val="Normal"/>
        <w:spacing w:lineRule="auto" w:line="276"/>
        <w:jc w:val="both"/>
        <w:rPr/>
      </w:pPr>
      <w:r>
        <w:rPr/>
        <w:t xml:space="preserve">    • </w:t>
      </w:r>
      <w:r>
        <w:rPr/>
        <w:t>Zabezpieczenie przed pracą wyspową,</w:t>
      </w:r>
    </w:p>
    <w:p>
      <w:pPr>
        <w:pStyle w:val="Normal"/>
        <w:spacing w:lineRule="auto" w:line="276"/>
        <w:jc w:val="both"/>
        <w:rPr/>
      </w:pPr>
      <w:r>
        <w:rPr/>
        <w:t xml:space="preserve">    • </w:t>
      </w:r>
      <w:r>
        <w:rPr/>
        <w:t>Zabezpieczenie przed odwrotną polaryzacją DC,</w:t>
      </w:r>
    </w:p>
    <w:p>
      <w:pPr>
        <w:pStyle w:val="Normal"/>
        <w:spacing w:lineRule="auto" w:line="276"/>
        <w:jc w:val="both"/>
        <w:rPr/>
      </w:pPr>
      <w:r>
        <w:rPr/>
        <w:t xml:space="preserve">    • </w:t>
      </w:r>
      <w:r>
        <w:rPr/>
        <w:t>Monitorowanie stanu izolacji,</w:t>
      </w:r>
    </w:p>
    <w:p>
      <w:pPr>
        <w:pStyle w:val="Normal"/>
        <w:spacing w:lineRule="auto" w:line="276"/>
        <w:jc w:val="both"/>
        <w:rPr/>
      </w:pPr>
      <w:r>
        <w:rPr/>
        <w:t xml:space="preserve">    • </w:t>
      </w:r>
      <w:r>
        <w:rPr/>
        <w:t>Ochronnik przeciwprzepięciowy DC,</w:t>
      </w:r>
    </w:p>
    <w:p>
      <w:pPr>
        <w:pStyle w:val="Normal"/>
        <w:spacing w:lineRule="auto" w:line="276"/>
        <w:jc w:val="both"/>
        <w:rPr/>
      </w:pPr>
      <w:r>
        <w:rPr/>
        <w:t xml:space="preserve">    • </w:t>
      </w:r>
      <w:r>
        <w:rPr/>
        <w:t>Ochronnik przeciwprzepięciowy AC,</w:t>
      </w:r>
    </w:p>
    <w:p>
      <w:pPr>
        <w:pStyle w:val="Normal"/>
        <w:spacing w:lineRule="auto" w:line="276"/>
        <w:jc w:val="both"/>
        <w:rPr/>
      </w:pPr>
      <w:r>
        <w:rPr/>
        <w:t xml:space="preserve">    • </w:t>
      </w:r>
      <w:r>
        <w:rPr/>
        <w:t>Monitoring prądów różnicowych (RCMU),</w:t>
      </w:r>
    </w:p>
    <w:p>
      <w:pPr>
        <w:pStyle w:val="Normal"/>
        <w:spacing w:lineRule="auto" w:line="276"/>
        <w:jc w:val="both"/>
        <w:rPr/>
      </w:pPr>
      <w:r>
        <w:rPr/>
        <w:t xml:space="preserve">    • </w:t>
      </w:r>
      <w:r>
        <w:rPr/>
        <w:t>Zabezpieczenie nadprądowe AC,</w:t>
      </w:r>
    </w:p>
    <w:p>
      <w:pPr>
        <w:pStyle w:val="Normal"/>
        <w:spacing w:lineRule="auto" w:line="276"/>
        <w:jc w:val="both"/>
        <w:rPr/>
      </w:pPr>
      <w:r>
        <w:rPr/>
        <w:t xml:space="preserve">    • </w:t>
      </w:r>
      <w:r>
        <w:rPr/>
        <w:t>Zabezpieczenie przeciwzwarciowe AC,</w:t>
      </w:r>
    </w:p>
    <w:p>
      <w:pPr>
        <w:pStyle w:val="Normal"/>
        <w:spacing w:lineRule="auto" w:line="276"/>
        <w:jc w:val="both"/>
        <w:rPr/>
      </w:pPr>
      <w:r>
        <w:rPr/>
        <w:t xml:space="preserve">    • </w:t>
      </w:r>
      <w:r>
        <w:rPr/>
        <w:t>Wykrywanie łuku elektrycznego,</w:t>
      </w:r>
    </w:p>
    <w:p>
      <w:pPr>
        <w:pStyle w:val="Normal"/>
        <w:spacing w:lineRule="auto" w:line="276"/>
        <w:jc w:val="both"/>
        <w:rPr/>
      </w:pPr>
      <w:r>
        <w:rPr/>
        <w:t xml:space="preserve">    • </w:t>
      </w:r>
      <w:r>
        <w:rPr/>
        <w:t>Monitoring pracy online,</w:t>
      </w:r>
    </w:p>
    <w:p>
      <w:pPr>
        <w:pStyle w:val="Normal"/>
        <w:spacing w:lineRule="auto" w:line="276"/>
        <w:jc w:val="both"/>
        <w:rPr/>
      </w:pPr>
      <w:r>
        <w:rPr/>
        <w:t xml:space="preserve">    • </w:t>
      </w:r>
      <w:r>
        <w:rPr/>
        <w:t>Posiadać certyfikat na zgodność z wymogami kodeksu NC RfG;</w:t>
      </w:r>
    </w:p>
    <w:p>
      <w:pPr>
        <w:pStyle w:val="Normal"/>
        <w:spacing w:lineRule="auto" w:line="276"/>
        <w:jc w:val="both"/>
        <w:rPr/>
      </w:pPr>
      <w:r>
        <w:rPr/>
        <w:t xml:space="preserve">c) Zamawiający wymaga zastosowanie optymalizatorów mocy współpracujących </w:t>
        <w:br/>
        <w:t>z projektowanym falownikiem</w:t>
      </w:r>
    </w:p>
    <w:p>
      <w:pPr>
        <w:pStyle w:val="Normal"/>
        <w:spacing w:lineRule="auto" w:line="276"/>
        <w:jc w:val="both"/>
        <w:rPr>
          <w:b w:val="false"/>
          <w:bCs w:val="false"/>
        </w:rPr>
      </w:pPr>
      <w:r>
        <w:rPr>
          <w:b/>
          <w:bCs/>
        </w:rPr>
        <w:t>4.1.3.</w:t>
      </w:r>
      <w:r>
        <w:rPr>
          <w:b w:val="false"/>
          <w:bCs w:val="false"/>
          <w:shd w:fill="auto" w:val="clear"/>
        </w:rPr>
        <w:t xml:space="preserve"> Wykonawca oświadcza, że zakres zamówienia określony w paragrafie 4.1.1. nie budzi wątpliwości. Wykonawca wyklucza możliwość powoływania się na niezrozumienie zakresu oraz treści przedmiotu umowy, jako podstawę roszczeń o zwiększenie wynagrodzenia oraz potwierdzenia, że będzie żądał podwyższenia wynagrodzenia wskutek złego oszacowania rozmiaru lub kosztów prac.</w:t>
      </w:r>
    </w:p>
    <w:p>
      <w:pPr>
        <w:pStyle w:val="Normal"/>
        <w:spacing w:lineRule="auto" w:line="276"/>
        <w:jc w:val="both"/>
        <w:rPr>
          <w:highlight w:val="none"/>
          <w:shd w:fill="auto" w:val="clear"/>
        </w:rPr>
      </w:pPr>
      <w:r>
        <w:rPr>
          <w:b/>
          <w:bCs/>
          <w:shd w:fill="auto" w:val="clear"/>
        </w:rPr>
        <w:t>4.1.4.</w:t>
      </w:r>
      <w:r>
        <w:rPr>
          <w:b w:val="false"/>
          <w:bCs w:val="false"/>
          <w:shd w:fill="auto" w:val="clear"/>
        </w:rPr>
        <w:t xml:space="preserve"> Wraz z dostawą urządzeń, Zamawiający przewiduje możliwość żądania przedstawienia wyników badań modułów fotowoltaicznych w poniższym zakresie:</w:t>
      </w:r>
    </w:p>
    <w:p>
      <w:pPr>
        <w:pStyle w:val="Normal"/>
        <w:spacing w:lineRule="auto" w:line="276"/>
        <w:jc w:val="both"/>
        <w:rPr>
          <w:highlight w:val="none"/>
          <w:shd w:fill="auto" w:val="clear"/>
        </w:rPr>
      </w:pPr>
      <w:r>
        <w:rPr>
          <w:b w:val="false"/>
          <w:bCs w:val="false"/>
          <w:shd w:fill="auto" w:val="clear"/>
        </w:rPr>
        <w:t>1) flash test;</w:t>
      </w:r>
    </w:p>
    <w:p>
      <w:pPr>
        <w:pStyle w:val="Normal"/>
        <w:spacing w:lineRule="auto" w:line="276"/>
        <w:jc w:val="both"/>
        <w:rPr>
          <w:highlight w:val="none"/>
          <w:shd w:fill="auto" w:val="clear"/>
        </w:rPr>
      </w:pPr>
      <w:r>
        <w:rPr>
          <w:b w:val="false"/>
          <w:bCs w:val="false"/>
          <w:shd w:fill="auto" w:val="clear"/>
        </w:rPr>
        <w:t>2) wydajność modułów w standard test conditions (STC).</w:t>
      </w:r>
    </w:p>
    <w:p>
      <w:pPr>
        <w:pStyle w:val="Normal"/>
        <w:spacing w:lineRule="auto" w:line="276"/>
        <w:jc w:val="both"/>
        <w:rPr>
          <w:b w:val="false"/>
          <w:bCs w:val="false"/>
        </w:rPr>
      </w:pPr>
      <w:r>
        <w:rPr>
          <w:b w:val="false"/>
          <w:bCs w:val="false"/>
        </w:rPr>
      </w:r>
    </w:p>
    <w:p>
      <w:pPr>
        <w:pStyle w:val="Normal"/>
        <w:spacing w:lineRule="auto" w:line="276"/>
        <w:jc w:val="both"/>
        <w:rPr/>
      </w:pPr>
      <w:r>
        <w:rPr>
          <w:b/>
          <w:bCs/>
        </w:rPr>
        <w:t>Adres zamówienia:</w:t>
      </w:r>
    </w:p>
    <w:p>
      <w:pPr>
        <w:pStyle w:val="Normal"/>
        <w:spacing w:lineRule="auto" w:line="276"/>
        <w:jc w:val="both"/>
        <w:rPr>
          <w:b w:val="false"/>
          <w:bCs w:val="false"/>
        </w:rPr>
      </w:pPr>
      <w:r>
        <w:rPr>
          <w:b w:val="false"/>
          <w:bCs w:val="false"/>
        </w:rPr>
        <w:t>Działka nr  855, ul. Szkolna 4, 22-200 Włodawa</w:t>
      </w:r>
    </w:p>
    <w:p>
      <w:pPr>
        <w:pStyle w:val="Normal"/>
        <w:spacing w:lineRule="auto" w:line="276"/>
        <w:jc w:val="both"/>
        <w:rPr>
          <w:rStyle w:val="Domylnaczcionkaakapitu"/>
        </w:rPr>
      </w:pPr>
      <w:r>
        <w:rPr/>
      </w:r>
    </w:p>
    <w:p>
      <w:pPr>
        <w:pStyle w:val="Normal"/>
        <w:spacing w:lineRule="auto" w:line="276"/>
        <w:rPr/>
      </w:pPr>
      <w:r>
        <w:rPr>
          <w:b/>
          <w:bCs/>
        </w:rPr>
        <w:t>4.1.5</w:t>
      </w:r>
      <w:r>
        <w:rPr>
          <w:b/>
          <w:bCs/>
          <w:lang w:eastAsia="pl-PL"/>
        </w:rPr>
        <w:t>. Dodatkowe informacje dotyczące zamówienia:</w:t>
      </w:r>
    </w:p>
    <w:p>
      <w:pPr>
        <w:pStyle w:val="Normal"/>
        <w:spacing w:lineRule="auto" w:line="276"/>
        <w:jc w:val="both"/>
        <w:rPr/>
      </w:pPr>
      <w:r>
        <w:rPr>
          <w:lang w:val="pl-PL" w:eastAsia="pl-PL"/>
        </w:rPr>
        <w:t>Szczegółowy opis przedmiotu zamówienia (SOPZ), stanowi Załącznik nr 1 do SWZ zawierający:</w:t>
      </w:r>
    </w:p>
    <w:p>
      <w:pPr>
        <w:pStyle w:val="Normal"/>
        <w:spacing w:lineRule="auto" w:line="276"/>
        <w:jc w:val="both"/>
        <w:rPr/>
      </w:pPr>
      <w:r>
        <w:rPr>
          <w:lang w:val="pl-PL" w:eastAsia="pl-PL"/>
        </w:rPr>
        <w:t>1) dokumentację projektową,</w:t>
      </w:r>
    </w:p>
    <w:p>
      <w:pPr>
        <w:pStyle w:val="Normal"/>
        <w:spacing w:lineRule="auto" w:line="276"/>
        <w:jc w:val="both"/>
        <w:rPr/>
      </w:pPr>
      <w:r>
        <w:rPr>
          <w:lang w:val="pl-PL" w:eastAsia="pl-PL"/>
        </w:rPr>
        <w:t>2) przedmiar robót,</w:t>
      </w:r>
    </w:p>
    <w:p>
      <w:pPr>
        <w:pStyle w:val="Normal"/>
        <w:spacing w:lineRule="auto" w:line="276"/>
        <w:jc w:val="both"/>
        <w:rPr>
          <w:lang w:val="pl-PL" w:eastAsia="pl-PL"/>
        </w:rPr>
      </w:pPr>
      <w:r>
        <w:rPr>
          <w:lang w:val="pl-PL" w:eastAsia="pl-PL"/>
        </w:rPr>
        <w:t>3) szczegółową specyfikację techniczną wykonania i odbioru robót</w:t>
      </w:r>
    </w:p>
    <w:p>
      <w:pPr>
        <w:pStyle w:val="Normal"/>
        <w:spacing w:lineRule="auto" w:line="276"/>
        <w:jc w:val="both"/>
        <w:rPr/>
      </w:pPr>
      <w:r>
        <w:rPr>
          <w:lang w:val="pl-PL" w:eastAsia="pl-PL"/>
        </w:rPr>
        <w:t>Z uwagi na to, że wynagrodzenie wykonawcy wskazane w ofercie będzie miało charakter ryczałtowy, wykonawca przy wycenie oferty powinien opierać się na zakresie wskazanym</w:t>
        <w:br/>
        <w:t>w dokumentacji projektowej o której mowa w pkt 1).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w:t>
        <w:br/>
        <w:t>w dokumentacji projektowej o której mowa w pkt 1).</w:t>
      </w:r>
    </w:p>
    <w:p>
      <w:pPr>
        <w:pStyle w:val="Normal"/>
        <w:spacing w:lineRule="auto" w:line="276"/>
        <w:rPr/>
      </w:pPr>
      <w:r>
        <w:rPr/>
      </w:r>
    </w:p>
    <w:p>
      <w:pPr>
        <w:pStyle w:val="Normal"/>
        <w:spacing w:lineRule="auto" w:line="276"/>
        <w:rPr>
          <w:b/>
          <w:bCs/>
        </w:rPr>
      </w:pPr>
      <w:r>
        <w:rPr>
          <w:b/>
          <w:bCs/>
        </w:rPr>
        <w:t>4.2. Kody Wspólnego Słownika Zamówień CPV:</w:t>
      </w:r>
    </w:p>
    <w:p>
      <w:pPr>
        <w:pStyle w:val="Normal"/>
        <w:spacing w:lineRule="auto" w:line="276"/>
        <w:rPr/>
      </w:pPr>
      <w:r>
        <w:rPr/>
        <w:t>09332000-5 Instalacje słoneczne</w:t>
      </w:r>
    </w:p>
    <w:p>
      <w:pPr>
        <w:pStyle w:val="Normal"/>
        <w:spacing w:lineRule="auto" w:line="276"/>
        <w:rPr/>
      </w:pPr>
      <w:r>
        <w:rPr/>
        <w:t>45311100-1 Roboty w zakresie okablowania elektrycznego</w:t>
      </w:r>
    </w:p>
    <w:p>
      <w:pPr>
        <w:pStyle w:val="Normal"/>
        <w:spacing w:lineRule="auto" w:line="276"/>
        <w:rPr/>
      </w:pPr>
      <w:r>
        <w:rPr/>
        <w:t>45300000-0 Roboty instalacyjne w budynkach</w:t>
      </w:r>
    </w:p>
    <w:p>
      <w:pPr>
        <w:pStyle w:val="Normal"/>
        <w:spacing w:lineRule="auto" w:line="276"/>
        <w:rPr/>
      </w:pPr>
      <w:r>
        <w:rPr/>
        <w:t>45261215-4 Pokrywanie dachów panelami ogniw słonecznych</w:t>
      </w:r>
    </w:p>
    <w:p>
      <w:pPr>
        <w:pStyle w:val="Normal"/>
        <w:spacing w:lineRule="auto" w:line="276"/>
        <w:rPr/>
      </w:pPr>
      <w:r>
        <w:rPr/>
        <w:t>45311200-2 Roboty w zakresie instalacji elektrycznych</w:t>
      </w:r>
    </w:p>
    <w:p>
      <w:pPr>
        <w:pStyle w:val="Normal"/>
        <w:spacing w:lineRule="auto" w:line="276"/>
        <w:rPr>
          <w:highlight w:val="none"/>
          <w:shd w:fill="FFFF00" w:val="clear"/>
        </w:rPr>
      </w:pPr>
      <w:r>
        <w:rPr>
          <w:shd w:fill="FFFF00" w:val="clear"/>
        </w:rPr>
      </w:r>
    </w:p>
    <w:p>
      <w:pPr>
        <w:pStyle w:val="Normal"/>
        <w:spacing w:lineRule="auto" w:line="276"/>
        <w:jc w:val="both"/>
        <w:rPr>
          <w:highlight w:val="none"/>
          <w:shd w:fill="auto" w:val="clear"/>
        </w:rPr>
      </w:pPr>
      <w:r>
        <w:rPr>
          <w:b/>
          <w:bCs/>
          <w:shd w:fill="auto" w:val="clear"/>
        </w:rPr>
        <w:t>4.3.</w:t>
      </w:r>
      <w:r>
        <w:rPr>
          <w:b w:val="false"/>
          <w:bCs w:val="false"/>
          <w:shd w:fill="auto" w:val="clear"/>
        </w:rPr>
        <w:t xml:space="preserve"> Ze względu na charakter prac, w trakcie prowadzonych robót należy zwrócić szczególną uwagę na właściwe zabezpieczenie terenu i minimalizację uciążliwości związanych</w:t>
        <w:br/>
        <w:t>z prowadzonymi pracami.</w:t>
      </w:r>
    </w:p>
    <w:p>
      <w:pPr>
        <w:pStyle w:val="Normal"/>
        <w:spacing w:lineRule="auto" w:line="276"/>
        <w:jc w:val="both"/>
        <w:rPr>
          <w:highlight w:val="none"/>
          <w:shd w:fill="auto" w:val="clear"/>
        </w:rPr>
      </w:pPr>
      <w:r>
        <w:rPr>
          <w:b/>
          <w:bCs/>
          <w:shd w:fill="auto" w:val="clear"/>
        </w:rPr>
        <w:t>4.3.1.</w:t>
      </w:r>
      <w:r>
        <w:rPr>
          <w:b w:val="false"/>
          <w:bCs w:val="false"/>
          <w:shd w:fill="auto" w:val="clear"/>
        </w:rPr>
        <w:t xml:space="preserve"> Zamawiający przewiduje możliwość odbycia przez Wykonawcę wizji lokalnej</w:t>
        <w:br/>
        <w:t xml:space="preserve">w dni robocze w godzinach od 9:00 do 14:00, po uprzednim umówieniu się telefonicznie: +48 82 57 21 444 wew. 48, Leszek Wiatrowski w celu zapoznania się z rzeczywistymi warunkami realizacji przedmiotu niniejszego zamówienia i uwzględnienia ich w trakcie sporządzania wyceny. Zamawiający informuje, że odbycie przez wykonawcę wizji lokalnej nie jest wymagane do złożenia oferty (nie jest obligatoryjne) i nie przewiduje sankcji w postaci odrzucenia złożonej oferty bez odbycia wizji lokalnej.    </w:t>
      </w:r>
    </w:p>
    <w:p>
      <w:pPr>
        <w:pStyle w:val="Normal"/>
        <w:spacing w:lineRule="auto" w:line="276"/>
        <w:jc w:val="both"/>
        <w:rPr>
          <w:highlight w:val="none"/>
          <w:shd w:fill="auto" w:val="clear"/>
        </w:rPr>
      </w:pPr>
      <w:r>
        <w:rPr>
          <w:b/>
          <w:bCs/>
          <w:shd w:fill="auto" w:val="clear"/>
        </w:rPr>
        <w:t>4.3.2.</w:t>
      </w:r>
      <w:r>
        <w:rPr>
          <w:b w:val="false"/>
          <w:bCs w:val="false"/>
          <w:shd w:fill="auto" w:val="clear"/>
        </w:rPr>
        <w:t xml:space="preserve"> Po zakończeniu robót wykonawca zobowiązany jest do przywrócenia porządku</w:t>
        <w:br/>
        <w:t xml:space="preserve">i czystości na terenie objętym robotami oraz do wywiezienia wszelkich pozostałości budowlanych oraz odpadów zielonych z terenu inwestycji i ich utylizowania. </w:t>
      </w:r>
    </w:p>
    <w:p>
      <w:pPr>
        <w:pStyle w:val="Normal"/>
        <w:spacing w:lineRule="auto" w:line="276"/>
        <w:jc w:val="both"/>
        <w:rPr>
          <w:highlight w:val="none"/>
          <w:shd w:fill="auto" w:val="clear"/>
        </w:rPr>
      </w:pPr>
      <w:r>
        <w:rPr>
          <w:b/>
          <w:bCs/>
          <w:shd w:fill="auto" w:val="clear"/>
        </w:rPr>
        <w:t>4.3.3.</w:t>
      </w:r>
      <w:r>
        <w:rPr>
          <w:b w:val="false"/>
          <w:bCs w:val="false"/>
          <w:shd w:fill="auto" w:val="clear"/>
        </w:rPr>
        <w:t xml:space="preserve"> W przypadku zaistnienia konieczności uzyskania innych zezwoleń lub uzgodnień wymaganych prawem i wynikających z realizacji niniejszego zadania, wszelkie koszty z tym związane ponosi Wykonawca.</w:t>
      </w:r>
    </w:p>
    <w:p>
      <w:pPr>
        <w:pStyle w:val="Normal"/>
        <w:spacing w:lineRule="auto" w:line="276"/>
        <w:jc w:val="both"/>
        <w:rPr/>
      </w:pPr>
      <w:r>
        <w:rPr>
          <w:b/>
          <w:bCs/>
        </w:rPr>
        <w:t>4.3.4.</w:t>
      </w:r>
      <w:r>
        <w:rPr/>
        <w:t xml:space="preserve">  Na podstawie art. </w:t>
      </w:r>
      <w:r>
        <w:rPr>
          <w:lang w:val="pl-PL" w:eastAsia="zh-CN" w:bidi="hi-IN"/>
        </w:rPr>
        <w:t>284</w:t>
      </w:r>
      <w:r>
        <w:rPr/>
        <w:t xml:space="preserve"> ust. 1 ustawy Pzp – w przypadkach wątpliwych (np. rozbieżności, braki w opisach, ewentualne </w:t>
      </w:r>
      <w:r>
        <w:rPr>
          <w:lang w:val="pl-PL" w:eastAsia="pl-PL" w:bidi="ar-SA"/>
        </w:rPr>
        <w:t>niejasności</w:t>
      </w:r>
      <w:r>
        <w:rPr/>
        <w:t>) – Wykonawca może zwrócić się do Zamawiającego o wyjaśnienie treści SWZ. W przypadku, gdy Wykonawcy nie zgłaszają uwag, Zamawiający uzna, że brak jest zastrzeżeń  do dokumentów opisujących przedmiot zamówienia.</w:t>
      </w:r>
    </w:p>
    <w:p>
      <w:pPr>
        <w:pStyle w:val="Normal"/>
        <w:spacing w:lineRule="auto" w:line="276"/>
        <w:rPr/>
      </w:pPr>
      <w:r>
        <w:rPr/>
      </w:r>
    </w:p>
    <w:p>
      <w:pPr>
        <w:pStyle w:val="Normal"/>
        <w:spacing w:lineRule="auto" w:line="276"/>
        <w:jc w:val="both"/>
        <w:rPr/>
      </w:pPr>
      <w:r>
        <w:rPr>
          <w:b/>
          <w:bCs/>
        </w:rPr>
        <w:t>4.4.</w:t>
      </w:r>
      <w:r>
        <w:rPr/>
        <w:t xml:space="preserve"> Kompleksowa dokumentacja dotycząca </w:t>
      </w:r>
      <w:r>
        <w:rPr>
          <w:lang w:val="pl-PL" w:eastAsia="pl-PL" w:bidi="ar-SA"/>
        </w:rPr>
        <w:t>zamówienia</w:t>
      </w:r>
      <w:r>
        <w:rPr/>
        <w:t xml:space="preserve"> dostępna jest pod adresem internetowym: </w:t>
      </w:r>
      <w:r>
        <w:rPr>
          <w:rStyle w:val="Czeinternetowe"/>
        </w:rPr>
        <w:t>https://platformazakupowa.pl/pn/wlodawa</w:t>
      </w:r>
    </w:p>
    <w:p>
      <w:pPr>
        <w:pStyle w:val="Normal"/>
        <w:spacing w:lineRule="auto" w:line="276"/>
        <w:jc w:val="both"/>
        <w:rPr>
          <w:rStyle w:val="Czeinternetowe"/>
        </w:rPr>
      </w:pPr>
      <w:r>
        <w:rPr/>
      </w:r>
    </w:p>
    <w:p>
      <w:pPr>
        <w:pStyle w:val="Normal"/>
        <w:spacing w:lineRule="auto" w:line="276"/>
        <w:jc w:val="both"/>
        <w:rPr>
          <w:rStyle w:val="Czeinternetowe"/>
        </w:rPr>
      </w:pPr>
      <w:r>
        <w:rPr/>
      </w:r>
    </w:p>
    <w:p>
      <w:pPr>
        <w:pStyle w:val="Normal"/>
        <w:spacing w:lineRule="auto" w:line="276"/>
        <w:rPr/>
      </w:pPr>
      <w:r>
        <w:rPr>
          <w:b/>
          <w:bCs/>
        </w:rPr>
        <w:t>4.4.1. Wymagania dotyczące dostępności</w:t>
      </w:r>
    </w:p>
    <w:p>
      <w:pPr>
        <w:pStyle w:val="Normal"/>
        <w:spacing w:lineRule="auto" w:line="276"/>
        <w:jc w:val="both"/>
        <w:rPr/>
      </w:pPr>
      <w:r>
        <w:rPr>
          <w:b w:val="false"/>
          <w:bCs w:val="false"/>
        </w:rPr>
        <w:t xml:space="preserve">Dokumentacja projektowa, o której mowa w ust. 4.1.1. SWZ stanowiąca załącznik nr 1 do SWZ spełnia wymagania w zakresie dostępności dla osób niepełnosprawnych oraz projektowania z przeznaczeniem dla wszystkich użytkowników zgodnie z przepisami ustawy Prawo budowlane i przepisami wykonawczymi. </w:t>
      </w:r>
    </w:p>
    <w:p>
      <w:pPr>
        <w:pStyle w:val="Normal"/>
        <w:spacing w:lineRule="auto" w:line="276"/>
        <w:jc w:val="both"/>
        <w:rPr/>
      </w:pPr>
      <w:r>
        <w:rPr>
          <w:b/>
          <w:bCs/>
        </w:rPr>
        <w:t>4.5.</w:t>
      </w:r>
      <w:r>
        <w:rPr/>
        <w:t xml:space="preserve"> W każdym przypadku użycia w opisie przedmiotu zamówienia norm, ocen technicznych, aprobat, specyfikacji technicznych i systemów referencji technicznych, o których mowa w art. 101 ust. 1 pkt 2 oraz ust. 3 ustawy Pzp wykonawca powinien przyjąć, że odniesieniu takiemu towarzyszą wyrazy „lub równoważne”. </w:t>
      </w:r>
    </w:p>
    <w:p>
      <w:pPr>
        <w:pStyle w:val="Normal"/>
        <w:spacing w:lineRule="auto" w:line="276"/>
        <w:jc w:val="both"/>
        <w:rPr/>
      </w:pPr>
      <w:r>
        <w:rPr/>
        <w:t>UWAGA: W załącznikach do SWZ nie opisano przedmiotu zamówienia poprzez wskazanie nazwy materiału, produktu, urządzenia lub jego producenta. Ewentualne nazwy materiału, produktu, urządzenia lub jego producenta, które pojawiają się w załącznikach do SWZ oraz</w:t>
        <w:br/>
        <w:t xml:space="preserve">w szczegółowym </w:t>
      </w:r>
      <w:r>
        <w:rPr>
          <w:lang w:val="pl-PL" w:eastAsia="zh-CN" w:bidi="ar-SA"/>
        </w:rPr>
        <w:t>opisie przedmiotu zamówienia</w:t>
      </w:r>
      <w:r>
        <w:rPr/>
        <w:t xml:space="preserve"> (nawet jeśli są poprzedzone zwrotem „typu”, „np.” lub ich synonimem) są wskazaniem jedynie przykładowym.</w:t>
      </w:r>
    </w:p>
    <w:p>
      <w:pPr>
        <w:pStyle w:val="Normal"/>
        <w:spacing w:lineRule="auto" w:line="276"/>
        <w:jc w:val="both"/>
        <w:rPr/>
      </w:pPr>
      <w:r>
        <w:rPr/>
        <w:t>Wykonawca analizując dokumentacj</w:t>
      </w:r>
      <w:r>
        <w:rPr>
          <w:lang w:val="pl-PL" w:eastAsia="en-US" w:bidi="ar-SA"/>
        </w:rPr>
        <w:t>ę</w:t>
      </w:r>
      <w:r>
        <w:rPr/>
        <w:t xml:space="preserve"> powinien założyć, że każdemu odniesieniu użytemu</w:t>
        <w:br/>
        <w:t>w dokumentacji towarzyszy wyraz „lub równoważne". W przypadku, gdy zostały użyte znaki towarowe, oznacza to, ze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ze zastosowane przez niego urządzenia i materiały spełniają wymagania określone przez Zamawiającego. Użycie etykiety oznacza, ze Zamawiający akceptuje wszystkie etykiety potwierdzające, że dane dostawy lub usługi spełniają równoważne wymagania określonej przez zamawiającego etykiety. Użycie w dokumentacji wymogu posiadania certyfikatu wydanego przez jednostkę oceniającą zgodność lub sprawozdania</w:t>
        <w:br/>
        <w:t>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Tam gdzie w SWZ lub załącznikach opisano przedmiot zamówienia wskazując znaki towarowe, patenty lub pochodzenie, źródło lub szczególny proces, który charakteryzuje produkty dostarczane przez konkretnego Wykonawcę, co mogłoby doprowadzić do uprzywilejowania lub wyeliminowania niektórych Wykonawców lub produktów, Zamawiający dopuszcza rozwiązania równoważne opisywanym pod warunkiem, że będą one o nie gorszych właściwościach i jakości.</w:t>
      </w:r>
    </w:p>
    <w:p>
      <w:pPr>
        <w:pStyle w:val="Normal"/>
        <w:spacing w:lineRule="auto" w:line="276"/>
        <w:rPr/>
      </w:pPr>
      <w:r>
        <w:rPr/>
      </w:r>
    </w:p>
    <w:p>
      <w:pPr>
        <w:pStyle w:val="Normal"/>
        <w:spacing w:lineRule="auto" w:line="276"/>
        <w:jc w:val="both"/>
        <w:rPr/>
      </w:pPr>
      <w:r>
        <w:rPr>
          <w:b/>
          <w:bCs/>
        </w:rPr>
        <w:t>4.6.</w:t>
      </w:r>
      <w:r>
        <w:rPr/>
        <w:t xml:space="preserve"> Zamawiający </w:t>
      </w:r>
      <w:r>
        <w:rPr>
          <w:b/>
          <w:bCs/>
          <w:u w:val="single"/>
        </w:rPr>
        <w:t>nie wymaga</w:t>
      </w:r>
      <w:r>
        <w:rPr/>
        <w:t xml:space="preserve"> w niniejszym postępowaniu przedmiotowych środków dowodowych.</w:t>
      </w:r>
    </w:p>
    <w:p>
      <w:pPr>
        <w:pStyle w:val="Normal"/>
        <w:spacing w:lineRule="auto" w:line="276"/>
        <w:jc w:val="both"/>
        <w:rPr/>
      </w:pPr>
      <w:r>
        <w:rPr/>
      </w:r>
    </w:p>
    <w:p>
      <w:pPr>
        <w:pStyle w:val="Normal"/>
        <w:spacing w:lineRule="auto" w:line="276"/>
        <w:jc w:val="both"/>
        <w:rPr>
          <w:b/>
          <w:bCs/>
        </w:rPr>
      </w:pPr>
      <w:r>
        <w:rPr>
          <w:b/>
          <w:bCs/>
        </w:rPr>
        <w:t>4.7. Zamawiający nie dokonuje podziału zamówienia na części z następujących względów:</w:t>
      </w:r>
    </w:p>
    <w:p>
      <w:pPr>
        <w:pStyle w:val="Normal"/>
        <w:spacing w:lineRule="auto" w:line="276"/>
        <w:jc w:val="both"/>
        <w:rPr>
          <w:b w:val="false"/>
          <w:bCs w:val="false"/>
        </w:rPr>
      </w:pPr>
      <w:r>
        <w:rPr>
          <w:b/>
          <w:bCs/>
        </w:rPr>
        <w:t xml:space="preserve">4.7.1. </w:t>
      </w:r>
      <w:r>
        <w:rPr>
          <w:b w:val="false"/>
          <w:bCs w:val="false"/>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w:t>
        <w:br/>
        <w:t>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pPr>
        <w:pStyle w:val="Normal"/>
        <w:spacing w:lineRule="auto" w:line="276"/>
        <w:jc w:val="both"/>
        <w:rPr>
          <w:highlight w:val="none"/>
          <w:shd w:fill="auto" w:val="clear"/>
        </w:rPr>
      </w:pPr>
      <w:r>
        <w:rPr>
          <w:b/>
          <w:bCs/>
          <w:shd w:fill="auto" w:val="clear"/>
        </w:rPr>
        <w:t xml:space="preserve">4.7.2. </w:t>
      </w:r>
      <w:r>
        <w:rPr>
          <w:b w:val="false"/>
          <w:bCs w:val="false"/>
          <w:shd w:fill="auto" w:val="clear"/>
        </w:rPr>
        <w:t>Inwestycja obejmuje instalację jednolitego obiektu pod względem funkcjonalnym. Rozdzielenie robót i dostaw groziłoby niedającymi się wyeliminować problemami organizacyjnymi związanymi z odpowiedzialnością za poszczególne etapy robót wykonywanych przez różnych Wykonawców. Przy tego typu robotach w tak krótkim terminie realizacji, nie ma możliwości rozdzielić całości zamówienia na poszczególne wykonawców na etapy tj. dostawa paneli fotowoltaicznych, falowników i ich montaż.</w:t>
      </w:r>
    </w:p>
    <w:p>
      <w:pPr>
        <w:pStyle w:val="Normal"/>
        <w:spacing w:lineRule="auto" w:line="276"/>
        <w:jc w:val="both"/>
        <w:rPr>
          <w:b/>
          <w:bCs/>
          <w:highlight w:val="none"/>
          <w:shd w:fill="auto" w:val="clear"/>
        </w:rPr>
      </w:pPr>
      <w:r>
        <w:rPr>
          <w:b/>
          <w:bCs/>
          <w:shd w:fill="auto" w:val="clear"/>
        </w:rPr>
        <w:t xml:space="preserve">4.7.3. </w:t>
      </w:r>
      <w:r>
        <w:rPr>
          <w:b w:val="false"/>
          <w:bCs w:val="false"/>
          <w:shd w:fill="auto" w:val="clear"/>
        </w:rPr>
        <w:t>Przy tego typu pracach nie ma możliwości jednoznacznego określenia zasad odpowiedzialności za jeden plac budowy.</w:t>
      </w:r>
    </w:p>
    <w:p>
      <w:pPr>
        <w:pStyle w:val="Normal"/>
        <w:spacing w:lineRule="auto" w:line="276"/>
        <w:jc w:val="both"/>
        <w:rPr>
          <w:b/>
          <w:bCs/>
          <w:highlight w:val="none"/>
          <w:shd w:fill="auto" w:val="clear"/>
        </w:rPr>
      </w:pPr>
      <w:r>
        <w:rPr>
          <w:b/>
          <w:bCs/>
          <w:shd w:fill="auto" w:val="clear"/>
        </w:rPr>
        <w:t xml:space="preserve">4.7.4. </w:t>
      </w:r>
      <w:r>
        <w:rPr>
          <w:b w:val="false"/>
          <w:bCs w:val="false"/>
          <w:shd w:fill="auto" w:val="clear"/>
        </w:rPr>
        <w:t>Przy tego typu pracach wykonywanych przez różnych wykonawców nie możliwe byłoby jednoznaczne określenie zasad odpowiedzialności OC (np. w razie jednoczesnego wykonywania robót przez wielu wykonawców utrudnione byłoby ustalenie podmiotu odpowiedzialnego za szkody objętej polisą OC.)</w:t>
      </w:r>
    </w:p>
    <w:p>
      <w:pPr>
        <w:pStyle w:val="Normal"/>
        <w:spacing w:lineRule="auto" w:line="276"/>
        <w:jc w:val="both"/>
        <w:rPr>
          <w:b/>
          <w:bCs/>
          <w:highlight w:val="none"/>
          <w:shd w:fill="auto" w:val="clear"/>
        </w:rPr>
      </w:pPr>
      <w:r>
        <w:rPr>
          <w:b/>
          <w:bCs/>
          <w:shd w:fill="auto" w:val="clear"/>
        </w:rPr>
        <w:t xml:space="preserve">4.7.5. </w:t>
      </w:r>
      <w:r>
        <w:rPr>
          <w:b w:val="false"/>
          <w:bCs w:val="false"/>
          <w:shd w:fill="auto" w:val="clear"/>
        </w:rPr>
        <w:t xml:space="preserve">Przy tego typu pracach wykonywanych przez różnych wykonawców opóźnienie jednego z wykonawców wpłynęłoby negatywnie na terminowość wykonania innych elementów inwestycji – zależnych od terminowego wykonania prac przez innego wykonawcę. </w:t>
      </w:r>
      <w:r>
        <w:rPr>
          <w:b/>
          <w:bCs/>
          <w:shd w:fill="auto" w:val="clear"/>
        </w:rPr>
        <w:t xml:space="preserve">4.7.6. </w:t>
      </w:r>
      <w:r>
        <w:rPr>
          <w:b w:val="false"/>
          <w:bCs w:val="false"/>
          <w:shd w:fill="auto" w:val="clear"/>
        </w:rPr>
        <w:t>Taki zakres zamówienia jest optymalny dla małych średnich przedsiębiorstw, które zamówią elementy fotowoltaiczne wraz z osprzętem, dostosują zakres prac i termin ich wykonania wraz z montażem zamówionych elementów. Zlecenie robót budowlanych jednemu wykonawcy daje gwarancję wykonania zamówienia w całości.</w:t>
      </w:r>
    </w:p>
    <w:p>
      <w:pPr>
        <w:pStyle w:val="Normal"/>
        <w:spacing w:lineRule="auto" w:line="276"/>
        <w:jc w:val="both"/>
        <w:rPr>
          <w:b/>
          <w:bCs/>
          <w:highlight w:val="none"/>
          <w:shd w:fill="auto" w:val="clear"/>
        </w:rPr>
      </w:pPr>
      <w:r>
        <w:rPr>
          <w:b/>
          <w:bCs/>
          <w:shd w:fill="auto" w:val="clear"/>
        </w:rPr>
        <w:t xml:space="preserve">4.7.7. </w:t>
      </w:r>
      <w:r>
        <w:rPr>
          <w:b w:val="false"/>
          <w:bCs w:val="false"/>
          <w:shd w:fill="auto" w:val="clear"/>
        </w:rPr>
        <w:t>Podział zamówienia powodowałby ryzyko, w którym unieważnienie jednej części postępowania zagroziłoby terminowej realizacji innych części zamówienia i naraziłoby Zamawiającego na roszczenia pozostałych wykonawców, którzy nie mogliby skutecznie zakończyć wykonywania prac w zakresie obiektu budowlanego.</w:t>
      </w:r>
    </w:p>
    <w:p>
      <w:pPr>
        <w:pStyle w:val="Normal"/>
        <w:spacing w:lineRule="auto" w:line="276"/>
        <w:jc w:val="both"/>
        <w:rPr>
          <w:b w:val="false"/>
          <w:bCs w:val="false"/>
          <w:highlight w:val="none"/>
          <w:shd w:fill="auto" w:val="clear"/>
        </w:rPr>
      </w:pPr>
      <w:r>
        <w:rPr>
          <w:b w:val="false"/>
          <w:bCs w:val="false"/>
          <w:shd w:fill="auto" w:val="clear"/>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pPr>
        <w:pStyle w:val="Normal"/>
        <w:spacing w:lineRule="auto" w:line="276"/>
        <w:jc w:val="both"/>
        <w:rPr>
          <w:b w:val="false"/>
          <w:bCs w:val="false"/>
          <w:highlight w:val="none"/>
          <w:shd w:fill="auto" w:val="clear"/>
        </w:rPr>
      </w:pPr>
      <w:r>
        <w:rPr>
          <w:b w:val="false"/>
          <w:bCs w:val="false"/>
          <w:shd w:fill="auto" w:val="clear"/>
        </w:rPr>
      </w:r>
    </w:p>
    <w:p>
      <w:pPr>
        <w:pStyle w:val="Normal"/>
        <w:spacing w:lineRule="auto" w:line="276"/>
        <w:jc w:val="both"/>
        <w:rPr>
          <w:b w:val="false"/>
          <w:bCs w:val="false"/>
          <w:highlight w:val="none"/>
          <w:shd w:fill="auto" w:val="clear"/>
        </w:rPr>
      </w:pPr>
      <w:r>
        <w:rPr>
          <w:b w:val="false"/>
          <w:bCs w:val="false"/>
          <w:shd w:fill="auto" w:val="clear"/>
        </w:rPr>
      </w:r>
    </w:p>
    <w:p>
      <w:pPr>
        <w:pStyle w:val="Normal"/>
        <w:spacing w:lineRule="auto" w:line="276"/>
        <w:rPr>
          <w:highlight w:val="none"/>
          <w:shd w:fill="auto" w:val="clear"/>
        </w:rPr>
      </w:pPr>
      <w:r>
        <w:rPr>
          <w:b/>
          <w:bCs/>
          <w:shd w:fill="auto" w:val="clear"/>
        </w:rPr>
        <w:t>4.8.   Gwarancja.</w:t>
      </w:r>
    </w:p>
    <w:p>
      <w:pPr>
        <w:pStyle w:val="Normal"/>
        <w:spacing w:lineRule="auto" w:line="276"/>
        <w:jc w:val="both"/>
        <w:rPr/>
      </w:pPr>
      <w:r>
        <w:rPr>
          <w:b/>
          <w:bCs/>
          <w:shd w:fill="auto" w:val="clear"/>
        </w:rPr>
        <w:t xml:space="preserve">4.8.1. </w:t>
      </w:r>
      <w:r>
        <w:rPr>
          <w:b w:val="false"/>
          <w:bCs w:val="false"/>
          <w:shd w:fill="auto" w:val="clear"/>
        </w:rPr>
        <w:t>Wykonawca ponosi wobec Zamawiającego odpowiedzialność z tytułu rękojmi za wady przedmiotu umowy przez okres obowiązywania gwarancji jakości na wykonany przedmiot zamówienia, na zasadach określonych w Kodeksie cywilnym.</w:t>
      </w:r>
    </w:p>
    <w:p>
      <w:pPr>
        <w:pStyle w:val="Normal"/>
        <w:spacing w:lineRule="auto" w:line="276"/>
        <w:rPr>
          <w:b/>
          <w:bCs/>
        </w:rPr>
      </w:pPr>
      <w:r>
        <w:rPr>
          <w:b/>
          <w:bCs/>
          <w:shd w:fill="auto" w:val="clear"/>
        </w:rPr>
        <w:t>4.8.2. Wykonawca udziela:</w:t>
      </w:r>
    </w:p>
    <w:p>
      <w:pPr>
        <w:pStyle w:val="Normal"/>
        <w:spacing w:lineRule="auto" w:line="276"/>
        <w:jc w:val="both"/>
        <w:rPr/>
      </w:pPr>
      <w:r>
        <w:rPr>
          <w:b w:val="false"/>
          <w:bCs w:val="false"/>
          <w:shd w:fill="auto" w:val="clear"/>
        </w:rPr>
        <w:t xml:space="preserve">1) </w:t>
      </w:r>
      <w:r>
        <w:rPr>
          <w:b/>
          <w:bCs/>
          <w:shd w:fill="auto" w:val="clear"/>
        </w:rPr>
        <w:t>min.10 lat</w:t>
      </w:r>
      <w:r>
        <w:rPr>
          <w:b w:val="false"/>
          <w:bCs w:val="false"/>
          <w:shd w:fill="auto" w:val="clear"/>
        </w:rPr>
        <w:t xml:space="preserve"> </w:t>
      </w:r>
      <w:r>
        <w:rPr>
          <w:b/>
          <w:bCs/>
          <w:shd w:fill="auto" w:val="clear"/>
        </w:rPr>
        <w:t>gwarancji</w:t>
      </w:r>
      <w:r>
        <w:rPr>
          <w:b w:val="false"/>
          <w:bCs w:val="false"/>
          <w:shd w:fill="auto" w:val="clear"/>
        </w:rPr>
        <w:t xml:space="preserve"> na falowniki wynikającej z gwarancji udzielonej przez producenta urządzeń, liczone od daty odbioru końcowego robót na zasadach określonych w Kodeksie cywilnym i podpisanej karcie gwarancyjnej,</w:t>
      </w:r>
    </w:p>
    <w:p>
      <w:pPr>
        <w:pStyle w:val="Normal"/>
        <w:spacing w:lineRule="auto" w:line="276"/>
        <w:jc w:val="both"/>
        <w:rPr/>
      </w:pPr>
      <w:r>
        <w:rPr>
          <w:b w:val="false"/>
          <w:bCs w:val="false"/>
          <w:shd w:fill="auto" w:val="clear"/>
        </w:rPr>
        <w:t xml:space="preserve">2) </w:t>
      </w:r>
      <w:r>
        <w:rPr>
          <w:b/>
          <w:bCs/>
          <w:shd w:fill="auto" w:val="clear"/>
        </w:rPr>
        <w:t xml:space="preserve">min. 12 lat gwarancji </w:t>
      </w:r>
      <w:r>
        <w:rPr>
          <w:b w:val="false"/>
          <w:bCs w:val="false"/>
          <w:shd w:fill="auto" w:val="clear"/>
        </w:rPr>
        <w:t>na panele fotowoltaiczne, wynikającej z gwarancji udzielonej przez producenta urządzeń, liczona od daty odbioru końcowego robót bez zastrzeżeń na zasadach określonych w Kodeksie cywilnym i podpisanej karcie gwarancyjnej,</w:t>
      </w:r>
    </w:p>
    <w:p>
      <w:pPr>
        <w:pStyle w:val="Normal"/>
        <w:spacing w:lineRule="auto" w:line="276"/>
        <w:jc w:val="both"/>
        <w:rPr/>
      </w:pPr>
      <w:r>
        <w:rPr>
          <w:b w:val="false"/>
          <w:bCs w:val="false"/>
          <w:shd w:fill="auto" w:val="clear"/>
        </w:rPr>
        <w:t xml:space="preserve">3) </w:t>
      </w:r>
      <w:r>
        <w:rPr>
          <w:b/>
          <w:bCs/>
          <w:shd w:fill="auto" w:val="clear"/>
        </w:rPr>
        <w:t>min. 10 lat gwarancji</w:t>
      </w:r>
      <w:r>
        <w:rPr>
          <w:b w:val="false"/>
          <w:bCs w:val="false"/>
          <w:shd w:fill="auto" w:val="clear"/>
        </w:rPr>
        <w:t xml:space="preserve"> na zabezpieczenie przeciw korozji wybudowanej konstrukcji wsporczej, wynikającej z gwarancji udzielonej przez producenta urządzeń, liczona od daty odbioru końcowego robót bez zastrzeżeń na zasadach określonych w Kodeksie cywilnym</w:t>
        <w:br/>
        <w:t>i podpisanej karcie gwarancyjnej,</w:t>
      </w:r>
    </w:p>
    <w:p>
      <w:pPr>
        <w:pStyle w:val="Normal"/>
        <w:spacing w:lineRule="auto" w:line="276"/>
        <w:rPr>
          <w:b/>
          <w:bCs/>
        </w:rPr>
      </w:pPr>
      <w:r>
        <w:rPr>
          <w:b w:val="false"/>
          <w:bCs w:val="false"/>
          <w:shd w:fill="auto" w:val="clear"/>
        </w:rPr>
        <w:t xml:space="preserve">4) </w:t>
      </w:r>
      <w:r>
        <w:rPr>
          <w:b/>
          <w:bCs/>
          <w:shd w:fill="auto" w:val="clear"/>
        </w:rPr>
        <w:t>min.</w:t>
      </w:r>
      <w:r>
        <w:rPr>
          <w:b w:val="false"/>
          <w:bCs w:val="false"/>
          <w:shd w:fill="auto" w:val="clear"/>
        </w:rPr>
        <w:t xml:space="preserve"> </w:t>
      </w:r>
      <w:r>
        <w:rPr>
          <w:b/>
          <w:bCs/>
          <w:shd w:fill="auto" w:val="clear"/>
        </w:rPr>
        <w:t>10 lat gwarancji</w:t>
      </w:r>
      <w:r>
        <w:rPr>
          <w:b w:val="false"/>
          <w:bCs w:val="false"/>
          <w:shd w:fill="auto" w:val="clear"/>
        </w:rPr>
        <w:t xml:space="preserve"> na wady ukryte</w:t>
      </w:r>
    </w:p>
    <w:p>
      <w:pPr>
        <w:pStyle w:val="Normal"/>
        <w:spacing w:lineRule="auto" w:line="276"/>
        <w:jc w:val="both"/>
        <w:rPr>
          <w:b/>
          <w:bCs/>
        </w:rPr>
      </w:pPr>
      <w:r>
        <w:rPr>
          <w:b/>
          <w:bCs/>
          <w:shd w:fill="auto" w:val="clear"/>
        </w:rPr>
        <w:t>Długość okresu gwarancji na roboty budowlane oraz zamontowane materiały</w:t>
        <w:br/>
        <w:t>i urządzenia inne niż wymienione w pkt 1-4 - stanowi kryterium oceny ofert.</w:t>
      </w:r>
      <w:r>
        <w:rPr>
          <w:b w:val="false"/>
          <w:bCs w:val="false"/>
          <w:shd w:fill="auto" w:val="clear"/>
        </w:rPr>
        <w:t xml:space="preserve"> Zamawiający określa go na okres w przedziale od 24 miesięcy (termin minimalny) do 60 miesięcy (termin maksymalny).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w:t>
        <w:br/>
        <w:t xml:space="preserve">w wynagrodzeniu. </w:t>
      </w:r>
    </w:p>
    <w:p>
      <w:pPr>
        <w:pStyle w:val="Normal"/>
        <w:spacing w:lineRule="auto" w:line="276"/>
        <w:rPr>
          <w:highlight w:val="none"/>
          <w:shd w:fill="auto" w:val="clear"/>
        </w:rPr>
      </w:pPr>
      <w:r>
        <w:rPr>
          <w:b/>
          <w:bCs/>
        </w:rPr>
        <w:t>4.9. Ubezpieczenie.</w:t>
      </w:r>
    </w:p>
    <w:p>
      <w:pPr>
        <w:pStyle w:val="Normal"/>
        <w:spacing w:lineRule="auto" w:line="276"/>
        <w:jc w:val="both"/>
        <w:rPr/>
      </w:pPr>
      <w:r>
        <w:rPr>
          <w:b w:val="false"/>
          <w:bCs w:val="false"/>
        </w:rPr>
        <w:t>Zamawiający wymaga od Wykonawcy, z którym podpisze umowę, dokumentów potwierdzających, że Wykonawca jest ubezpieczony od odpowiedzialności cywilnej</w:t>
        <w:br/>
        <w:t>w zakresie prowadzonej działalności związanej z przedmiotem zamówienia na sumę gwarancyjną nie mniejszą niż wartości brutto złożonej oferty.</w:t>
      </w:r>
    </w:p>
    <w:p>
      <w:pPr>
        <w:pStyle w:val="Normal"/>
        <w:spacing w:lineRule="auto" w:line="276"/>
        <w:rPr>
          <w:b w:val="false"/>
          <w:bCs w:val="false"/>
        </w:rPr>
      </w:pPr>
      <w:r>
        <w:rPr>
          <w:b w:val="false"/>
          <w:bCs w:val="false"/>
        </w:rPr>
      </w:r>
    </w:p>
    <w:p>
      <w:pPr>
        <w:pStyle w:val="Normal"/>
        <w:spacing w:lineRule="auto" w:line="276"/>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5</w:t>
            </w:r>
          </w:p>
          <w:p>
            <w:pPr>
              <w:pStyle w:val="Normal"/>
              <w:widowControl w:val="false"/>
              <w:spacing w:lineRule="auto" w:line="276"/>
              <w:jc w:val="center"/>
              <w:rPr>
                <w:b/>
                <w:bCs/>
              </w:rPr>
            </w:pPr>
            <w:r>
              <w:rPr>
                <w:b/>
                <w:bCs/>
              </w:rPr>
              <w:t>TERMIN WYKONANIA ZAMÓWIENIA</w:t>
            </w:r>
          </w:p>
        </w:tc>
      </w:tr>
    </w:tbl>
    <w:p>
      <w:pPr>
        <w:pStyle w:val="Normal"/>
        <w:spacing w:lineRule="auto" w:line="276"/>
        <w:rPr/>
      </w:pPr>
      <w:r>
        <w:rPr/>
      </w:r>
    </w:p>
    <w:p>
      <w:pPr>
        <w:pStyle w:val="Normal"/>
        <w:spacing w:lineRule="auto" w:line="276"/>
        <w:rPr/>
      </w:pPr>
      <w:r>
        <w:rPr/>
      </w:r>
    </w:p>
    <w:p>
      <w:pPr>
        <w:pStyle w:val="Normal"/>
        <w:spacing w:lineRule="auto" w:line="276"/>
        <w:rPr/>
      </w:pPr>
      <w:r>
        <w:rPr/>
        <w:t xml:space="preserve">Wykonawca jest zobowiązany wykonać zamówienie </w:t>
      </w:r>
      <w:r>
        <w:rPr>
          <w:b/>
          <w:bCs/>
        </w:rPr>
        <w:t>do 2 miesięcy</w:t>
      </w:r>
      <w:r>
        <w:rPr/>
        <w:t xml:space="preserve"> licząc od dnia podpisania umowy, jednak nie później niż  do dnia </w:t>
      </w:r>
      <w:r>
        <w:rPr>
          <w:b/>
          <w:bCs/>
        </w:rPr>
        <w:t>28.08.2023 r.</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6</w:t>
            </w:r>
          </w:p>
          <w:p>
            <w:pPr>
              <w:pStyle w:val="Normal"/>
              <w:widowControl w:val="false"/>
              <w:spacing w:lineRule="auto" w:line="276"/>
              <w:jc w:val="center"/>
              <w:rPr>
                <w:b/>
                <w:bCs/>
              </w:rPr>
            </w:pPr>
            <w:r>
              <w:rPr>
                <w:b/>
                <w:bCs/>
              </w:rPr>
              <w:t>WARUNKI UDZIAŁU W POSTĘPOWANIU</w:t>
            </w:r>
          </w:p>
        </w:tc>
      </w:tr>
    </w:tbl>
    <w:p>
      <w:pPr>
        <w:pStyle w:val="Normal"/>
        <w:spacing w:lineRule="auto" w:line="276"/>
        <w:rPr/>
      </w:pPr>
      <w:r>
        <w:rPr/>
      </w:r>
    </w:p>
    <w:p>
      <w:pPr>
        <w:pStyle w:val="Normal"/>
        <w:spacing w:lineRule="auto" w:line="276"/>
        <w:rPr/>
      </w:pPr>
      <w:r>
        <w:rPr/>
      </w:r>
    </w:p>
    <w:p>
      <w:pPr>
        <w:pStyle w:val="Normal"/>
        <w:numPr>
          <w:ilvl w:val="1"/>
          <w:numId w:val="7"/>
        </w:numPr>
        <w:spacing w:lineRule="auto" w:line="276"/>
        <w:rPr/>
      </w:pPr>
      <w:r>
        <w:rPr/>
        <w:t>O udzielenie zamówienia mogą ubiegać się Wykonawcy, którzy spełniają warunki udziału w :</w:t>
      </w:r>
    </w:p>
    <w:p>
      <w:pPr>
        <w:pStyle w:val="Normal"/>
        <w:spacing w:lineRule="auto" w:line="276"/>
        <w:rPr/>
      </w:pPr>
      <w:r>
        <w:rPr/>
      </w:r>
    </w:p>
    <w:p>
      <w:pPr>
        <w:pStyle w:val="Normal"/>
        <w:spacing w:lineRule="auto" w:line="276"/>
        <w:rPr>
          <w:b/>
          <w:bCs/>
        </w:rPr>
      </w:pPr>
      <w:r>
        <w:rPr>
          <w:b/>
          <w:bCs/>
        </w:rPr>
        <w:t>6.1.1. zdolności do występowania w obrocie gospodarczym;</w:t>
      </w:r>
    </w:p>
    <w:p>
      <w:pPr>
        <w:pStyle w:val="Normal"/>
        <w:spacing w:lineRule="auto" w:line="276"/>
        <w:rPr>
          <w:i/>
          <w:i/>
          <w:iCs/>
        </w:rPr>
      </w:pPr>
      <w:r>
        <w:rPr>
          <w:i/>
          <w:iCs/>
        </w:rPr>
        <w:t>Zamawiający nie określa warunku w ww. zakresie.</w:t>
      </w:r>
    </w:p>
    <w:p>
      <w:pPr>
        <w:pStyle w:val="Normal"/>
        <w:spacing w:lineRule="auto" w:line="276"/>
        <w:rPr>
          <w:b/>
          <w:bCs/>
        </w:rPr>
      </w:pPr>
      <w:r>
        <w:rPr>
          <w:b/>
          <w:bCs/>
        </w:rPr>
        <w:t>6.1.2. uprawnień do prowadzenia określonej działalności gospodarczej lub zawodowej,</w:t>
        <w:br/>
        <w:t>o ile wynika to z odrębnych przepisów;</w:t>
      </w:r>
    </w:p>
    <w:p>
      <w:pPr>
        <w:pStyle w:val="Normal"/>
        <w:spacing w:lineRule="auto" w:line="276"/>
        <w:rPr>
          <w:i/>
          <w:i/>
          <w:iCs/>
        </w:rPr>
      </w:pPr>
      <w:r>
        <w:rPr>
          <w:i/>
          <w:iCs/>
        </w:rPr>
        <w:t>Zamawiający nie określa warunku w ww. zakresie.</w:t>
      </w:r>
    </w:p>
    <w:p>
      <w:pPr>
        <w:pStyle w:val="Normal"/>
        <w:spacing w:lineRule="auto" w:line="276"/>
        <w:rPr>
          <w:b/>
          <w:bCs/>
        </w:rPr>
      </w:pPr>
      <w:r>
        <w:rPr>
          <w:b/>
          <w:bCs/>
        </w:rPr>
        <w:t>6.1.3. uprawnień sytuacji ekonomicznej lub finansowej;</w:t>
      </w:r>
    </w:p>
    <w:p>
      <w:pPr>
        <w:pStyle w:val="Normal"/>
        <w:spacing w:lineRule="auto" w:line="276"/>
        <w:rPr>
          <w:i/>
          <w:i/>
          <w:iCs/>
        </w:rPr>
      </w:pPr>
      <w:r>
        <w:rPr>
          <w:i/>
          <w:iCs/>
        </w:rPr>
        <w:t>Zamawiający nie określa warunku w ww. zakresie</w:t>
      </w:r>
    </w:p>
    <w:p>
      <w:pPr>
        <w:pStyle w:val="Normal"/>
        <w:spacing w:lineRule="auto" w:line="276"/>
        <w:rPr>
          <w:b/>
          <w:bCs/>
        </w:rPr>
      </w:pPr>
      <w:r>
        <w:rPr>
          <w:b/>
          <w:bCs/>
        </w:rPr>
        <w:t>6.1.4. zdolności technicznej lub zawodowej w zakresie:</w:t>
      </w:r>
    </w:p>
    <w:p>
      <w:pPr>
        <w:pStyle w:val="Normal"/>
        <w:spacing w:lineRule="auto" w:line="276"/>
        <w:rPr/>
      </w:pPr>
      <w:r>
        <w:rPr/>
        <w:t>Zamawiający uzna warunek za spełniony, jeśli Wykonawca wykaże, że:</w:t>
      </w:r>
    </w:p>
    <w:p>
      <w:pPr>
        <w:pStyle w:val="Normal"/>
        <w:spacing w:lineRule="auto" w:line="276"/>
        <w:rPr/>
      </w:pPr>
      <w:r>
        <w:rPr>
          <w:i/>
          <w:iCs/>
        </w:rPr>
        <w:t>Opis sposobu dokonywania oceny spełniania tego warunku:</w:t>
      </w:r>
    </w:p>
    <w:p>
      <w:pPr>
        <w:pStyle w:val="Normal"/>
        <w:spacing w:lineRule="auto" w:line="276"/>
        <w:jc w:val="both"/>
        <w:rPr/>
      </w:pPr>
      <w:r>
        <w:rPr>
          <w:b/>
          <w:bCs/>
        </w:rPr>
        <w:t xml:space="preserve">1) </w:t>
      </w:r>
      <w:r>
        <w:rPr/>
        <w:t xml:space="preserve">Wykonawca winien wykazać, że </w:t>
      </w:r>
      <w:r>
        <w:rPr>
          <w:b/>
          <w:bCs/>
        </w:rPr>
        <w:t>w okresie ostatnich 3 lat</w:t>
      </w:r>
      <w:r>
        <w:rPr/>
        <w:t xml:space="preserve"> przed upływem terminu składania ofert, a jeżeli okres prowadzenia działalności jest krótszy – w tym okresie wykonał, co najmniej:</w:t>
      </w:r>
    </w:p>
    <w:p>
      <w:pPr>
        <w:pStyle w:val="Normal"/>
        <w:spacing w:lineRule="auto" w:line="276"/>
        <w:jc w:val="both"/>
        <w:rPr/>
      </w:pPr>
      <w:r>
        <w:rPr/>
        <w:t xml:space="preserve">- </w:t>
      </w:r>
      <w:r>
        <w:rPr>
          <w:b/>
          <w:bCs/>
          <w:u w:val="single"/>
        </w:rPr>
        <w:t>dwie dostawy wraz z montażem</w:t>
      </w:r>
      <w:r>
        <w:rPr/>
        <w:t xml:space="preserve"> instalacji fotowoltaicznych o mocy nie mniejszej niż</w:t>
        <w:br/>
        <w:t xml:space="preserve">45 kWp </w:t>
      </w:r>
      <w:r>
        <w:rPr>
          <w:b/>
          <w:bCs/>
          <w:u w:val="single"/>
        </w:rPr>
        <w:t>każda z dostaw</w:t>
      </w:r>
      <w:r>
        <w:rPr/>
        <w:t>.</w:t>
      </w:r>
    </w:p>
    <w:p>
      <w:pPr>
        <w:pStyle w:val="Normal"/>
        <w:widowControl/>
        <w:suppressAutoHyphens w:val="true"/>
        <w:bidi w:val="0"/>
        <w:snapToGrid w:val="false"/>
        <w:spacing w:lineRule="auto" w:line="276" w:before="0" w:after="0"/>
        <w:ind w:left="0" w:right="0" w:hanging="0"/>
        <w:contextualSpacing/>
        <w:jc w:val="both"/>
        <w:rPr>
          <w:rFonts w:ascii="Times New Roman" w:hAnsi="Times New Roman"/>
          <w:sz w:val="24"/>
          <w:szCs w:val="24"/>
        </w:rPr>
      </w:pPr>
      <w:r>
        <w:rPr>
          <w:rFonts w:eastAsia="Cambria" w:cs="Arial"/>
          <w:sz w:val="24"/>
          <w:szCs w:val="24"/>
          <w:highlight w:val="white"/>
        </w:rPr>
        <w:t xml:space="preserve"> </w:t>
      </w:r>
      <w:r>
        <w:rPr>
          <w:rFonts w:eastAsia="Cambria" w:cs="Arial"/>
          <w:sz w:val="24"/>
          <w:szCs w:val="24"/>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pPr>
        <w:pStyle w:val="Normal"/>
        <w:widowControl/>
        <w:suppressAutoHyphens w:val="true"/>
        <w:bidi w:val="0"/>
        <w:snapToGrid w:val="false"/>
        <w:spacing w:lineRule="auto" w:line="276" w:before="0" w:after="0"/>
        <w:ind w:left="0" w:right="0" w:hanging="0"/>
        <w:contextualSpacing/>
        <w:jc w:val="both"/>
        <w:rPr>
          <w:rFonts w:eastAsia="Cambria" w:cs="Arial"/>
          <w:highlight w:val="white"/>
        </w:rPr>
      </w:pPr>
      <w:r>
        <w:rPr>
          <w:rFonts w:eastAsia="Cambria" w:cs="Arial"/>
          <w:highlight w:val="white"/>
        </w:rPr>
      </w:r>
    </w:p>
    <w:p>
      <w:pPr>
        <w:pStyle w:val="Normal"/>
        <w:spacing w:lineRule="auto" w:line="276" w:before="0" w:after="0"/>
        <w:contextualSpacing/>
        <w:jc w:val="center"/>
        <w:rPr/>
      </w:pPr>
      <w:r>
        <w:rPr/>
        <w:t>Uwaga:</w:t>
      </w:r>
    </w:p>
    <w:tbl>
      <w:tblPr>
        <w:tblW w:w="9405" w:type="dxa"/>
        <w:jc w:val="left"/>
        <w:tblInd w:w="33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Kolorowalistaakcent11"/>
              <w:widowControl w:val="false"/>
              <w:numPr>
                <w:ilvl w:val="0"/>
                <w:numId w:val="3"/>
              </w:numPr>
              <w:spacing w:lineRule="auto" w:line="276" w:before="0" w:after="0"/>
              <w:ind w:left="325" w:hanging="325"/>
              <w:contextualSpacing/>
              <w:rPr>
                <w:rFonts w:ascii="Cambria" w:hAnsi="Cambria" w:cs="Helvetica"/>
                <w:i/>
                <w:i/>
                <w:color w:val="000000"/>
                <w:sz w:val="24"/>
                <w:szCs w:val="24"/>
              </w:rPr>
            </w:pPr>
            <w:r>
              <w:rPr>
                <w:rFonts w:cs="Helvetica" w:ascii="Cambria" w:hAnsi="Cambria"/>
                <w:i/>
                <w:color w:val="000000"/>
                <w:sz w:val="24"/>
                <w:szCs w:val="24"/>
              </w:rPr>
              <w:t>Wykonawca powinien w wykazie robót wyraźnie określić wartość oraz zakres robót, aby można było ustalić, czy spełnia warunek udziału w postępowaniu.</w:t>
            </w:r>
          </w:p>
          <w:p>
            <w:pPr>
              <w:pStyle w:val="Kolorowalistaakcent11"/>
              <w:widowControl w:val="false"/>
              <w:numPr>
                <w:ilvl w:val="0"/>
                <w:numId w:val="3"/>
              </w:numPr>
              <w:spacing w:lineRule="auto" w:line="276" w:before="0" w:after="0"/>
              <w:ind w:left="325" w:hanging="325"/>
              <w:contextualSpacing/>
              <w:rPr>
                <w:rFonts w:ascii="Cambria" w:hAnsi="Cambria" w:cs="Arial"/>
                <w:i/>
                <w:i/>
                <w:iCs/>
                <w:color w:val="000000"/>
                <w:sz w:val="24"/>
                <w:szCs w:val="24"/>
              </w:rPr>
            </w:pPr>
            <w:r>
              <w:rPr>
                <w:rFonts w:cs="Arial" w:ascii="Cambria" w:hAnsi="Cambria"/>
                <w:i/>
                <w:iCs/>
                <w:color w:val="000000"/>
                <w:sz w:val="24"/>
                <w:szCs w:val="24"/>
              </w:rPr>
              <w:t>Warunek nie zostaje spełniony, gdy wykonawca wykaże się kilkoma robotami budowlanymi o mniejszej wartości, których wartość łącznie wyniosła wartość wymaganą.</w:t>
            </w:r>
          </w:p>
          <w:p>
            <w:pPr>
              <w:pStyle w:val="Domylne"/>
              <w:widowControl w:val="false"/>
              <w:numPr>
                <w:ilvl w:val="0"/>
                <w:numId w:val="3"/>
              </w:numPr>
              <w:tabs>
                <w:tab w:val="clear" w:pos="720"/>
                <w:tab w:val="left" w:pos="284" w:leader="none"/>
              </w:tabs>
              <w:spacing w:lineRule="atLeast" w:line="200"/>
              <w:ind w:left="325" w:hanging="325"/>
              <w:jc w:val="both"/>
              <w:rPr/>
            </w:pPr>
            <w:r>
              <w:rPr>
                <w:rFonts w:cs="Arial" w:ascii="Cambria" w:hAnsi="Cambria"/>
                <w:i/>
                <w:iCs/>
                <w:color w:val="000000"/>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pPr>
        <w:pStyle w:val="Kolorowecieniowanieakcent31"/>
        <w:spacing w:lineRule="auto" w:line="276"/>
        <w:ind w:left="1560" w:hanging="0"/>
        <w:rPr>
          <w:rFonts w:ascii="Cambria" w:hAnsi="Cambria" w:cs="Cambria"/>
          <w:sz w:val="24"/>
          <w:szCs w:val="24"/>
        </w:rPr>
      </w:pPr>
      <w:r>
        <w:rPr>
          <w:rFonts w:cs="Cambria" w:ascii="Cambria" w:hAnsi="Cambria"/>
          <w:sz w:val="24"/>
          <w:szCs w:val="24"/>
        </w:rPr>
      </w:r>
    </w:p>
    <w:p>
      <w:pPr>
        <w:pStyle w:val="Kolorowecieniowanieakcent31"/>
        <w:widowControl/>
        <w:suppressAutoHyphens w:val="true"/>
        <w:bidi w:val="0"/>
        <w:spacing w:lineRule="auto" w:line="276" w:before="20" w:after="40"/>
        <w:ind w:left="0" w:right="0" w:hanging="0"/>
        <w:contextualSpacing/>
        <w:jc w:val="both"/>
        <w:rPr>
          <w:rFonts w:ascii="Times New Roman" w:hAnsi="Times New Roman" w:cs="Cambria"/>
          <w:sz w:val="24"/>
          <w:szCs w:val="24"/>
        </w:rPr>
      </w:pPr>
      <w:r>
        <w:rPr>
          <w:rFonts w:cs="Cambria" w:ascii="Times New Roman" w:hAnsi="Times New Roman"/>
          <w:b/>
          <w:bCs/>
          <w:sz w:val="24"/>
          <w:szCs w:val="24"/>
        </w:rPr>
        <w:t>2)</w:t>
      </w:r>
      <w:r>
        <w:rPr>
          <w:rFonts w:cs="Cambria" w:ascii="Times New Roman" w:hAnsi="Times New Roman"/>
          <w:sz w:val="24"/>
          <w:szCs w:val="24"/>
        </w:rPr>
        <w:t xml:space="preserve"> O udzielenie zamówienia mogą ubiegać się wykonawcy, którzy dysponują lub będą dysponować w okresie wykonywania zamówienia i skierują do jego realizacji:</w:t>
      </w:r>
    </w:p>
    <w:p>
      <w:pPr>
        <w:pStyle w:val="Kolorowecieniowanieakcent31"/>
        <w:widowControl/>
        <w:suppressAutoHyphens w:val="true"/>
        <w:bidi w:val="0"/>
        <w:spacing w:lineRule="auto" w:line="276" w:before="20" w:after="40"/>
        <w:ind w:left="0" w:right="0" w:hanging="0"/>
        <w:contextualSpacing/>
        <w:jc w:val="both"/>
        <w:rPr>
          <w:rFonts w:ascii="Times New Roman" w:hAnsi="Times New Roman" w:cs="Cambria"/>
          <w:sz w:val="24"/>
          <w:szCs w:val="24"/>
        </w:rPr>
      </w:pPr>
      <w:r>
        <w:rPr>
          <w:rFonts w:cs="Cambria" w:ascii="Times New Roman" w:hAnsi="Times New Roman"/>
          <w:b/>
          <w:bCs/>
          <w:sz w:val="24"/>
          <w:szCs w:val="24"/>
          <w:u w:val="single"/>
        </w:rPr>
        <w:t>- min. jedną osobę</w:t>
      </w:r>
      <w:r>
        <w:rPr>
          <w:rFonts w:cs="Cambria" w:ascii="Times New Roman" w:hAnsi="Times New Roman"/>
          <w:sz w:val="24"/>
          <w:szCs w:val="24"/>
        </w:rPr>
        <w:t xml:space="preserve"> </w:t>
      </w:r>
      <w:r>
        <w:rPr>
          <w:rFonts w:cs="Cambria" w:ascii="Times New Roman" w:hAnsi="Times New Roman"/>
          <w:b/>
          <w:bCs/>
          <w:sz w:val="24"/>
          <w:szCs w:val="24"/>
        </w:rPr>
        <w:t>pełniącą funkcję kierownika budowy posiadającą uprawnienia budowlane do kierowania robotami budowlanymi bez ograniczeń w specjalności instalacyjnej w zakresie sieci, instalacji i urządzeń elektrycznych</w:t>
        <w:br/>
        <w:t>i elektroenergetycznych</w:t>
      </w:r>
      <w:r>
        <w:rPr>
          <w:rFonts w:cs="Cambria" w:ascii="Times New Roman" w:hAnsi="Times New Roman"/>
          <w:sz w:val="24"/>
          <w:szCs w:val="24"/>
        </w:rPr>
        <w:t xml:space="preserve"> oraz przynależy do Okręgowej Izby Inżynierów Budownictwa (izby zawodowej) lub odpowiadające im równoważne uprawnienia budowlane wydane na podstawie wcześniej obowiązujących przepisów, a w przypadku Wykonawców zagranicznych - uprawnienia budowlane do kierowania robotami równoważne do wyżej wskazanych, oraz przynależność do Okręgowej Izby Inżynierów Budownictwa (lub właściwej izby samorządu zawodowego) ;</w:t>
      </w:r>
    </w:p>
    <w:p>
      <w:pPr>
        <w:pStyle w:val="Normal"/>
        <w:spacing w:lineRule="auto" w:line="276" w:before="0" w:after="0"/>
        <w:contextualSpacing/>
        <w:jc w:val="center"/>
        <w:rPr/>
      </w:pPr>
      <w:r>
        <w:rPr>
          <w:b/>
          <w:bCs/>
        </w:rPr>
        <w:t>U w a g a :</w:t>
      </w:r>
    </w:p>
    <w:p>
      <w:pPr>
        <w:pStyle w:val="Normal"/>
        <w:spacing w:lineRule="auto" w:line="276" w:before="0" w:after="0"/>
        <w:contextualSpacing/>
        <w:jc w:val="center"/>
        <w:rPr/>
      </w:pPr>
      <w:r>
        <w:rPr/>
      </w:r>
    </w:p>
    <w:tbl>
      <w:tblPr>
        <w:tblW w:w="9360" w:type="dxa"/>
        <w:jc w:val="left"/>
        <w:tblInd w:w="397" w:type="dxa"/>
        <w:tblLayout w:type="fixed"/>
        <w:tblCellMar>
          <w:top w:w="0" w:type="dxa"/>
          <w:left w:w="108" w:type="dxa"/>
          <w:bottom w:w="0" w:type="dxa"/>
          <w:right w:w="108" w:type="dxa"/>
        </w:tblCellMar>
        <w:tblLook w:firstRow="0" w:noVBand="0" w:lastRow="0" w:firstColumn="0" w:lastColumn="0" w:noHBand="0" w:val="000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Kolorowalistaakcent11"/>
              <w:widowControl w:val="false"/>
              <w:numPr>
                <w:ilvl w:val="0"/>
                <w:numId w:val="0"/>
              </w:numPr>
              <w:spacing w:lineRule="auto" w:line="276" w:before="20" w:after="40"/>
              <w:ind w:left="0" w:hanging="0"/>
              <w:contextualSpacing/>
              <w:rPr>
                <w:rFonts w:ascii="Times New Roman" w:hAnsi="Times New Roman"/>
              </w:rPr>
            </w:pPr>
            <w:r>
              <w:rPr>
                <w:rFonts w:eastAsia="Cambria" w:cs="Cambria" w:ascii="Times New Roman" w:hAnsi="Times New Roman"/>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ze zm.) oraz ustawą z dnia 15 grudnia 2000 r. o samorządach zawodowych architektów oraz inżynierów budownictwa (Dz. U. z 2019r. Poz. 1117 ze zm.).</w:t>
            </w:r>
          </w:p>
        </w:tc>
      </w:tr>
    </w:tbl>
    <w:p>
      <w:pPr>
        <w:pStyle w:val="Normal"/>
        <w:spacing w:lineRule="auto" w:line="276" w:before="0" w:after="0"/>
        <w:ind w:left="3981" w:hanging="0"/>
        <w:contextualSpacing/>
        <w:jc w:val="both"/>
        <w:rPr>
          <w:rFonts w:ascii="Cambria" w:hAnsi="Cambria" w:cs="Cambria"/>
          <w:i/>
          <w:i/>
          <w:sz w:val="10"/>
          <w:szCs w:val="10"/>
        </w:rPr>
      </w:pPr>
      <w:r>
        <w:rPr>
          <w:rFonts w:cs="Cambria" w:ascii="Cambria" w:hAnsi="Cambria"/>
          <w:i/>
          <w:sz w:val="10"/>
          <w:szCs w:val="10"/>
        </w:rPr>
      </w:r>
    </w:p>
    <w:p>
      <w:pPr>
        <w:pStyle w:val="Normal"/>
        <w:spacing w:lineRule="auto" w:line="276"/>
        <w:jc w:val="both"/>
        <w:rPr/>
      </w:pPr>
      <w:r>
        <w:rPr>
          <w:b/>
          <w:bCs/>
          <w:shd w:fill="auto" w:val="clear"/>
        </w:rPr>
        <w:t>6.2.</w:t>
      </w:r>
      <w:r>
        <w:rPr>
          <w:shd w:fill="auto" w:val="clear"/>
        </w:rPr>
        <w:t xml:space="preserve"> 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pPr>
        <w:pStyle w:val="Kolorowalistaakcent11"/>
        <w:widowControl/>
        <w:numPr>
          <w:ilvl w:val="0"/>
          <w:numId w:val="0"/>
        </w:numPr>
        <w:suppressAutoHyphens w:val="true"/>
        <w:bidi w:val="0"/>
        <w:spacing w:lineRule="auto" w:line="276" w:before="0" w:after="0"/>
        <w:ind w:left="0" w:right="57" w:hanging="0"/>
        <w:contextualSpacing/>
        <w:jc w:val="both"/>
        <w:rPr/>
      </w:pPr>
      <w:r>
        <w:rPr>
          <w:rFonts w:ascii="Cambria" w:hAnsi="Cambria" w:asciiTheme="majorHAnsi" w:hAnsiTheme="majorHAnsi"/>
          <w:b/>
          <w:bCs/>
          <w:color w:val="000000"/>
          <w:sz w:val="24"/>
          <w:szCs w:val="24"/>
          <w:shd w:fill="auto" w:val="clear"/>
        </w:rPr>
        <w:t>6.</w:t>
      </w:r>
      <w:r>
        <w:rPr>
          <w:rFonts w:ascii="Times New Roman" w:hAnsi="Times New Roman"/>
          <w:b/>
          <w:bCs/>
          <w:color w:val="000000"/>
          <w:sz w:val="24"/>
          <w:szCs w:val="24"/>
          <w:shd w:fill="auto" w:val="clear"/>
        </w:rPr>
        <w:t>3.</w:t>
      </w:r>
      <w:r>
        <w:rPr>
          <w:rFonts w:ascii="Times New Roman" w:hAnsi="Times New Roman"/>
          <w:color w:val="000000"/>
          <w:sz w:val="24"/>
          <w:szCs w:val="24"/>
          <w:shd w:fill="auto" w:val="clear"/>
        </w:rPr>
        <w:t xml:space="preserve"> W odniesieniu do warunków dotyczących wykształcenia, kwalifikacji zawodowych lub doświadczenia wykonawcy wspólnie ubiegający się o udzielenie zamówienia wykazując warunek udziału w postępowaniu </w:t>
      </w:r>
      <w:r>
        <w:rPr>
          <w:rFonts w:ascii="Times New Roman" w:hAnsi="Times New Roman"/>
          <w:b/>
          <w:bCs/>
          <w:color w:val="000000"/>
          <w:sz w:val="24"/>
          <w:szCs w:val="24"/>
          <w:shd w:fill="auto" w:val="clear"/>
        </w:rPr>
        <w:t>mogą polegać na zdolnościach tych z wykonawców, którzy wykonają roboty budowlane lub usługi, do realizacji których te zdolności są wymagane.</w:t>
      </w:r>
    </w:p>
    <w:p>
      <w:pPr>
        <w:pStyle w:val="Normal"/>
        <w:spacing w:lineRule="auto" w:line="276"/>
        <w:jc w:val="both"/>
        <w:rPr/>
      </w:pPr>
      <w:r>
        <w:rPr>
          <w:b/>
          <w:bCs/>
          <w:shd w:fill="auto" w:val="clear"/>
        </w:rPr>
        <w:t>6.4.</w:t>
      </w:r>
      <w:r>
        <w:rPr>
          <w:shd w:fill="auto" w:val="clear"/>
        </w:rPr>
        <w:t xml:space="preserve"> Sposób wykazania warunków udziału w postępowaniu </w:t>
      </w:r>
      <w:r>
        <w:rPr/>
        <w:t xml:space="preserve">wskazano w rozdziale </w:t>
        <w:br/>
        <w:t>8 SWZ.</w:t>
      </w:r>
    </w:p>
    <w:p>
      <w:pPr>
        <w:pStyle w:val="Normal"/>
        <w:spacing w:lineRule="auto" w:line="276"/>
        <w:rPr/>
      </w:pPr>
      <w:r>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7</w:t>
            </w:r>
          </w:p>
          <w:p>
            <w:pPr>
              <w:pStyle w:val="Normal"/>
              <w:widowControl w:val="false"/>
              <w:spacing w:lineRule="auto" w:line="276"/>
              <w:jc w:val="center"/>
              <w:rPr>
                <w:b/>
                <w:bCs/>
              </w:rPr>
            </w:pPr>
            <w:r>
              <w:rPr>
                <w:b/>
                <w:bCs/>
              </w:rPr>
              <w:t>PODSTAWY WYKLUCZENIA Z POSTĘPOWANIA</w:t>
            </w:r>
          </w:p>
        </w:tc>
      </w:tr>
    </w:tbl>
    <w:p>
      <w:pPr>
        <w:pStyle w:val="Normal"/>
        <w:spacing w:lineRule="auto" w:line="276"/>
        <w:rPr/>
      </w:pPr>
      <w:r>
        <w:rPr/>
      </w:r>
    </w:p>
    <w:p>
      <w:pPr>
        <w:pStyle w:val="Normal"/>
        <w:spacing w:lineRule="auto" w:line="276"/>
        <w:rPr/>
      </w:pPr>
      <w:r>
        <w:rPr/>
      </w:r>
    </w:p>
    <w:p>
      <w:pPr>
        <w:pStyle w:val="Normal"/>
        <w:spacing w:lineRule="auto" w:line="276"/>
        <w:jc w:val="both"/>
        <w:rPr/>
      </w:pPr>
      <w:r>
        <w:rPr>
          <w:b/>
          <w:bCs/>
        </w:rPr>
        <w:t>7.1</w:t>
      </w:r>
      <w:r>
        <w:rPr/>
        <w:t xml:space="preserve"> </w:t>
      </w:r>
      <w:r>
        <w:rPr>
          <w:color w:val="000000"/>
        </w:rPr>
        <w:t>Z postępowania o udzielenie zamówienia wyklucza się Wykonawcę, w stosunku, do którego zachodzi którakolwiek z okoliczności, o których mowa w art. 108 ustawy tj. wykonawcę:</w:t>
      </w:r>
    </w:p>
    <w:p>
      <w:pPr>
        <w:pStyle w:val="Normal"/>
        <w:spacing w:lineRule="auto" w:line="276"/>
        <w:jc w:val="both"/>
        <w:rPr/>
      </w:pPr>
      <w:r>
        <w:rPr>
          <w:rStyle w:val="Alb"/>
          <w:color w:val="000000"/>
        </w:rPr>
        <w:t xml:space="preserve">1) </w:t>
      </w:r>
      <w:r>
        <w:rPr>
          <w:color w:val="000000"/>
        </w:rPr>
        <w:t>będący osobą fizyczną, którą prawomocnie skazano za przestępstwo:</w:t>
      </w:r>
    </w:p>
    <w:p>
      <w:pPr>
        <w:pStyle w:val="Normal"/>
        <w:spacing w:lineRule="auto" w:line="276"/>
        <w:jc w:val="both"/>
        <w:rPr/>
      </w:pPr>
      <w:r>
        <w:rPr>
          <w:rStyle w:val="Alb"/>
          <w:color w:val="000000"/>
        </w:rPr>
        <w:t xml:space="preserve">a) </w:t>
      </w:r>
      <w:r>
        <w:rPr>
          <w:color w:val="000000"/>
        </w:rPr>
        <w:t xml:space="preserve">udziału w zorganizowanej grupie przestępczej albo związku mającym na celu popełnienie przestępstwa lub przestępstwa skarbowego, o którym mowa w </w:t>
      </w:r>
      <w:hyperlink r:id="rId9">
        <w:r>
          <w:rPr>
            <w:rStyle w:val="Czeinternetowe"/>
            <w:color w:val="000000"/>
          </w:rPr>
          <w:t>art. 258</w:t>
        </w:r>
      </w:hyperlink>
      <w:r>
        <w:rPr>
          <w:color w:val="000000"/>
        </w:rPr>
        <w:t xml:space="preserve"> Kodeksu karnego,</w:t>
      </w:r>
    </w:p>
    <w:p>
      <w:pPr>
        <w:pStyle w:val="Normal"/>
        <w:spacing w:lineRule="auto" w:line="276"/>
        <w:jc w:val="both"/>
        <w:rPr/>
      </w:pPr>
      <w:r>
        <w:rPr>
          <w:rStyle w:val="Alb"/>
          <w:color w:val="000000"/>
        </w:rPr>
        <w:t xml:space="preserve">b) </w:t>
      </w:r>
      <w:r>
        <w:rPr>
          <w:color w:val="000000"/>
        </w:rPr>
        <w:t xml:space="preserve">handlu ludźmi, o którym mowa w </w:t>
      </w:r>
      <w:hyperlink r:id="rId10">
        <w:r>
          <w:rPr>
            <w:rStyle w:val="Czeinternetowe"/>
            <w:color w:val="000000"/>
          </w:rPr>
          <w:t>art. 189a</w:t>
        </w:r>
      </w:hyperlink>
      <w:r>
        <w:rPr>
          <w:color w:val="000000"/>
        </w:rPr>
        <w:t xml:space="preserve"> Kodeksu karnego,</w:t>
      </w:r>
    </w:p>
    <w:p>
      <w:pPr>
        <w:pStyle w:val="Normal"/>
        <w:spacing w:lineRule="auto" w:line="276"/>
        <w:jc w:val="both"/>
        <w:rPr/>
      </w:pPr>
      <w:r>
        <w:rPr>
          <w:rStyle w:val="Alb"/>
          <w:color w:val="000000"/>
        </w:rPr>
        <w:t xml:space="preserve">c) </w:t>
      </w:r>
      <w:r>
        <w:rPr>
          <w:color w:val="000000"/>
        </w:rPr>
        <w:t xml:space="preserve">o którym mowa w </w:t>
      </w:r>
      <w:hyperlink r:id="rId11">
        <w:r>
          <w:rPr>
            <w:rStyle w:val="Czeinternetowe"/>
            <w:color w:val="000000"/>
          </w:rPr>
          <w:t>art. 228-230a</w:t>
        </w:r>
      </w:hyperlink>
      <w:r>
        <w:rPr>
          <w:color w:val="000000"/>
        </w:rPr>
        <w:t xml:space="preserve">, </w:t>
      </w:r>
      <w:hyperlink r:id="rId12">
        <w:r>
          <w:rPr>
            <w:rStyle w:val="Czeinternetowe"/>
            <w:color w:val="000000"/>
          </w:rPr>
          <w:t>art. 250a</w:t>
        </w:r>
      </w:hyperlink>
      <w:r>
        <w:rPr>
          <w:color w:val="000000"/>
        </w:rPr>
        <w:t xml:space="preserve"> Kodeksu karnego lub w art. 46 lub art. 48 ustawy z dnia 25 czerwca 2010 r. o sporcie (Dz. U. z 2020 r. poz. 1133 oraz z 2021 r. poz. 2054) lub w </w:t>
      </w:r>
      <w:hyperlink r:id="rId13">
        <w:r>
          <w:rPr>
            <w:rStyle w:val="Czeinternetowe"/>
            <w:color w:val="000000"/>
          </w:rPr>
          <w:t>art. 54 ust. 1-4</w:t>
        </w:r>
      </w:hyperlink>
      <w:r>
        <w:rPr>
          <w:color w:val="000000"/>
        </w:rPr>
        <w:t> ustawy z dnia 12 maja 2011 r. o refundacji leków, środków spożywczych specjalnego przeznaczenia żywieniowego oraz wyrobów medycznych (Dz. U.</w:t>
        <w:br/>
        <w:t xml:space="preserve">z 2021 r. poz. 523, 1292, 1559 i 2054), </w:t>
      </w:r>
    </w:p>
    <w:p>
      <w:pPr>
        <w:pStyle w:val="Normal"/>
        <w:spacing w:lineRule="auto" w:line="276"/>
        <w:jc w:val="both"/>
        <w:rPr/>
      </w:pPr>
      <w:r>
        <w:rPr>
          <w:rStyle w:val="Alb"/>
          <w:color w:val="000000"/>
        </w:rPr>
        <w:t xml:space="preserve">d) </w:t>
      </w:r>
      <w:r>
        <w:rPr>
          <w:color w:val="000000"/>
        </w:rPr>
        <w:t xml:space="preserve">finansowania przestępstwa o charakterze terrorystycznym, o którym mowa w </w:t>
      </w:r>
      <w:hyperlink r:id="rId14">
        <w:r>
          <w:rPr>
            <w:rStyle w:val="Czeinternetowe"/>
            <w:color w:val="000000"/>
          </w:rPr>
          <w:t>art. 165a</w:t>
        </w:r>
      </w:hyperlink>
      <w:r>
        <w:rPr>
          <w:color w:val="000000"/>
        </w:rPr>
        <w:t xml:space="preserve"> Kodeksu karnego, lub przestępstwo udaremniania lub utrudniania stwierdzenia przestępnego pochodzenia pieniędzy lub ukrywania ich pochodzenia, o którym mowa w </w:t>
      </w:r>
      <w:hyperlink r:id="rId15">
        <w:r>
          <w:rPr>
            <w:rStyle w:val="Czeinternetowe"/>
            <w:color w:val="000000"/>
          </w:rPr>
          <w:t>art. 299</w:t>
        </w:r>
      </w:hyperlink>
      <w:r>
        <w:rPr>
          <w:color w:val="000000"/>
        </w:rPr>
        <w:t xml:space="preserve"> Kodeksu karnego,</w:t>
      </w:r>
    </w:p>
    <w:p>
      <w:pPr>
        <w:pStyle w:val="Normal"/>
        <w:spacing w:lineRule="auto" w:line="276"/>
        <w:jc w:val="both"/>
        <w:rPr/>
      </w:pPr>
      <w:r>
        <w:rPr>
          <w:rStyle w:val="Alb"/>
          <w:color w:val="000000"/>
        </w:rPr>
        <w:t xml:space="preserve">e) </w:t>
      </w:r>
      <w:r>
        <w:rPr>
          <w:color w:val="000000"/>
        </w:rPr>
        <w:t xml:space="preserve">o charakterze terrorystycznym, o którym mowa w </w:t>
      </w:r>
      <w:hyperlink r:id="rId16">
        <w:r>
          <w:rPr>
            <w:rStyle w:val="Czeinternetowe"/>
            <w:color w:val="000000"/>
          </w:rPr>
          <w:t>art. 115 § 20</w:t>
        </w:r>
      </w:hyperlink>
      <w:r>
        <w:rPr>
          <w:color w:val="000000"/>
        </w:rPr>
        <w:t xml:space="preserve"> Kodeksu karnego, lub mające na celu popełnienie tego przestępstwa,</w:t>
      </w:r>
    </w:p>
    <w:p>
      <w:pPr>
        <w:pStyle w:val="Normal"/>
        <w:spacing w:lineRule="auto" w:line="276"/>
        <w:jc w:val="both"/>
        <w:rPr/>
      </w:pPr>
      <w:r>
        <w:rPr>
          <w:rStyle w:val="Alb"/>
          <w:color w:val="000000"/>
        </w:rPr>
        <w:t xml:space="preserve">f)  </w:t>
      </w:r>
      <w:r>
        <w:rPr>
          <w:color w:val="000000"/>
        </w:rPr>
        <w:t xml:space="preserve">powierzenia wykonywania pracy małoletniemu cudzoziemcowi, o którym mowa w </w:t>
      </w:r>
      <w:hyperlink r:id="rId17">
        <w:r>
          <w:rPr>
            <w:rStyle w:val="Czeinternetowe"/>
            <w:color w:val="000000"/>
          </w:rPr>
          <w:t>art. 9 ust. 2</w:t>
        </w:r>
      </w:hyperlink>
      <w:r>
        <w:rPr>
          <w:color w:val="000000"/>
        </w:rPr>
        <w:t xml:space="preserve"> ustawy z dnia 15 czerwca 2012 r. o skutkach powierzania wykonywania pracy cudzoziemcom przebywającym wbrew przepisom na terytorium Rzeczypospolitej Polskiej (Dz. U. poz. 769),</w:t>
      </w:r>
    </w:p>
    <w:p>
      <w:pPr>
        <w:pStyle w:val="Normal"/>
        <w:spacing w:lineRule="auto" w:line="276"/>
        <w:jc w:val="both"/>
        <w:rPr/>
      </w:pPr>
      <w:r>
        <w:rPr>
          <w:rStyle w:val="Alb"/>
          <w:color w:val="000000"/>
        </w:rPr>
        <w:t xml:space="preserve">g) </w:t>
      </w:r>
      <w:r>
        <w:rPr>
          <w:color w:val="000000"/>
        </w:rPr>
        <w:t xml:space="preserve">przeciwko obrotowi gospodarczemu, o których mowa w </w:t>
      </w:r>
      <w:hyperlink r:id="rId18">
        <w:r>
          <w:rPr>
            <w:rStyle w:val="Czeinternetowe"/>
            <w:color w:val="000000"/>
          </w:rPr>
          <w:t>art. 296-307</w:t>
        </w:r>
      </w:hyperlink>
      <w:r>
        <w:rPr>
          <w:color w:val="000000"/>
        </w:rPr>
        <w:t xml:space="preserve"> Kodeksu karnego, przestępstwo oszustwa, o którym mowa w </w:t>
      </w:r>
      <w:hyperlink r:id="rId19">
        <w:r>
          <w:rPr>
            <w:rStyle w:val="Czeinternetowe"/>
            <w:color w:val="000000"/>
          </w:rPr>
          <w:t>art. 286</w:t>
        </w:r>
      </w:hyperlink>
      <w:r>
        <w:rPr>
          <w:color w:val="000000"/>
        </w:rPr>
        <w:t xml:space="preserve"> Kodeksu karnego, przestępstwo przeciwko wiarygodności dokumentów, o których mowa w </w:t>
      </w:r>
      <w:hyperlink r:id="rId20">
        <w:r>
          <w:rPr>
            <w:rStyle w:val="Czeinternetowe"/>
            <w:color w:val="000000"/>
          </w:rPr>
          <w:t>art. 270-277d</w:t>
        </w:r>
      </w:hyperlink>
      <w:r>
        <w:rPr>
          <w:color w:val="000000"/>
        </w:rPr>
        <w:t xml:space="preserve"> Kodeksu karnego, lub przestępstwo skarbowe,</w:t>
      </w:r>
    </w:p>
    <w:p>
      <w:pPr>
        <w:pStyle w:val="Normal"/>
        <w:spacing w:lineRule="auto" w:line="276"/>
        <w:jc w:val="both"/>
        <w:rPr/>
      </w:pPr>
      <w:r>
        <w:rPr>
          <w:rStyle w:val="Alb"/>
          <w:color w:val="000000"/>
        </w:rPr>
        <w:t xml:space="preserve">h) </w:t>
      </w:r>
      <w:r>
        <w:rPr>
          <w:color w:val="000000"/>
        </w:rPr>
        <w:t>o którym mowa w art. 9 ust. 1 i 3 lub art. 10 ustawy z dnia 15 czerwca 2012 r. o skutkach powierzania wykonywania pracy cudzoziemcom przebywającym wbrew przepisom na terytorium Rzeczypospolitej Polskiej</w:t>
      </w:r>
    </w:p>
    <w:p>
      <w:pPr>
        <w:pStyle w:val="Normal"/>
        <w:spacing w:lineRule="auto" w:line="276"/>
        <w:jc w:val="both"/>
        <w:rPr>
          <w:color w:val="000000"/>
        </w:rPr>
      </w:pPr>
      <w:r>
        <w:rPr>
          <w:color w:val="000000"/>
        </w:rPr>
        <w:t>- lub za odpowiedni czyn zabroniony określony w przepisach prawa obcego;</w:t>
      </w:r>
    </w:p>
    <w:p>
      <w:pPr>
        <w:pStyle w:val="Normal"/>
        <w:spacing w:lineRule="auto" w:line="276"/>
        <w:jc w:val="both"/>
        <w:rPr/>
      </w:pPr>
      <w:r>
        <w:rPr>
          <w:rStyle w:val="Alb"/>
        </w:rPr>
        <w:t xml:space="preserve">2) </w:t>
      </w:r>
      <w:r>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Normal"/>
        <w:spacing w:lineRule="auto" w:line="276"/>
        <w:jc w:val="both"/>
        <w:rPr/>
      </w:pPr>
      <w:r>
        <w:rPr>
          <w:rStyle w:val="Alb"/>
        </w:rPr>
        <w:t xml:space="preserve">3) </w:t>
      </w:r>
      <w:r>
        <w:rPr/>
        <w:t>wobec którego wydano prawomocny wyrok sądu lub ostateczną decyzję administracyjną</w:t>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spacing w:lineRule="auto" w:line="276"/>
        <w:jc w:val="both"/>
        <w:rPr/>
      </w:pPr>
      <w:r>
        <w:rPr>
          <w:rStyle w:val="Alb"/>
        </w:rPr>
        <w:t xml:space="preserve">4) </w:t>
      </w:r>
      <w:r>
        <w:rPr/>
        <w:t>wobec którego prawomocnie orzeczono zakaz ubiegania się o zamówienia publiczne;</w:t>
      </w:r>
    </w:p>
    <w:p>
      <w:pPr>
        <w:pStyle w:val="Normal"/>
        <w:spacing w:lineRule="auto" w:line="276"/>
        <w:jc w:val="both"/>
        <w:rPr/>
      </w:pPr>
      <w:r>
        <w:rPr>
          <w:rStyle w:val="Alb"/>
        </w:rPr>
        <w:t xml:space="preserve">5) </w:t>
      </w:r>
      <w: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r>
          <w:rPr>
            <w:rStyle w:val="Czeinternetowe"/>
            <w:color w:val="000000"/>
            <w:u w:val="single"/>
          </w:rPr>
          <w:t>ustawy</w:t>
        </w:r>
      </w:hyperlink>
      <w:r>
        <w:rPr>
          <w:color w:val="000000"/>
          <w:u w:val="single"/>
        </w:rPr>
        <w:t xml:space="preserve"> </w:t>
      </w:r>
      <w:r>
        <w:rPr/>
        <w:t>z dnia 16 lutego 2007 r. o ochronie konkurencji i konsumentów, złożyli odrębne oferty, oferty częściowe lub wnioski o dopuszczenie do udziału w postępowaniu, chyba że wykażą, że przygotowali te oferty lub wnioski niezależnie od siebie;</w:t>
      </w:r>
    </w:p>
    <w:p>
      <w:pPr>
        <w:pStyle w:val="Normal"/>
        <w:spacing w:lineRule="auto" w:line="276"/>
        <w:jc w:val="both"/>
        <w:rPr/>
      </w:pPr>
      <w:r>
        <w:rPr>
          <w:rStyle w:val="Alb"/>
        </w:rPr>
        <w:t xml:space="preserve">6) </w:t>
      </w:r>
      <w:r>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r>
          <w:rPr>
            <w:rStyle w:val="Czeinternetowe"/>
            <w:color w:val="000000"/>
            <w:u w:val="none"/>
          </w:rPr>
          <w:t>ustawy</w:t>
        </w:r>
      </w:hyperlink>
      <w:r>
        <w:rPr/>
        <w:t xml:space="preserve"> z dnia 16 lutego 2007 r.</w:t>
        <w:br/>
        <w:t>o ochronie konkurencji i konsumentów, chyba że spowodowane tym zakłócenie konkurencji może być wyeliminowane w inny sposób niż przez wykluczenie wykonawcy z udziału</w:t>
        <w:br/>
        <w:t>w postępowaniu o udzielenie zamówienia.</w:t>
      </w:r>
    </w:p>
    <w:p>
      <w:pPr>
        <w:pStyle w:val="Normal"/>
        <w:spacing w:lineRule="auto" w:line="276"/>
        <w:jc w:val="both"/>
        <w:rPr/>
      </w:pPr>
      <w:r>
        <w:rPr>
          <w:b/>
          <w:bCs/>
        </w:rPr>
        <w:t xml:space="preserve">7.2. </w:t>
      </w:r>
      <w:r>
        <w:rPr/>
        <w:t>Przesłanki wykluczenia  o których mowa w art. 109 ustawy:</w:t>
      </w:r>
    </w:p>
    <w:p>
      <w:pPr>
        <w:pStyle w:val="Normal"/>
        <w:spacing w:lineRule="auto" w:line="276"/>
        <w:jc w:val="both"/>
        <w:rPr/>
      </w:pPr>
      <w:r>
        <w:rPr/>
        <w:t>Zamawiający nie przewiduje podstaw wykluczenia wskazanych w art. 109 ustawy.</w:t>
      </w:r>
    </w:p>
    <w:p>
      <w:pPr>
        <w:pStyle w:val="Normal"/>
        <w:spacing w:lineRule="auto" w:line="276"/>
        <w:jc w:val="both"/>
        <w:rPr/>
      </w:pPr>
      <w:r>
        <w:rPr>
          <w:b/>
          <w:bCs/>
        </w:rPr>
        <w:t xml:space="preserve">7.3. </w:t>
      </w:r>
      <w:r>
        <w:rPr/>
        <w:t>Wykonawca może zostać wykluczony przez zamawiającego na każdym etapie postępowania o udzielenie zamówienia</w:t>
      </w:r>
    </w:p>
    <w:p>
      <w:pPr>
        <w:pStyle w:val="Normal"/>
        <w:spacing w:lineRule="auto" w:line="276"/>
        <w:jc w:val="both"/>
        <w:rPr/>
      </w:pPr>
      <w:r>
        <w:rPr>
          <w:b/>
          <w:bCs/>
        </w:rPr>
        <w:t>7.4.</w:t>
      </w:r>
      <w:r>
        <w:rPr/>
        <w:t xml:space="preserve"> Wykonawca nie podlega wykluczeniu w okolicznościach określonych w art. 108 ust. 1 pkt 1, 2 i 5, jeżeli udowodni zamawiającemu, że spełnił łącznie następujące przesłanki:</w:t>
      </w:r>
    </w:p>
    <w:p>
      <w:pPr>
        <w:pStyle w:val="Normal"/>
        <w:spacing w:lineRule="auto" w:line="276"/>
        <w:jc w:val="both"/>
        <w:rPr/>
      </w:pPr>
      <w:r>
        <w:rPr/>
        <w:t>1) naprawił lub zobowiązał się do naprawienia szkody wyrządzonej przestępstwem, wykroczeniem lub swoim nieprawidłowym postępowaniem, w tym poprzez zadośćuczynienie pieniężne;</w:t>
      </w:r>
    </w:p>
    <w:p>
      <w:pPr>
        <w:pStyle w:val="Normal"/>
        <w:spacing w:lineRule="auto" w:line="276"/>
        <w:jc w:val="both"/>
        <w:rPr/>
      </w:pPr>
      <w:r>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76"/>
        <w:jc w:val="both"/>
        <w:rPr/>
      </w:pPr>
      <w:r>
        <w:rPr/>
        <w:t>3) podjął konkretne środki techniczne, organizacyjne i kadrowe, odpowiednie dla zapobiegania dalszym przestępstwom, wykroczeniom lub nieprawidłowemu postępowaniu,</w:t>
        <w:br/>
        <w:t>w szczególności:</w:t>
      </w:r>
    </w:p>
    <w:p>
      <w:pPr>
        <w:pStyle w:val="Normal"/>
        <w:spacing w:lineRule="auto" w:line="276"/>
        <w:jc w:val="both"/>
        <w:rPr/>
      </w:pPr>
      <w:r>
        <w:rPr/>
        <w:t>a) zerwał wszelkie powiązania z osobami lub podmiotami odpowiedzialnymi za nieprawidłowe postępowanie wykonawcy,</w:t>
      </w:r>
    </w:p>
    <w:p>
      <w:pPr>
        <w:pStyle w:val="Normal"/>
        <w:spacing w:lineRule="auto" w:line="276"/>
        <w:jc w:val="both"/>
        <w:rPr/>
      </w:pPr>
      <w:r>
        <w:rPr/>
        <w:t>b) zreorganizował personel,</w:t>
      </w:r>
    </w:p>
    <w:p>
      <w:pPr>
        <w:pStyle w:val="Normal"/>
        <w:spacing w:lineRule="auto" w:line="276"/>
        <w:jc w:val="both"/>
        <w:rPr/>
      </w:pPr>
      <w:r>
        <w:rPr/>
        <w:t>c) wdrożył system sprawozdawczości i kontroli,</w:t>
      </w:r>
    </w:p>
    <w:p>
      <w:pPr>
        <w:pStyle w:val="Normal"/>
        <w:spacing w:lineRule="auto" w:line="276"/>
        <w:jc w:val="both"/>
        <w:rPr/>
      </w:pPr>
      <w:r>
        <w:rPr/>
        <w:t>d) utworzył struktury audytu wewnętrznego do monitorowania przestrzegania przepisów, wewnętrznych regulacji lub standardów,</w:t>
      </w:r>
    </w:p>
    <w:p>
      <w:pPr>
        <w:pStyle w:val="Normal"/>
        <w:spacing w:lineRule="auto" w:line="276"/>
        <w:jc w:val="both"/>
        <w:rPr/>
      </w:pPr>
      <w:r>
        <w:rPr/>
        <w:t>e) wprowadził wewnętrzne regulacje dotyczące odpowiedzialności i odszkodowań za nieprzestrzeganie przepisów, wewnętrznych regulacji lub standardów.</w:t>
      </w:r>
    </w:p>
    <w:p>
      <w:pPr>
        <w:pStyle w:val="Normal"/>
        <w:spacing w:lineRule="auto" w:line="276"/>
        <w:jc w:val="both"/>
        <w:rPr/>
      </w:pPr>
      <w:r>
        <w:rPr>
          <w:b/>
          <w:bCs/>
        </w:rPr>
        <w:t xml:space="preserve">7.5. </w:t>
      </w:r>
      <w:r>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pPr>
        <w:pStyle w:val="Normal"/>
        <w:spacing w:lineRule="auto" w:line="276"/>
        <w:jc w:val="both"/>
        <w:rPr/>
      </w:pPr>
      <w:r>
        <w:rPr>
          <w:b/>
          <w:bCs/>
        </w:rPr>
        <w:t>7.6.</w:t>
      </w:r>
      <w:r>
        <w:rPr/>
        <w:t xml:space="preserve"> </w:t>
      </w:r>
      <w:r>
        <w:rPr>
          <w:b/>
          <w:bCs/>
          <w:color w:val="000000"/>
        </w:rPr>
        <w:t>Wykonawca zobowiązany jest wykazać brak podstaw do wykluczenia w oparciu</w:t>
        <w:br/>
        <w:t xml:space="preserve">o przesłanki określone w art. </w:t>
      </w:r>
      <w:r>
        <w:rPr>
          <w:b/>
          <w:bCs/>
          <w:color w:val="000000"/>
          <w:lang w:val="pl-PL" w:eastAsia="en-US" w:bidi="ar-SA"/>
        </w:rPr>
        <w:t>7 ust. 1 ustawy z dnia 13  kwietnia 2022 r. o szczególnych rozwiązaniach w zakresie przeciwdziałania wspieraniu agresji na Ukrainę oraz służących ochronie bezpieczeństwa narodowego (Dz. U. z 2022 r.  Poz. 835):Art. 7. Przesłanki wykluczenia z postępowania o udzielenie zamówienia publicznego lub konkursu]</w:t>
      </w:r>
    </w:p>
    <w:p>
      <w:pPr>
        <w:pStyle w:val="Normal"/>
        <w:spacing w:lineRule="auto" w:line="276"/>
        <w:jc w:val="both"/>
        <w:rPr/>
      </w:pPr>
      <w:r>
        <w:rPr/>
        <w:t>Z postępowania o udzielenie zamówienia publicznego lub konkursu prowadzonego na podstawie ustawy z dnia 11 września 2019 r. - Prawo zamówień publicznych wyklucza się:</w:t>
      </w:r>
    </w:p>
    <w:p>
      <w:pPr>
        <w:pStyle w:val="Normal"/>
        <w:spacing w:lineRule="auto" w:line="276"/>
        <w:jc w:val="both"/>
        <w:rPr/>
      </w:pPr>
      <w:r>
        <w:rPr/>
        <w:t>1) wykonawcę oraz uczestnika konkursu wymienionego w wykazach określonych</w:t>
        <w:br/>
        <w:t>w rozporządzeniu 765/2006 i rozporządzeniu 269/2014 albo wpisanego na listę na podstawie decyzji w sprawie wpisu na listę rozstrzygającej o zastosowaniu środka, o którym mowa</w:t>
        <w:br/>
        <w:t>w art. 1 pkt 3;</w:t>
      </w:r>
    </w:p>
    <w:p>
      <w:pPr>
        <w:pStyle w:val="Normal"/>
        <w:spacing w:lineRule="auto" w:line="276"/>
        <w:jc w:val="both"/>
        <w:rPr/>
      </w:pPr>
      <w:r>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Normal"/>
        <w:spacing w:lineRule="auto" w:line="276"/>
        <w:jc w:val="both"/>
        <w:rPr/>
      </w:pPr>
      <w:r>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pPr>
        <w:pStyle w:val="Normal"/>
        <w:spacing w:lineRule="auto" w:line="276"/>
        <w:jc w:val="both"/>
        <w:rPr/>
      </w:pPr>
      <w:r>
        <w:rPr>
          <w:b/>
          <w:bCs/>
        </w:rPr>
        <w:t xml:space="preserve">7.7. </w:t>
      </w:r>
      <w:r>
        <w:rPr/>
        <w:t>Sposób wykazania braku podstaw wykluczenia wskazano w rozdziale 8 SWZ.</w:t>
      </w:r>
    </w:p>
    <w:p>
      <w:pPr>
        <w:pStyle w:val="Normal"/>
        <w:spacing w:lineRule="auto" w:line="276"/>
        <w:rPr/>
      </w:pPr>
      <w:r>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8</w:t>
            </w:r>
          </w:p>
          <w:p>
            <w:pPr>
              <w:pStyle w:val="Normal"/>
              <w:widowControl w:val="false"/>
              <w:spacing w:lineRule="auto" w:line="276"/>
              <w:jc w:val="center"/>
              <w:rPr>
                <w:b/>
                <w:bCs/>
              </w:rPr>
            </w:pPr>
            <w:r>
              <w:rPr>
                <w:b/>
                <w:bCs/>
              </w:rPr>
              <w:t xml:space="preserve">WYKAZ OŚWIADCZEŃ LUB DOKUMENTÓW, JAKIE MAJĄ </w:t>
              <w:br/>
              <w:t>ZŁOŻYĆ WYKONAWCY W CELU POTWIERDZENIA SPEŁNIANIA WARUNKÓW UDZIAŁU W POSTĘPOWANIU ORAZ NIEPODLEGANIA WYKLUCZENIU Z POSTĘPOWANIA</w:t>
            </w:r>
          </w:p>
        </w:tc>
      </w:tr>
    </w:tbl>
    <w:p>
      <w:pPr>
        <w:pStyle w:val="Normal"/>
        <w:spacing w:lineRule="auto" w:line="276"/>
        <w:rPr/>
      </w:pPr>
      <w:r>
        <w:rPr/>
      </w:r>
    </w:p>
    <w:p>
      <w:pPr>
        <w:pStyle w:val="Normal"/>
        <w:spacing w:lineRule="auto" w:line="276"/>
        <w:jc w:val="both"/>
        <w:rPr/>
      </w:pPr>
      <w:r>
        <w:rPr/>
      </w:r>
    </w:p>
    <w:p>
      <w:pPr>
        <w:pStyle w:val="Normal"/>
        <w:numPr>
          <w:ilvl w:val="1"/>
          <w:numId w:val="25"/>
        </w:numPr>
        <w:spacing w:lineRule="auto" w:line="276"/>
        <w:jc w:val="both"/>
        <w:rPr/>
      </w:pPr>
      <w:r>
        <w:rPr/>
        <w:t>Wykonawca zobowiązany jest złożyć wraz z ofertą oświadczenia stanowiące wstępne</w:t>
      </w:r>
    </w:p>
    <w:p>
      <w:pPr>
        <w:pStyle w:val="Normal"/>
        <w:widowControl/>
        <w:numPr>
          <w:ilvl w:val="0"/>
          <w:numId w:val="0"/>
        </w:numPr>
        <w:suppressAutoHyphens w:val="true"/>
        <w:bidi w:val="0"/>
        <w:spacing w:lineRule="auto" w:line="276" w:before="0" w:after="0"/>
        <w:ind w:left="0" w:right="0" w:hanging="0"/>
        <w:jc w:val="both"/>
        <w:rPr/>
      </w:pPr>
      <w:r>
        <w:rPr/>
        <w:t>potwierdzenie, że Wykonawca na dzień składania ofert:</w:t>
      </w:r>
    </w:p>
    <w:p>
      <w:pPr>
        <w:pStyle w:val="Normal"/>
        <w:numPr>
          <w:ilvl w:val="2"/>
          <w:numId w:val="26"/>
        </w:numPr>
        <w:spacing w:lineRule="auto" w:line="276"/>
        <w:jc w:val="both"/>
        <w:rPr/>
      </w:pPr>
      <w:r>
        <w:rPr/>
        <w:t>nie podlega wykluczeniu,</w:t>
      </w:r>
    </w:p>
    <w:p>
      <w:pPr>
        <w:pStyle w:val="Normal"/>
        <w:numPr>
          <w:ilvl w:val="2"/>
          <w:numId w:val="27"/>
        </w:numPr>
        <w:spacing w:lineRule="auto" w:line="276"/>
        <w:jc w:val="both"/>
        <w:rPr/>
      </w:pPr>
      <w:r>
        <w:rPr/>
        <w:t>spełnia warunki udziału w postępowaniu.</w:t>
      </w:r>
    </w:p>
    <w:p>
      <w:pPr>
        <w:pStyle w:val="Normal"/>
        <w:widowControl/>
        <w:numPr>
          <w:ilvl w:val="2"/>
          <w:numId w:val="16"/>
        </w:numPr>
        <w:suppressAutoHyphens w:val="true"/>
        <w:bidi w:val="0"/>
        <w:spacing w:lineRule="auto" w:line="276" w:before="0" w:after="0"/>
        <w:ind w:left="737" w:right="0" w:hanging="737"/>
        <w:jc w:val="both"/>
        <w:rPr/>
      </w:pPr>
      <w:r>
        <w:rPr/>
        <w:t>Oświadczenia należy złożyć wg wymogów załącznika nr 4 i 5 do SWZ.</w:t>
      </w:r>
    </w:p>
    <w:p>
      <w:pPr>
        <w:pStyle w:val="Normal"/>
        <w:widowControl/>
        <w:numPr>
          <w:ilvl w:val="2"/>
          <w:numId w:val="16"/>
        </w:numPr>
        <w:suppressAutoHyphens w:val="true"/>
        <w:bidi w:val="0"/>
        <w:spacing w:lineRule="auto" w:line="276" w:before="0" w:after="0"/>
        <w:ind w:left="737" w:right="0" w:hanging="737"/>
        <w:jc w:val="both"/>
        <w:rPr/>
      </w:pPr>
      <w:r>
        <w:rPr/>
        <w:t>Jeżeli wykonawca nie złożył oświadczeń, o którym mowa w pkt 8.1 lub są one</w:t>
      </w:r>
    </w:p>
    <w:p>
      <w:pPr>
        <w:pStyle w:val="Normal"/>
        <w:widowControl/>
        <w:numPr>
          <w:ilvl w:val="0"/>
          <w:numId w:val="0"/>
        </w:numPr>
        <w:suppressAutoHyphens w:val="true"/>
        <w:bidi w:val="0"/>
        <w:spacing w:lineRule="auto" w:line="276" w:before="0" w:after="0"/>
        <w:ind w:left="0" w:right="0" w:hanging="0"/>
        <w:jc w:val="both"/>
        <w:rPr/>
      </w:pPr>
      <w:r>
        <w:rPr/>
        <w:t>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Normal"/>
        <w:widowControl/>
        <w:numPr>
          <w:ilvl w:val="2"/>
          <w:numId w:val="16"/>
        </w:numPr>
        <w:suppressAutoHyphens w:val="true"/>
        <w:bidi w:val="0"/>
        <w:spacing w:lineRule="auto" w:line="276" w:before="0" w:after="0"/>
        <w:ind w:left="0" w:right="0" w:hanging="0"/>
        <w:jc w:val="both"/>
        <w:rPr/>
      </w:pPr>
      <w:r>
        <w:rPr/>
        <w:t>Złożenie, uzupełnienie lub poprawienie oświadczeń, o którym mowa w pkt 8.1 nie może służyć potwierdzeniu spełniania kryteriów selekcji.</w:t>
      </w:r>
    </w:p>
    <w:p>
      <w:pPr>
        <w:pStyle w:val="Normal"/>
        <w:widowControl/>
        <w:numPr>
          <w:ilvl w:val="2"/>
          <w:numId w:val="16"/>
        </w:numPr>
        <w:suppressAutoHyphens w:val="true"/>
        <w:bidi w:val="0"/>
        <w:spacing w:lineRule="auto" w:line="276" w:before="0" w:after="0"/>
        <w:ind w:left="0" w:right="0" w:hanging="0"/>
        <w:jc w:val="both"/>
        <w:rPr/>
      </w:pPr>
      <w:r>
        <w:rPr/>
        <w:t>Zamawiający może żądać od wykonawców wyjaśnień dotyczących treści złożonych oświadczeń, o których mowa w pkt 8.1.</w:t>
      </w:r>
    </w:p>
    <w:p>
      <w:pPr>
        <w:pStyle w:val="Normal"/>
        <w:widowControl/>
        <w:numPr>
          <w:ilvl w:val="2"/>
          <w:numId w:val="16"/>
        </w:numPr>
        <w:suppressAutoHyphens w:val="true"/>
        <w:bidi w:val="0"/>
        <w:spacing w:lineRule="auto" w:line="276" w:before="0" w:after="0"/>
        <w:ind w:left="0" w:right="0" w:hanging="0"/>
        <w:jc w:val="both"/>
        <w:rPr/>
      </w:pPr>
      <w:r>
        <w:rPr/>
        <w:t>Jeżeli złożone przez wykonawcę oświadczenia, o którym mowa w pkt 8.1 budzą wątpliwości zamawiającego, może on zwrócić się bezpośrednio do podmiotu, który jest</w:t>
        <w:br/>
        <w:t>w posiadaniu informacji lub dokumentów istotnych w tym zakresie dla oceny spełniania przez wykonawcę warunków udziału w postępowaniu, kryteriów selekcji lub braku podstaw wykluczenia, o przedstawienie takich informacji lub dokumentów.</w:t>
      </w:r>
    </w:p>
    <w:p>
      <w:pPr>
        <w:pStyle w:val="Normal"/>
        <w:widowControl/>
        <w:numPr>
          <w:ilvl w:val="0"/>
          <w:numId w:val="0"/>
        </w:numPr>
        <w:suppressAutoHyphens w:val="true"/>
        <w:bidi w:val="0"/>
        <w:spacing w:lineRule="auto" w:line="276" w:before="0" w:after="0"/>
        <w:ind w:left="0" w:right="0" w:hanging="0"/>
        <w:jc w:val="both"/>
        <w:rPr/>
      </w:pPr>
      <w:r>
        <w:rPr/>
      </w:r>
    </w:p>
    <w:p>
      <w:pPr>
        <w:pStyle w:val="Normal"/>
        <w:widowControl/>
        <w:numPr>
          <w:ilvl w:val="0"/>
          <w:numId w:val="0"/>
        </w:numPr>
        <w:suppressAutoHyphens w:val="true"/>
        <w:bidi w:val="0"/>
        <w:spacing w:lineRule="auto" w:line="276" w:before="0" w:after="0"/>
        <w:ind w:left="0" w:right="0" w:hanging="0"/>
        <w:jc w:val="both"/>
        <w:rPr/>
      </w:pPr>
      <w:r>
        <w:rPr>
          <w:b/>
          <w:bCs/>
        </w:rPr>
        <w:t>8.2.</w:t>
      </w:r>
      <w:r>
        <w:rPr/>
        <w:t xml:space="preserve"> W przypadku, o którym mowa w rozdziale 6 ust. 6.3 SWZ wykonawcy wspólnie ubiegający się o udzielenie zamówienia (w tym członkowie spółki cywilnej) </w:t>
      </w:r>
      <w:r>
        <w:rPr>
          <w:b/>
          <w:bCs/>
        </w:rPr>
        <w:t xml:space="preserve">dołączają do oferty oświadczenie , </w:t>
      </w:r>
      <w:r>
        <w:rPr>
          <w:b/>
          <w:bCs/>
          <w:u w:val="single"/>
        </w:rPr>
        <w:t>z którego wynika</w:t>
      </w:r>
      <w:r>
        <w:rPr>
          <w:b/>
          <w:bCs/>
        </w:rPr>
        <w:t xml:space="preserve">, </w:t>
      </w:r>
      <w:r>
        <w:rPr/>
        <w:t>które roboty budowlane, dostawy lub usługi wykonają poszczególni wykonawcy.</w:t>
      </w:r>
    </w:p>
    <w:p>
      <w:pPr>
        <w:pStyle w:val="Normal"/>
        <w:spacing w:lineRule="auto" w:line="276"/>
        <w:jc w:val="both"/>
        <w:rPr/>
      </w:pPr>
      <w:r>
        <w:rPr>
          <w:b/>
          <w:bCs/>
        </w:rPr>
        <w:t xml:space="preserve">8.2.1. </w:t>
      </w:r>
      <w:r>
        <w:rPr/>
        <w:t>Oświadczenie należy złożyć wg wymogów załącznika nr 6 do SWZ.</w:t>
      </w:r>
    </w:p>
    <w:p>
      <w:pPr>
        <w:pStyle w:val="Normal"/>
        <w:spacing w:lineRule="auto" w:line="276"/>
        <w:jc w:val="both"/>
        <w:rPr/>
      </w:pPr>
      <w:r>
        <w:rPr>
          <w:b/>
          <w:bCs/>
        </w:rPr>
        <w:t>8.2.2.</w:t>
      </w:r>
      <w:r>
        <w:rPr/>
        <w:t xml:space="preserve"> Oświadczenie to jest podmiotowym środkiem dowodowym składanym wraz z ofertą.</w:t>
      </w:r>
    </w:p>
    <w:p>
      <w:pPr>
        <w:pStyle w:val="Normal"/>
        <w:spacing w:lineRule="auto" w:line="276"/>
        <w:jc w:val="both"/>
        <w:rPr/>
      </w:pPr>
      <w:r>
        <w:rPr/>
      </w:r>
    </w:p>
    <w:p>
      <w:pPr>
        <w:pStyle w:val="Normal"/>
        <w:spacing w:lineRule="auto" w:line="276"/>
        <w:jc w:val="both"/>
        <w:rPr/>
      </w:pPr>
      <w:r>
        <w:rPr>
          <w:rStyle w:val="TeksttreciPogrubienie6"/>
          <w:sz w:val="24"/>
          <w:szCs w:val="24"/>
        </w:rPr>
        <w:t xml:space="preserve">8.3. </w:t>
      </w:r>
      <w:r>
        <w:rPr>
          <w:rStyle w:val="TeksttreciPogrubienie6"/>
          <w:b/>
          <w:bCs/>
          <w:sz w:val="24"/>
          <w:szCs w:val="24"/>
        </w:rPr>
        <w:t xml:space="preserve">Dokumenty składane </w:t>
      </w:r>
      <w:r>
        <w:rPr>
          <w:b/>
          <w:bCs/>
          <w:sz w:val="24"/>
          <w:szCs w:val="24"/>
          <w:u w:val="single"/>
        </w:rPr>
        <w:t>po otwarciu ofert</w:t>
      </w:r>
      <w:r>
        <w:rPr>
          <w:b/>
          <w:bCs/>
          <w:sz w:val="24"/>
          <w:szCs w:val="24"/>
        </w:rPr>
        <w:t xml:space="preserve"> na wezwanie Zamawiającego przez Wykonawcę, którego oferta zostanie oceniona najwyżej, w terminie (nie krótszym niż 5 dni od dnia wezwania):</w:t>
      </w:r>
    </w:p>
    <w:p>
      <w:pPr>
        <w:pStyle w:val="Normal"/>
        <w:spacing w:lineRule="auto" w:line="276"/>
        <w:jc w:val="center"/>
        <w:rPr/>
      </w:pPr>
      <w:r>
        <w:rPr/>
      </w:r>
    </w:p>
    <w:p>
      <w:pPr>
        <w:pStyle w:val="Normal"/>
        <w:spacing w:lineRule="auto" w:line="276"/>
        <w:jc w:val="center"/>
        <w:rPr>
          <w:b/>
          <w:bCs/>
          <w:color w:val="ED2222"/>
        </w:rPr>
      </w:pPr>
      <w:r>
        <w:rPr>
          <w:b/>
          <w:bCs/>
          <w:color w:val="ED2222"/>
        </w:rPr>
        <w:t>(PROSIMY NIE SKŁADAĆ TYCH DOKUMENTÓW WRAZ Z OFERTĄ!)</w:t>
      </w:r>
    </w:p>
    <w:p>
      <w:pPr>
        <w:pStyle w:val="Normal"/>
        <w:spacing w:lineRule="auto" w:line="276"/>
        <w:jc w:val="both"/>
        <w:rPr/>
      </w:pPr>
      <w:r>
        <w:rPr/>
      </w:r>
    </w:p>
    <w:p>
      <w:pPr>
        <w:pStyle w:val="Normal"/>
        <w:spacing w:lineRule="auto" w:line="276"/>
        <w:rPr/>
      </w:pPr>
      <w:r>
        <w:rPr>
          <w:b/>
          <w:bCs/>
        </w:rPr>
        <w:t>8.3.1.</w:t>
      </w:r>
      <w:r>
        <w:rPr/>
        <w:t xml:space="preserve">  </w:t>
      </w:r>
      <w:r>
        <w:rPr>
          <w:b/>
          <w:bCs/>
        </w:rPr>
        <w:t xml:space="preserve">W celu potwierdzenia spełniania warunków udziału w postępowaniu </w:t>
      </w:r>
    </w:p>
    <w:p>
      <w:pPr>
        <w:pStyle w:val="Normal"/>
        <w:spacing w:lineRule="auto" w:line="276"/>
        <w:jc w:val="both"/>
        <w:rPr/>
      </w:pPr>
      <w:r>
        <w:rPr/>
        <w:t>Zamawiający wezwie wykonawcę, którego oferta została najwyżej oceniona, do złożenia</w:t>
        <w:br/>
        <w:t>w wyznaczonym terminie (nie krótszym niż 5 dni od dnia wezwania) następujących podmiotowych środków dowodowych (aktualnych na dzień złożenia), tj.:</w:t>
      </w:r>
    </w:p>
    <w:p>
      <w:pPr>
        <w:pStyle w:val="Normal"/>
        <w:spacing w:lineRule="auto" w:line="276"/>
        <w:jc w:val="both"/>
        <w:rPr/>
      </w:pPr>
      <w:r>
        <w:rPr/>
      </w:r>
    </w:p>
    <w:p>
      <w:pPr>
        <w:pStyle w:val="Normal"/>
        <w:spacing w:lineRule="auto" w:line="276"/>
        <w:jc w:val="both"/>
        <w:rPr/>
      </w:pPr>
      <w:r>
        <w:rPr>
          <w:b/>
          <w:bCs/>
        </w:rPr>
        <w:t xml:space="preserve">a) </w:t>
      </w:r>
      <w:bookmarkStart w:id="2" w:name="_Hlk79961359"/>
      <w:r>
        <w:rPr>
          <w:b/>
          <w:bCs/>
        </w:rPr>
        <w:t>wykaz dostaw lub usług</w:t>
      </w:r>
      <w:r>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pPr>
        <w:pStyle w:val="Normal"/>
        <w:spacing w:lineRule="auto" w:line="276"/>
        <w:jc w:val="both"/>
        <w:rPr/>
      </w:pPr>
      <w:r>
        <w:rPr/>
        <w:t>Jeśli Wykonawca składa oświadczenie, zobowiązany jest podać przyczyny braku możliwości uzyskania dowodów określających, czy te dostawy lub usługi zostały wykonane lub są wykonywane należycie.</w:t>
      </w:r>
      <w:bookmarkEnd w:id="2"/>
    </w:p>
    <w:p>
      <w:pPr>
        <w:pStyle w:val="Normal"/>
        <w:spacing w:lineRule="auto" w:line="276"/>
        <w:jc w:val="both"/>
        <w:rPr/>
      </w:pPr>
      <w:bookmarkStart w:id="3" w:name="_Hlk67833446"/>
      <w:r>
        <w:rPr/>
        <w:t>Jeżeli Wykonawca powołuje się na doświadczenie w realizacji usług lub dostaw, wykonanych wspólnie z innymi Wykonawcami wykaz dotyczący usług lub dostaw, w których wykonaniu Wykonawca ten bezpośrednio uczestniczył (wykonywał), a w przypadku świadczeń powtarzających się lub ciągłych, w których wykonywaniu bezpośrednio uczestniczył (wykonywał) lub uczestniczy (wykonuje).</w:t>
      </w:r>
      <w:bookmarkEnd w:id="3"/>
      <w:r>
        <w:rPr/>
        <w:t xml:space="preserve"> </w:t>
      </w:r>
    </w:p>
    <w:p>
      <w:pPr>
        <w:pStyle w:val="Normal"/>
        <w:spacing w:lineRule="auto" w:line="276"/>
        <w:jc w:val="both"/>
        <w:rPr/>
      </w:pPr>
      <w:r>
        <w:rPr/>
        <w:t>Wykaz dostaw sporządzony zgodnie ze wzorem (Załącznikiem Nr 8 do SWZ) –</w:t>
        <w:br/>
      </w:r>
      <w:r>
        <w:rPr>
          <w:i/>
          <w:iCs/>
        </w:rPr>
        <w:t>w odniesieniu do warunku określonego w pkt. 6.1.4. pkt 1) SWZ.</w:t>
      </w:r>
    </w:p>
    <w:p>
      <w:pPr>
        <w:pStyle w:val="Teksttreci11"/>
        <w:shd w:val="clear" w:fill="FFFFFF"/>
        <w:spacing w:lineRule="auto" w:line="276" w:before="0" w:after="0"/>
        <w:ind w:right="20" w:hanging="0"/>
        <w:jc w:val="both"/>
        <w:rPr>
          <w:rFonts w:ascii="Times New Roman" w:hAnsi="Times New Roman"/>
        </w:rPr>
      </w:pPr>
      <w:r>
        <w:rPr>
          <w:rFonts w:cs="Cambria" w:ascii="Times New Roman" w:hAnsi="Times New Roman"/>
          <w:b/>
          <w:bCs/>
          <w:sz w:val="24"/>
          <w:szCs w:val="24"/>
        </w:rPr>
        <w:t>b) wykazu osób</w:t>
      </w:r>
      <w:r>
        <w:rPr>
          <w:rFonts w:cs="Cambria" w:ascii="Times New Roman" w:hAnsi="Times New Roman"/>
          <w:sz w:val="24"/>
          <w:szCs w:val="24"/>
        </w:rPr>
        <w:t>, skierowanych przez wykonawcę do realizacji zamówienia publicznego,</w:t>
        <w:br/>
        <w:t>w szczególności odpowiedzialnych za świadczenie usług, kontrolę jakości lub kierowanie robotami budowlanymi, wraz z informacjami na temat ich kwalifikacji zawodowych</w:t>
        <w:br/>
        <w:t xml:space="preserve">i uprawnień, niezbędnych do wykonania zamówienia publicznego, a także zakresu wykonywanych przez nie czynności oraz informacją o podstawie do dysponowania tymi osobami; sporządzonego zgodnie z (Załącznikiem Nr 9 do SWZ) –  </w:t>
      </w:r>
      <w:r>
        <w:rPr>
          <w:rFonts w:cs="Cambria" w:ascii="Times New Roman" w:hAnsi="Times New Roman"/>
          <w:i/>
          <w:iCs/>
          <w:sz w:val="24"/>
          <w:szCs w:val="24"/>
        </w:rPr>
        <w:t>w odniesieniu do warunku określonego w pkt. 6.1.4. ppkt.</w:t>
      </w:r>
      <w:r>
        <w:rPr>
          <w:rFonts w:cs="Cambria" w:ascii="Times New Roman" w:hAnsi="Times New Roman"/>
          <w:i/>
          <w:iCs/>
          <w:color w:val="000000"/>
          <w:sz w:val="24"/>
          <w:szCs w:val="24"/>
        </w:rPr>
        <w:t xml:space="preserve"> 2) SWZ</w:t>
      </w:r>
      <w:r>
        <w:rPr>
          <w:rFonts w:cs="Cambria" w:ascii="Times New Roman" w:hAnsi="Times New Roman"/>
          <w:color w:val="000000"/>
          <w:sz w:val="24"/>
          <w:szCs w:val="24"/>
        </w:rPr>
        <w:t xml:space="preserve">. </w:t>
      </w:r>
    </w:p>
    <w:p>
      <w:pPr>
        <w:pStyle w:val="Teksttreci11"/>
        <w:shd w:val="clear" w:fill="FFFFFF"/>
        <w:spacing w:lineRule="auto" w:line="276" w:before="0" w:after="0"/>
        <w:ind w:right="20" w:hanging="0"/>
        <w:jc w:val="both"/>
        <w:rPr>
          <w:rFonts w:cs="Cambria"/>
          <w:color w:val="000000"/>
          <w:sz w:val="24"/>
          <w:szCs w:val="24"/>
        </w:rPr>
      </w:pPr>
      <w:r>
        <w:rPr>
          <w:rFonts w:cs="Cambria"/>
          <w:color w:val="000000"/>
          <w:sz w:val="24"/>
          <w:szCs w:val="24"/>
        </w:rPr>
      </w:r>
    </w:p>
    <w:p>
      <w:pPr>
        <w:pStyle w:val="Normal"/>
        <w:spacing w:lineRule="auto" w:line="276"/>
        <w:jc w:val="both"/>
        <w:rPr/>
      </w:pPr>
      <w:r>
        <w:rPr>
          <w:b/>
          <w:bCs/>
        </w:rPr>
        <w:t>8.3.2. Zamawiający poza oświadczeniem o braku podstaw do wykluczenia – załącznik nr 4 do SWZ (składanym wraz z ofertą), nie wymaga składania innych podmiotowych środków dowodowych potwierdzających brak podstaw do wykluczenia z udziału</w:t>
        <w:br/>
        <w:t>w postępowaniu.</w:t>
      </w:r>
    </w:p>
    <w:p>
      <w:pPr>
        <w:pStyle w:val="Normal"/>
        <w:spacing w:lineRule="auto" w:line="276"/>
        <w:rPr/>
      </w:pPr>
      <w:r>
        <w:rPr/>
      </w:r>
    </w:p>
    <w:p>
      <w:pPr>
        <w:pStyle w:val="Normal"/>
        <w:spacing w:lineRule="auto" w:line="276"/>
        <w:jc w:val="both"/>
        <w:rPr/>
      </w:pPr>
      <w:r>
        <w:rPr>
          <w:b/>
          <w:bCs/>
        </w:rPr>
        <w:t>8.4.</w:t>
      </w:r>
      <w:r>
        <w:rPr/>
        <w:t xml:space="preserve"> Jeżeli jest to niezbędne do zapewnienia odpowiedniego przebiegu postępowania</w:t>
        <w:br/>
        <w:t>o udzielenie zamówienia, zamawiający może na każdym etapie postępowania wezwać wykonawców do złożenia wszystkich lub niektórych podmiotowych środków dowodowych.</w:t>
      </w:r>
    </w:p>
    <w:p>
      <w:pPr>
        <w:pStyle w:val="Normal"/>
        <w:spacing w:lineRule="auto" w:line="276"/>
        <w:jc w:val="both"/>
        <w:rPr/>
      </w:pPr>
      <w:r>
        <w:rPr>
          <w:b/>
          <w:bCs/>
        </w:rPr>
        <w:t>8.5.</w:t>
      </w:r>
      <w:r>
        <w:rPr/>
        <w:t xml:space="preserve"> Wykonawca składa podmiotowe środki dowodowe na wezwanie zamawiającego. Dokumenty te powinny być aktualne na dzień ich złożenia.</w:t>
      </w:r>
    </w:p>
    <w:p>
      <w:pPr>
        <w:pStyle w:val="Normal"/>
        <w:spacing w:lineRule="auto" w:line="276"/>
        <w:jc w:val="both"/>
        <w:rPr/>
      </w:pPr>
      <w:r>
        <w:rPr>
          <w:b/>
          <w:bCs/>
        </w:rPr>
        <w:t>8.6.</w:t>
      </w:r>
      <w:r>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pStyle w:val="Normal"/>
        <w:spacing w:lineRule="auto" w:line="276"/>
        <w:jc w:val="both"/>
        <w:rPr/>
      </w:pPr>
      <w:r>
        <w:rPr>
          <w:b/>
          <w:bCs/>
        </w:rPr>
        <w:t xml:space="preserve">8.7. </w:t>
      </w:r>
      <w:r>
        <w:rPr/>
        <w:t>Zamawiający nie będzie wzywał do złożenia podmiotowych środków dowodowych, jeżeli może je uzyskać za pomocą bezpłatnych i ogólnodostępnych baz danych,</w:t>
        <w:br/>
        <w:t>w szczególności rejestrów publicznych w rozumieniu ustawy z dnia 17 lutego 2005 r.</w:t>
        <w:br/>
        <w:t>o informatyzacji działalności podmiotów realizujących zadania publiczne, o ile wykonawca wskazał w oświadczeniu, o którym mowa w pkt 8.1 SWZ dane umożliwiające dostęp do tych środków.</w:t>
      </w:r>
    </w:p>
    <w:p>
      <w:pPr>
        <w:pStyle w:val="Normal"/>
        <w:spacing w:lineRule="auto" w:line="276"/>
        <w:jc w:val="both"/>
        <w:rPr/>
      </w:pPr>
      <w:r>
        <w:rPr>
          <w:b/>
          <w:bCs/>
        </w:rPr>
        <w:t xml:space="preserve">8.8. </w:t>
      </w:r>
      <w:r>
        <w:rPr/>
        <w:t>Wykonawca nie jest zobowiązany do złożenia podmiotowych środków dowodowych, które zamawiający posiada, jeżeli wykonawca wskaże te środki oraz potwierdzi ich prawidłowość i aktualność.</w:t>
      </w:r>
    </w:p>
    <w:p>
      <w:pPr>
        <w:pStyle w:val="Normal"/>
        <w:spacing w:lineRule="auto" w:line="276"/>
        <w:jc w:val="both"/>
        <w:rPr/>
      </w:pPr>
      <w:r>
        <w:rPr>
          <w:b/>
          <w:bCs/>
        </w:rPr>
        <w:t>8.9.</w:t>
      </w:r>
      <w:r>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Normal"/>
        <w:spacing w:lineRule="auto" w:line="276"/>
        <w:jc w:val="both"/>
        <w:rPr/>
      </w:pPr>
      <w:r>
        <w:rPr>
          <w:b/>
          <w:bCs/>
        </w:rPr>
        <w:t>8.10.</w:t>
      </w:r>
      <w:r>
        <w:rPr/>
        <w:t xml:space="preserve"> Złożenie, uzupełnienie lub poprawienie podmiotowych środków dowodowych nie może służyć potwierdzeniu spełniania kryteriów selekcji.</w:t>
      </w:r>
    </w:p>
    <w:p>
      <w:pPr>
        <w:pStyle w:val="Normal"/>
        <w:spacing w:lineRule="auto" w:line="276"/>
        <w:jc w:val="both"/>
        <w:rPr/>
      </w:pPr>
      <w:r>
        <w:rPr>
          <w:b/>
          <w:bCs/>
        </w:rPr>
        <w:t>8.11.</w:t>
      </w:r>
      <w:r>
        <w:rPr/>
        <w:t xml:space="preserve"> Zamawiający może żądać od wykonawców wyjaśnień dotyczących treści złożonych podmiotowych środków dowodowych.</w:t>
      </w:r>
    </w:p>
    <w:p>
      <w:pPr>
        <w:pStyle w:val="Normal"/>
        <w:spacing w:lineRule="auto" w:line="276"/>
        <w:jc w:val="both"/>
        <w:rPr/>
      </w:pPr>
      <w:r>
        <w:rPr>
          <w:b/>
          <w:bCs/>
        </w:rPr>
        <w:t>8.12.</w:t>
      </w:r>
      <w:r>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br/>
        <w:t>o przedstawienie takich informacji lub dokumentów.</w:t>
      </w:r>
    </w:p>
    <w:p>
      <w:pPr>
        <w:pStyle w:val="Normal"/>
        <w:spacing w:lineRule="auto" w:line="276"/>
        <w:jc w:val="both"/>
        <w:rPr/>
      </w:pPr>
      <w:r>
        <w:rPr>
          <w:b/>
          <w:bCs/>
        </w:rPr>
        <w:t xml:space="preserve">8.13. </w:t>
      </w:r>
      <w:r>
        <w:rPr/>
        <w:t>Oświadczenia o których mowa w rozdziale 8.1 składa się, pod rygorem nieważności,</w:t>
        <w:br/>
        <w:t>w formie elektronicznej lub w postaci elektronicznej opatrzonej podpisem zaufanym lub podpisem osobistym.</w:t>
      </w:r>
    </w:p>
    <w:p>
      <w:pPr>
        <w:pStyle w:val="Normal"/>
        <w:spacing w:lineRule="auto" w:line="276"/>
        <w:jc w:val="both"/>
        <w:rPr/>
      </w:pPr>
      <w:r>
        <w:rPr>
          <w:b/>
          <w:bCs/>
        </w:rPr>
        <w:t>8.14.</w:t>
      </w:r>
      <w:r>
        <w:rPr/>
        <w:t xml:space="preserve">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pPr>
        <w:pStyle w:val="Normal"/>
        <w:spacing w:lineRule="auto" w:line="276"/>
        <w:rPr/>
      </w:pPr>
      <w:r>
        <w:rPr>
          <w:b/>
          <w:bCs/>
        </w:rPr>
        <w:t>8.15.</w:t>
      </w:r>
      <w:r>
        <w:rPr/>
        <w:t xml:space="preserve"> Podmiotowe środki dowodowe przekazuje się:</w:t>
      </w:r>
    </w:p>
    <w:p>
      <w:pPr>
        <w:pStyle w:val="Normal"/>
        <w:spacing w:lineRule="auto" w:line="276"/>
        <w:jc w:val="both"/>
        <w:rPr/>
      </w:pPr>
      <w:r>
        <w:rPr/>
        <w:t xml:space="preserve">a) w przypadku gdy zostały wystawione jako dokument elektroniczny przez upoważnione podmioty inne niż wykonawca, wykonawca wspólnie ubiegający się o udzielenie zamówienia, podmiot udostępniający zasoby - </w:t>
      </w:r>
      <w:r>
        <w:rPr>
          <w:b/>
          <w:bCs/>
        </w:rPr>
        <w:t>przekazuje się ten dokument elektroniczny;</w:t>
      </w:r>
    </w:p>
    <w:p>
      <w:pPr>
        <w:pStyle w:val="Normal"/>
        <w:spacing w:lineRule="auto" w:line="276"/>
        <w:jc w:val="both"/>
        <w:rPr/>
      </w:pPr>
      <w:r>
        <w:rPr/>
        <w:t>b) w przypadku gdy zostały wystawione jako dokument w postaci papierowej przez upoważnione podmioty inne niż wykonawca, wykonawca wspólnie ubiegający się</w:t>
        <w:br/>
        <w:t xml:space="preserve">o udzielenie zamówienia, podmiot udostępniający zasoby - </w:t>
      </w:r>
      <w:r>
        <w:rPr>
          <w:b/>
          <w:bCs/>
        </w:rPr>
        <w:t>przekazuje się cyfrowe odwzorowanie tego dokumentu opatrzone kwalifikowanym podpisem elektronicznym, podpisem zaufanym lub podpisem osobistym, poświadczające zgodność cyfrowego odwzorowania z dokumentem w postaci papierowej.</w:t>
      </w:r>
      <w:r>
        <w:rPr>
          <w:rStyle w:val="Alb"/>
          <w:b/>
          <w:bCs/>
        </w:rPr>
        <w:t> </w:t>
      </w:r>
    </w:p>
    <w:p>
      <w:pPr>
        <w:pStyle w:val="Normal"/>
        <w:spacing w:lineRule="auto" w:line="276"/>
        <w:jc w:val="both"/>
        <w:rPr/>
      </w:pPr>
      <w:r>
        <w:rPr>
          <w:i/>
          <w:iC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276"/>
        <w:jc w:val="both"/>
        <w:rPr/>
      </w:pPr>
      <w:r>
        <w:rPr>
          <w:i w:val="false"/>
          <w:iCs w:val="false"/>
        </w:rPr>
        <w:t xml:space="preserve">c) w przypadku, gdy nie zostały wystawione przez upoważnione podmioty inne niż wykonawca, wykonawca wspólnie ubiegający się o udzielenie zamówienia, podmiot udostępniający zasoby - </w:t>
      </w:r>
      <w:r>
        <w:rPr>
          <w:b/>
          <w:bCs/>
          <w:i w:val="false"/>
          <w:iCs w:val="false"/>
        </w:rPr>
        <w:t>przekazuje się je w postaci elektronicznej i opatruje się kwalifikowanym podpisem elektronicznym, podpisem zaufanym lub podpisem osobistym.</w:t>
      </w:r>
    </w:p>
    <w:p>
      <w:pPr>
        <w:pStyle w:val="Normal"/>
        <w:spacing w:lineRule="auto" w:line="276"/>
        <w:jc w:val="both"/>
        <w:rPr/>
      </w:pPr>
      <w:r>
        <w:rPr>
          <w:i w:val="false"/>
          <w:iCs w:val="false"/>
        </w:rPr>
        <w:t xml:space="preserve">d) </w:t>
      </w:r>
      <w:r>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Pr>
          <w:b/>
          <w:bCs/>
        </w:rPr>
        <w:t>przekazuje się cyfrowe odwzorowanie tego dokumentu opatrzone kwalifikowanym podpisem elektronicznym, podpisem zaufanym lub podpisem osobistym, poświadczające zgodność cyfrowego odwzorowania z dokumentem w postaci papierowej.</w:t>
      </w:r>
      <w:r>
        <w:rPr>
          <w:rStyle w:val="Alb"/>
          <w:b/>
          <w:bCs/>
        </w:rPr>
        <w:t> </w:t>
      </w:r>
    </w:p>
    <w:p>
      <w:pPr>
        <w:pStyle w:val="Normal"/>
        <w:spacing w:lineRule="auto" w:line="276"/>
        <w:jc w:val="both"/>
        <w:rPr>
          <w:i/>
          <w:i/>
          <w:iCs/>
        </w:rPr>
      </w:pPr>
      <w:r>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276"/>
        <w:jc w:val="both"/>
        <w:rPr/>
      </w:pPr>
      <w:r>
        <w:rPr>
          <w:b/>
          <w:bCs/>
        </w:rPr>
        <w:t xml:space="preserve">8.16. </w:t>
      </w:r>
      <w:r>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276"/>
        <w:jc w:val="both"/>
        <w:rPr/>
      </w:pPr>
      <w:r>
        <w:rPr>
          <w:b/>
          <w:bCs/>
        </w:rPr>
        <w:t xml:space="preserve">8.17. </w:t>
      </w:r>
      <w:r>
        <w:rPr/>
        <w:t xml:space="preserve">Oświadczenia wskazane w rozdziale 8.1 i podmiotowe środki dowodowe przekazuje się środkiem komunikacji elektronicznej wskazanym </w:t>
      </w:r>
      <w:r>
        <w:rPr>
          <w:b/>
          <w:bCs/>
        </w:rPr>
        <w:t xml:space="preserve">w rozdziale </w:t>
      </w:r>
      <w:r>
        <w:rPr>
          <w:b/>
          <w:bCs/>
          <w:lang w:val="pl-PL" w:eastAsia="zh-CN" w:bidi="ar-SA"/>
        </w:rPr>
        <w:t>11 .</w:t>
      </w:r>
    </w:p>
    <w:p>
      <w:pPr>
        <w:pStyle w:val="Normal"/>
        <w:spacing w:lineRule="auto" w:line="276"/>
        <w:jc w:val="both"/>
        <w:rPr/>
      </w:pPr>
      <w:r>
        <w:rPr>
          <w:b/>
          <w:bCs/>
        </w:rPr>
        <w:t xml:space="preserve">8.18. </w:t>
      </w:r>
      <w:r>
        <w:rPr/>
        <w:t>W przypadku gdy oświadczenia o których mowa w rozdziale 8.1 lub podmiotowe środki dowodowe zawierają informacje stanowiące tajemnicę przedsiębiorstwa w rozumieniu przepisów ustawy z dnia 16 kwietnia 1993 r. o zwalczaniu nieuczciwej konkurencji (Dz. U.</w:t>
        <w:br/>
        <w:t>z 2020 r. poz. 1913), wykonawca, w celu utrzymania w poufności tych informacji, przekazuje je w wydzielonym i odpowiednio oznaczonym pliku.</w:t>
      </w:r>
    </w:p>
    <w:p>
      <w:pPr>
        <w:pStyle w:val="Normal"/>
        <w:spacing w:lineRule="auto" w:line="276"/>
        <w:jc w:val="both"/>
        <w:rPr/>
      </w:pPr>
      <w:r>
        <w:rPr>
          <w:b/>
          <w:bCs/>
        </w:rPr>
        <w:t>8.19.</w:t>
      </w:r>
      <w:r>
        <w:rPr/>
        <w:t xml:space="preserve"> Podmiotowe środki dowodowe sporządzone w języku obcym przekazuje się wraz</w:t>
        <w:br/>
        <w:t>z tłumaczeniem na język polski.</w:t>
      </w:r>
    </w:p>
    <w:p>
      <w:pPr>
        <w:pStyle w:val="Normal"/>
        <w:spacing w:lineRule="auto" w:line="276"/>
        <w:jc w:val="both"/>
        <w:rPr>
          <w:u w:val="single"/>
        </w:rPr>
      </w:pPr>
      <w:r>
        <w:rPr>
          <w:b/>
          <w:bCs/>
          <w:u w:val="single"/>
        </w:rPr>
        <w:t xml:space="preserve">8.20. </w:t>
      </w:r>
      <w:r>
        <w:rPr>
          <w:u w:val="single"/>
        </w:rPr>
        <w:t>Dokumenty elektroniczne muszą spełniać łącznie następujące wymagania:</w:t>
      </w:r>
    </w:p>
    <w:p>
      <w:pPr>
        <w:pStyle w:val="Normal"/>
        <w:spacing w:lineRule="auto" w:line="276"/>
        <w:jc w:val="both"/>
        <w:rPr/>
      </w:pPr>
      <w:r>
        <w:rPr/>
        <w:t>1) są utrwalone w sposób umożliwiający ich wielokrotne odczytanie, zapisanie i powielenie,</w:t>
        <w:br/>
        <w:t>a także przekazanie przy użyciu środków komunikacji elektronicznej lub na informatycznym nośniku danych;</w:t>
      </w:r>
    </w:p>
    <w:p>
      <w:pPr>
        <w:pStyle w:val="Normal"/>
        <w:spacing w:lineRule="auto" w:line="276"/>
        <w:jc w:val="both"/>
        <w:rPr/>
      </w:pPr>
      <w:r>
        <w:rPr/>
        <w:t>2) umożliwiają prezentację treści w postaci elektronicznej, w szczególności przez wyświetlenie tej treści na monitorze ekranowym;</w:t>
      </w:r>
    </w:p>
    <w:p>
      <w:pPr>
        <w:pStyle w:val="Normal"/>
        <w:spacing w:lineRule="auto" w:line="276"/>
        <w:jc w:val="both"/>
        <w:rPr/>
      </w:pPr>
      <w:r>
        <w:rPr/>
        <w:t>3) umożliwiają prezentację treści w postaci papierowej, w szczególności za pomocą wydruku;</w:t>
      </w:r>
    </w:p>
    <w:p>
      <w:pPr>
        <w:pStyle w:val="Normal"/>
        <w:spacing w:lineRule="auto" w:line="276"/>
        <w:jc w:val="both"/>
        <w:rPr/>
      </w:pPr>
      <w:r>
        <w:rPr/>
        <w:t>4) zawierają dane w układzie niepozostawiającym wątpliwości co do treści i kontekstu zapisanych informacji.</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
          </w:p>
          <w:p>
            <w:pPr>
              <w:pStyle w:val="Normal"/>
              <w:widowControl w:val="false"/>
              <w:spacing w:lineRule="auto" w:line="276"/>
              <w:jc w:val="center"/>
              <w:rPr/>
            </w:pPr>
            <w:r>
              <w:rPr/>
              <w:t>Rozdział 9</w:t>
            </w:r>
          </w:p>
          <w:p>
            <w:pPr>
              <w:pStyle w:val="Normal"/>
              <w:widowControl w:val="false"/>
              <w:spacing w:lineRule="auto" w:line="276"/>
              <w:jc w:val="center"/>
              <w:rPr>
                <w:b/>
                <w:bCs/>
              </w:rPr>
            </w:pPr>
            <w:r>
              <w:rPr>
                <w:b/>
                <w:bCs/>
              </w:rPr>
              <w:t xml:space="preserve">INFORMACJA DLA WYKONAWCÓW POLEGAJĄCYCH </w:t>
              <w:br/>
              <w:t xml:space="preserve">NA ZASOBACH INNYCH PODMIOTÓW, NA ZASADACH OKREŚLONYCH </w:t>
              <w:br/>
              <w:t>W ART. 118 USTAWY PZP ORAZ ZAMIERZAJĄCYCH POWIERZYĆ WYKONANIE CZĘŚCI ZAMÓWIENIA PODWYKONAWCOM</w:t>
            </w:r>
          </w:p>
        </w:tc>
      </w:tr>
    </w:tbl>
    <w:p>
      <w:pPr>
        <w:pStyle w:val="Normal"/>
        <w:numPr>
          <w:ilvl w:val="0"/>
          <w:numId w:val="0"/>
        </w:numPr>
        <w:spacing w:lineRule="auto" w:line="276"/>
        <w:ind w:left="720" w:hanging="0"/>
        <w:rPr/>
      </w:pPr>
      <w:r>
        <w:rPr/>
      </w:r>
    </w:p>
    <w:p>
      <w:pPr>
        <w:pStyle w:val="Normal"/>
        <w:widowControl/>
        <w:numPr>
          <w:ilvl w:val="1"/>
          <w:numId w:val="8"/>
        </w:numPr>
        <w:suppressAutoHyphens w:val="true"/>
        <w:bidi w:val="0"/>
        <w:spacing w:lineRule="auto" w:line="276" w:before="0" w:after="0"/>
        <w:ind w:left="0" w:right="0" w:hanging="0"/>
        <w:jc w:val="both"/>
        <w:rPr/>
      </w:pPr>
      <w:r>
        <w:rPr/>
        <w:t>Wykonawca może w celu potwierdzenia spełniania warunków udziału</w:t>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pPr>
        <w:pStyle w:val="Normal"/>
        <w:widowControl/>
        <w:numPr>
          <w:ilvl w:val="1"/>
          <w:numId w:val="8"/>
        </w:numPr>
        <w:suppressAutoHyphens w:val="true"/>
        <w:bidi w:val="0"/>
        <w:spacing w:lineRule="auto" w:line="276" w:before="0" w:after="0"/>
        <w:ind w:left="0" w:right="0" w:hanging="0"/>
        <w:jc w:val="both"/>
        <w:rPr/>
      </w:pPr>
      <w: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ormal"/>
        <w:widowControl/>
        <w:numPr>
          <w:ilvl w:val="1"/>
          <w:numId w:val="8"/>
        </w:numPr>
        <w:suppressAutoHyphens w:val="true"/>
        <w:bidi w:val="0"/>
        <w:spacing w:lineRule="auto" w:line="276" w:before="0" w:after="0"/>
        <w:ind w:left="0" w:right="0" w:hanging="0"/>
        <w:jc w:val="both"/>
        <w:rPr/>
      </w:pPr>
      <w:r>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Normal"/>
        <w:widowControl/>
        <w:numPr>
          <w:ilvl w:val="1"/>
          <w:numId w:val="8"/>
        </w:numPr>
        <w:suppressAutoHyphens w:val="true"/>
        <w:bidi w:val="0"/>
        <w:spacing w:lineRule="auto" w:line="276" w:before="0" w:after="0"/>
        <w:ind w:left="0" w:right="0" w:hanging="0"/>
        <w:jc w:val="both"/>
        <w:rPr/>
      </w:pPr>
      <w:r>
        <w:rPr/>
        <w:t>Wykonawca, który polega na zdolnościach lub sytuacji podmiotów udostępniających zasoby, składa wraz z ofertą, oświadczenie wstępne  podmiotu udostępniającego zasoby</w:t>
        <w:br/>
        <w:t xml:space="preserve">w zakresie spełnienia warunków udziału w postępowaniu w zakresie w jakim </w:t>
      </w:r>
      <w:r>
        <w:rPr>
          <w:lang w:val="pl-PL" w:eastAsia="zh-CN" w:bidi="ar-SA"/>
        </w:rPr>
        <w:t>udostępnia zasoby</w:t>
      </w:r>
      <w:r>
        <w:rPr/>
        <w:t xml:space="preserve"> i oświadczenie o braku podstaw do wykluczenia (zgodnie ze wzorem zał. nr 4 i 5 do SWZ), oraz zobowiązanie podmiotu udostępniającego zasoby (wzór zobowiązania stanowi załącznik nr 7 do SWZ) do oddania mu do dyspozycji niezbędnych zasobów na potrzeby realizacji danego zamówienia lub inny podmiotowy środek dowodowy potwierdzający, że wykonawca realizując zamówienie, będzie dysponował niezbędnymi zasobami tych podmiotów.</w:t>
      </w:r>
    </w:p>
    <w:p>
      <w:pPr>
        <w:pStyle w:val="Normal"/>
        <w:widowControl/>
        <w:numPr>
          <w:ilvl w:val="1"/>
          <w:numId w:val="8"/>
        </w:numPr>
        <w:suppressAutoHyphens w:val="true"/>
        <w:bidi w:val="0"/>
        <w:spacing w:lineRule="auto" w:line="276" w:before="0" w:after="0"/>
        <w:ind w:left="0" w:right="0" w:hanging="0"/>
        <w:jc w:val="both"/>
        <w:rPr/>
      </w:pPr>
      <w:r>
        <w:rPr/>
        <w:t>Zobowiązanie podmiotu udostępniającego zasoby, o którym mowa w pkt 9.4 potwierdza, że stosunek łączący wykonawcę z podmiotami udostępniającymi zasoby gwarantuje rzeczywisty dostęp do tych zasobów oraz określa w szczególności:</w:t>
      </w:r>
    </w:p>
    <w:p>
      <w:pPr>
        <w:pStyle w:val="Normal"/>
        <w:spacing w:lineRule="auto" w:line="276"/>
        <w:jc w:val="both"/>
        <w:rPr/>
      </w:pPr>
      <w:r>
        <w:rPr/>
        <w:t>1) zakres dostępnych wykonawcy zasobów podmiotu udostępniającego zasoby;</w:t>
      </w:r>
    </w:p>
    <w:p>
      <w:pPr>
        <w:pStyle w:val="Normal"/>
        <w:spacing w:lineRule="auto" w:line="276"/>
        <w:rPr/>
      </w:pPr>
      <w:r>
        <w:rPr/>
        <w:t>2) sposób i okres udostępnienia wykonawcy i wykorzystania przez niego zasobów podmiotu udostępniającego te zasoby przy wykonywaniu zamówienia;</w:t>
      </w:r>
    </w:p>
    <w:p>
      <w:pPr>
        <w:pStyle w:val="Normal"/>
        <w:spacing w:lineRule="auto" w:line="276"/>
        <w:jc w:val="both"/>
        <w:rPr/>
      </w:pPr>
      <w:r>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spacing w:lineRule="auto" w:line="276"/>
        <w:jc w:val="both"/>
        <w:rPr/>
      </w:pPr>
      <w:r>
        <w:rPr>
          <w:b/>
          <w:bCs/>
        </w:rPr>
        <w:t>9.6.</w:t>
      </w:r>
      <w:r>
        <w:rPr/>
        <w:t xml:space="preserve"> 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p>
    <w:p>
      <w:pPr>
        <w:pStyle w:val="Normal"/>
        <w:widowControl/>
        <w:numPr>
          <w:ilvl w:val="0"/>
          <w:numId w:val="0"/>
        </w:numPr>
        <w:suppressAutoHyphens w:val="true"/>
        <w:bidi w:val="0"/>
        <w:spacing w:lineRule="auto" w:line="276" w:before="0" w:after="0"/>
        <w:ind w:left="0" w:right="0" w:hanging="0"/>
        <w:jc w:val="both"/>
        <w:rPr/>
      </w:pPr>
      <w:r>
        <w:rPr>
          <w:b/>
          <w:bCs/>
        </w:rPr>
        <w:t>9.7.</w:t>
      </w:r>
      <w:r>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pPr>
        <w:pStyle w:val="Normal"/>
        <w:widowControl/>
        <w:numPr>
          <w:ilvl w:val="0"/>
          <w:numId w:val="0"/>
        </w:numPr>
        <w:suppressAutoHyphens w:val="true"/>
        <w:bidi w:val="0"/>
        <w:spacing w:lineRule="auto" w:line="276" w:before="0" w:after="0"/>
        <w:ind w:left="0" w:right="0" w:hanging="0"/>
        <w:jc w:val="both"/>
        <w:rPr/>
      </w:pPr>
      <w:r>
        <w:rPr>
          <w:b/>
          <w:bCs/>
        </w:rPr>
        <w:t xml:space="preserve">9.8. </w:t>
      </w:r>
      <w:r>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pPr>
        <w:pStyle w:val="Normal"/>
        <w:widowControl/>
        <w:numPr>
          <w:ilvl w:val="0"/>
          <w:numId w:val="0"/>
        </w:numPr>
        <w:suppressAutoHyphens w:val="true"/>
        <w:bidi w:val="0"/>
        <w:spacing w:lineRule="auto" w:line="276" w:before="0" w:after="0"/>
        <w:ind w:left="0" w:right="0" w:hanging="0"/>
        <w:jc w:val="both"/>
        <w:rPr/>
      </w:pPr>
      <w:r>
        <w:rPr>
          <w:b/>
          <w:bCs/>
        </w:rPr>
        <w:t xml:space="preserve">9.9. </w:t>
      </w:r>
      <w:r>
        <w:rPr/>
        <w:t>Wykonawca, który polega na zdolnościach lub sytuacji innych podmiotów na zasadach określonych w art. 118 ustawy, przedstawia na wezwanie zamawiającego dokumenty wymienione w pkt. 8.3.2 dotyczące tych podmiotów, potwierdzające, że nie zachodzą wobec tych podmiotów podstawy wykluczenia z postępowania</w:t>
      </w:r>
    </w:p>
    <w:p>
      <w:pPr>
        <w:pStyle w:val="Normal"/>
        <w:widowControl/>
        <w:numPr>
          <w:ilvl w:val="0"/>
          <w:numId w:val="0"/>
        </w:numPr>
        <w:suppressAutoHyphens w:val="true"/>
        <w:bidi w:val="0"/>
        <w:spacing w:lineRule="auto" w:line="276" w:before="0" w:after="0"/>
        <w:ind w:left="0" w:right="0" w:hanging="0"/>
        <w:jc w:val="both"/>
        <w:rPr/>
      </w:pPr>
      <w:r>
        <w:rPr>
          <w:b/>
          <w:bCs/>
        </w:rPr>
        <w:t xml:space="preserve">9.10. </w:t>
      </w:r>
      <w:r>
        <w:rPr/>
        <w:t xml:space="preserve">Zamawiający </w:t>
      </w:r>
      <w:r>
        <w:rPr>
          <w:b/>
          <w:bCs/>
        </w:rPr>
        <w:t xml:space="preserve">nie żąda </w:t>
      </w:r>
      <w:r>
        <w:rPr/>
        <w:t>wskazania przez wykonawcę, w ofercie, części zamówienia, których wykonanie zamierza powierzyć podwykonawcom, którzy nie są podmiotami udostępniającymi zasoby, oraz podania nazw ewentualnych podwykonawców.</w:t>
      </w:r>
    </w:p>
    <w:p>
      <w:pPr>
        <w:pStyle w:val="Normal"/>
        <w:widowControl/>
        <w:numPr>
          <w:ilvl w:val="0"/>
          <w:numId w:val="0"/>
        </w:numPr>
        <w:suppressAutoHyphens w:val="true"/>
        <w:bidi w:val="0"/>
        <w:spacing w:lineRule="auto" w:line="276" w:before="0" w:after="0"/>
        <w:ind w:left="0" w:right="0" w:hanging="0"/>
        <w:jc w:val="both"/>
        <w:rPr/>
      </w:pPr>
      <w:r>
        <w:rPr>
          <w:b/>
          <w:bCs/>
        </w:rPr>
        <w:t xml:space="preserve">9.11. </w:t>
      </w:r>
      <w:r>
        <w:rPr/>
        <w:t>W przypadku zamówień na roboty budowlane oraz usługi, które mają być wykonane</w:t>
        <w:b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pPr>
        <w:pStyle w:val="Normal"/>
        <w:widowControl/>
        <w:numPr>
          <w:ilvl w:val="0"/>
          <w:numId w:val="0"/>
        </w:numPr>
        <w:suppressAutoHyphens w:val="true"/>
        <w:bidi w:val="0"/>
        <w:spacing w:lineRule="auto" w:line="276" w:before="0" w:after="0"/>
        <w:ind w:left="0" w:right="0" w:hanging="0"/>
        <w:jc w:val="both"/>
        <w:rPr/>
      </w:pPr>
      <w:r>
        <w:rPr>
          <w:b/>
          <w:bCs/>
        </w:rPr>
        <w:t xml:space="preserve">9.12. </w:t>
      </w:r>
      <w:r>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10</w:t>
            </w:r>
          </w:p>
          <w:p>
            <w:pPr>
              <w:pStyle w:val="Normal"/>
              <w:widowControl w:val="false"/>
              <w:spacing w:lineRule="auto" w:line="276"/>
              <w:jc w:val="center"/>
              <w:rPr>
                <w:b/>
                <w:bCs/>
              </w:rPr>
            </w:pPr>
            <w:r>
              <w:rPr>
                <w:b/>
                <w:bCs/>
              </w:rPr>
              <w:t xml:space="preserve">INFORMACJA DLA WYKONAWCÓW WSPÓLNIE UBIEGAJĄCYCH SIĘ </w:t>
              <w:br/>
              <w:t>O UDZIELENIE ZAMÓWIENIA (W TYM SPÓŁKI CYWILNE)</w:t>
            </w:r>
          </w:p>
        </w:tc>
      </w:tr>
    </w:tbl>
    <w:p>
      <w:pPr>
        <w:pStyle w:val="Normal"/>
        <w:spacing w:lineRule="auto" w:line="276"/>
        <w:rPr/>
      </w:pPr>
      <w:r>
        <w:rPr/>
      </w:r>
    </w:p>
    <w:p>
      <w:pPr>
        <w:pStyle w:val="Normal"/>
        <w:spacing w:lineRule="auto" w:line="276"/>
        <w:rPr/>
      </w:pPr>
      <w:r>
        <w:rPr/>
      </w:r>
    </w:p>
    <w:p>
      <w:pPr>
        <w:pStyle w:val="Normal"/>
        <w:widowControl/>
        <w:numPr>
          <w:ilvl w:val="1"/>
          <w:numId w:val="10"/>
        </w:numPr>
        <w:suppressAutoHyphens w:val="true"/>
        <w:bidi w:val="0"/>
        <w:spacing w:lineRule="auto" w:line="276" w:before="0" w:after="0"/>
        <w:ind w:left="0" w:right="0" w:hanging="0"/>
        <w:jc w:val="both"/>
        <w:rPr/>
      </w:pPr>
      <w:r>
        <w:rPr/>
        <w:t xml:space="preserve">Wykonawcy mogą wspólnie ubiegać się o udzielenie zamówienia. W takim przypadku, </w:t>
      </w:r>
      <w:r>
        <w:rPr>
          <w:b/>
          <w:bCs/>
        </w:rPr>
        <w:t>wykonawcy ustanawiają pełnomocnika do reprezentowania ich</w:t>
        <w:br/>
        <w:t xml:space="preserve">w postępowaniu </w:t>
      </w:r>
      <w:r>
        <w:rPr>
          <w:b w:val="false"/>
          <w:bCs w:val="false"/>
        </w:rPr>
        <w:t>o udzielenie zamówienia</w:t>
      </w:r>
      <w:r>
        <w:rPr/>
        <w:t xml:space="preserve"> albo do reprezentowania w postępowaniu</w:t>
        <w:br/>
        <w:t>i zawarcia umowy w sprawie zamówienia publicznego.</w:t>
      </w:r>
    </w:p>
    <w:p>
      <w:pPr>
        <w:pStyle w:val="Normal"/>
        <w:widowControl/>
        <w:numPr>
          <w:ilvl w:val="1"/>
          <w:numId w:val="10"/>
        </w:numPr>
        <w:suppressAutoHyphens w:val="true"/>
        <w:bidi w:val="0"/>
        <w:spacing w:lineRule="auto" w:line="276" w:before="0" w:after="0"/>
        <w:ind w:left="0" w:right="0" w:hanging="0"/>
        <w:jc w:val="both"/>
        <w:rPr/>
      </w:pPr>
      <w:r>
        <w:rPr/>
        <w:t>W przypadku Wykonawców wspólnie ubiegających się o udzielenie zamówienia:</w:t>
      </w:r>
    </w:p>
    <w:p>
      <w:pPr>
        <w:pStyle w:val="Normal"/>
        <w:widowControl/>
        <w:numPr>
          <w:ilvl w:val="0"/>
          <w:numId w:val="5"/>
        </w:numPr>
        <w:suppressAutoHyphens w:val="true"/>
        <w:bidi w:val="0"/>
        <w:spacing w:lineRule="auto" w:line="276" w:before="0" w:after="0"/>
        <w:ind w:left="0" w:right="0" w:hanging="0"/>
        <w:jc w:val="both"/>
        <w:rPr/>
      </w:pPr>
      <w:r>
        <w:rPr/>
        <w:t xml:space="preserve">oświadczenia o których mowa w pkt. 8.1 SWZ składa </w:t>
      </w:r>
      <w:r>
        <w:rPr>
          <w:b/>
          <w:bCs/>
        </w:rPr>
        <w:t xml:space="preserve">z ofertą </w:t>
      </w:r>
      <w:r>
        <w:rPr/>
        <w:t>każdy</w:t>
        <w:br/>
        <w:t>z Wykonawców wspólnie ubiegających się o zamówienie. Oświadczenia te potwierdzają brak podstaw wykluczenia oraz spełnianie warunków udziału w postępowaniu lub kryteriów selekcji w zakresie, w jakim każdy z wykonawców wykazuje spełnianie warunków udziału</w:t>
        <w:br/>
        <w:t>w postępowaniu lub kryteriów selekcji.</w:t>
      </w:r>
    </w:p>
    <w:p>
      <w:pPr>
        <w:pStyle w:val="Normal"/>
        <w:widowControl/>
        <w:numPr>
          <w:ilvl w:val="0"/>
          <w:numId w:val="5"/>
        </w:numPr>
        <w:suppressAutoHyphens w:val="true"/>
        <w:bidi w:val="0"/>
        <w:spacing w:lineRule="auto" w:line="276" w:before="0" w:after="0"/>
        <w:ind w:left="0" w:right="0" w:hanging="0"/>
        <w:jc w:val="both"/>
        <w:rPr/>
      </w:pPr>
      <w:r>
        <w:rPr/>
        <w:t xml:space="preserve">w przypadku, o którym mowa w rozdziale 6.3 SWZ </w:t>
      </w:r>
      <w:r>
        <w:rPr>
          <w:b/>
          <w:bCs/>
        </w:rPr>
        <w:t>wykonawcy wspólnie</w:t>
      </w:r>
      <w:r>
        <w:rPr/>
        <w:t xml:space="preserve"> ubiegający się o udzielenie zamówienia </w:t>
      </w:r>
      <w:r>
        <w:rPr>
          <w:b/>
          <w:bCs/>
        </w:rPr>
        <w:t>dołączają do oferty</w:t>
      </w:r>
      <w:r>
        <w:rPr/>
        <w:t xml:space="preserve"> oświadczenie, z którego wynika, które roboty budowlane, dostawy lub usługi wykonają poszczególni wykonawcy. Oświadczenie należy złożyć wg wymogów </w:t>
      </w:r>
      <w:r>
        <w:rPr>
          <w:b/>
          <w:bCs/>
        </w:rPr>
        <w:t xml:space="preserve">załącznika nr 6 </w:t>
      </w:r>
      <w:r>
        <w:rPr/>
        <w:t>do SWZ. Oświadczenie to jest podmiotowym środkiem dowodowym.</w:t>
      </w:r>
    </w:p>
    <w:p>
      <w:pPr>
        <w:pStyle w:val="Normal"/>
        <w:widowControl/>
        <w:numPr>
          <w:ilvl w:val="0"/>
          <w:numId w:val="5"/>
        </w:numPr>
        <w:suppressAutoHyphens w:val="true"/>
        <w:bidi w:val="0"/>
        <w:spacing w:lineRule="auto" w:line="276" w:before="0" w:after="0"/>
        <w:ind w:left="0" w:right="0" w:hanging="0"/>
        <w:jc w:val="both"/>
        <w:rPr/>
      </w:pPr>
      <w:r>
        <w:rPr/>
        <w:t>zobowiązani są oni na wezwanie Zamawiającego, złożyć podmiotowe środki dowodowe, o których mowa w pkt. 8.3 SWZ, przy czym podmiotowe środki dowodowe,</w:t>
        <w:br/>
        <w:t>o których mowa:</w:t>
      </w:r>
    </w:p>
    <w:p>
      <w:pPr>
        <w:pStyle w:val="Normal"/>
        <w:widowControl/>
        <w:numPr>
          <w:ilvl w:val="0"/>
          <w:numId w:val="0"/>
        </w:numPr>
        <w:suppressAutoHyphens w:val="true"/>
        <w:bidi w:val="0"/>
        <w:spacing w:lineRule="auto" w:line="276" w:before="0" w:after="0"/>
        <w:ind w:left="0" w:right="0" w:hanging="0"/>
        <w:jc w:val="both"/>
        <w:rPr/>
      </w:pPr>
      <w:r>
        <w:rPr/>
        <w:t>- w pkt. 8.3.1 SWZ składa odpowiednio Wykonawca/Wykonawcy, który/którzy wykazuje/-ą spełnienie warunku</w:t>
      </w:r>
    </w:p>
    <w:p>
      <w:pPr>
        <w:pStyle w:val="Normal"/>
        <w:widowControl/>
        <w:numPr>
          <w:ilvl w:val="0"/>
          <w:numId w:val="0"/>
        </w:numPr>
        <w:suppressAutoHyphens w:val="true"/>
        <w:bidi w:val="0"/>
        <w:spacing w:lineRule="auto" w:line="276" w:before="0" w:after="0"/>
        <w:ind w:left="0" w:right="0" w:hanging="0"/>
        <w:jc w:val="both"/>
        <w:rPr/>
      </w:pPr>
      <w:r>
        <w:rPr/>
        <w:t>- w pkt. 8.3.2 SWZ składa każdy z Wykonawców wspólnie ubiegających się o udzielenie zamówienia.</w:t>
      </w:r>
    </w:p>
    <w:p>
      <w:pPr>
        <w:pStyle w:val="Normal"/>
        <w:widowControl/>
        <w:numPr>
          <w:ilvl w:val="0"/>
          <w:numId w:val="0"/>
        </w:numPr>
        <w:suppressAutoHyphens w:val="true"/>
        <w:bidi w:val="0"/>
        <w:spacing w:lineRule="auto" w:line="276" w:before="0" w:after="0"/>
        <w:ind w:left="0" w:right="0" w:hanging="0"/>
        <w:jc w:val="both"/>
        <w:rPr/>
      </w:pPr>
      <w:r>
        <w:rPr>
          <w:b/>
          <w:bCs/>
        </w:rPr>
        <w:t xml:space="preserve">10.3. </w:t>
      </w:r>
      <w:r>
        <w:rPr/>
        <w:t>Jeżeli została wybrana oferta wykonawców wspólnie ubiegających się o udzielenie zamówienia, zamawiający może żądać przed zawarciem umowy w sprawie zamówienia publicznego kopii umowy regulującej współpracę tych wykonawców.</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11</w:t>
            </w:r>
          </w:p>
          <w:p>
            <w:pPr>
              <w:pStyle w:val="Normal"/>
              <w:widowControl w:val="false"/>
              <w:spacing w:lineRule="auto" w:line="276"/>
              <w:jc w:val="center"/>
              <w:rPr>
                <w:b/>
                <w:bCs/>
              </w:rPr>
            </w:pPr>
            <w:r>
              <w:rPr>
                <w:b/>
                <w:bC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pPr>
        <w:pStyle w:val="Normal"/>
        <w:spacing w:lineRule="auto" w:line="276"/>
        <w:rPr/>
      </w:pPr>
      <w:r>
        <w:rPr/>
      </w:r>
    </w:p>
    <w:p>
      <w:pPr>
        <w:pStyle w:val="Normal"/>
        <w:spacing w:lineRule="auto" w:line="276"/>
        <w:jc w:val="both"/>
        <w:rPr/>
      </w:pPr>
      <w:r>
        <w:rPr>
          <w:b/>
          <w:bCs/>
        </w:rPr>
        <w:t xml:space="preserve">11.1. </w:t>
      </w:r>
      <w:r>
        <w:rPr/>
        <w:t xml:space="preserve">Postępowanie o udzielenie zamówienia prowadzone jest w języku polskim </w:t>
      </w:r>
      <w:r>
        <w:rPr>
          <w:lang w:val="pl-PL" w:eastAsia="zh-CN" w:bidi="hi-IN"/>
        </w:rPr>
        <w:t>przy użyciu środka komunikacji elektronicznej</w:t>
      </w:r>
      <w:r>
        <w:rPr/>
        <w:t xml:space="preserve"> jakim jest Platforma zakupowa dostępna na profilu nabywcy pod adresem: </w:t>
      </w:r>
      <w:hyperlink r:id="rId23">
        <w:r>
          <w:rPr>
            <w:rStyle w:val="Czeinternetowe"/>
          </w:rPr>
          <w:t>https://platformazakupowa.pl/pn/wlodawa</w:t>
        </w:r>
      </w:hyperlink>
      <w:r>
        <w:rPr>
          <w:rStyle w:val="Czeinternetowe"/>
        </w:rPr>
        <w:t xml:space="preserve">. </w:t>
      </w:r>
      <w:r>
        <w:rPr/>
        <w:t>Komunikacja</w:t>
        <w:br/>
        <w:t xml:space="preserve">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  </w:t>
      </w:r>
    </w:p>
    <w:p>
      <w:pPr>
        <w:pStyle w:val="Normal"/>
        <w:spacing w:lineRule="auto" w:line="276"/>
        <w:jc w:val="both"/>
        <w:rPr/>
      </w:pPr>
      <w:r>
        <w:rPr>
          <w:b/>
          <w:bCs/>
        </w:rPr>
        <w:t xml:space="preserve">11.2. </w:t>
      </w:r>
      <w:r>
        <w:rPr/>
        <w:t xml:space="preserve">Osobami uprawnionymi do kontaktu z Wykonawcami </w:t>
      </w:r>
      <w:r>
        <w:rPr>
          <w:lang w:val="pl-PL" w:eastAsia="pl-PL" w:bidi="ar-SA"/>
        </w:rPr>
        <w:t>są</w:t>
      </w:r>
      <w:r>
        <w:rPr/>
        <w:t xml:space="preserve">: </w:t>
      </w:r>
      <w:r>
        <w:rPr>
          <w:lang w:val="pl-PL" w:eastAsia="zh-CN" w:bidi="hi-IN"/>
        </w:rPr>
        <w:t>Pani Aneta Myć – sprawy formalne oraz Pan Leszek Wiatrowski – zagadnienia dot. przedmiotu zamówienia.</w:t>
      </w:r>
    </w:p>
    <w:p>
      <w:pPr>
        <w:pStyle w:val="Normal"/>
        <w:spacing w:lineRule="auto" w:line="276"/>
        <w:jc w:val="both"/>
        <w:rPr/>
      </w:pPr>
      <w:r>
        <w:rPr>
          <w:b/>
          <w:bCs/>
          <w:lang w:val="pl-PL" w:eastAsia="zh-CN" w:bidi="hi-IN"/>
        </w:rPr>
        <w:t xml:space="preserve">11.3. </w:t>
      </w:r>
      <w:r>
        <w:rPr/>
        <w:t xml:space="preserve"> W zakresie pytań technicznych związanych z działaniem systemu zaleca się kontakt</w:t>
        <w:br/>
        <w:t xml:space="preserve">z Centrum Wsparcia Klienta  </w:t>
      </w:r>
      <w:hyperlink r:id="rId24">
        <w:r>
          <w:rPr>
            <w:rStyle w:val="Czeinternetowe"/>
          </w:rPr>
          <w:t>platformazakupowa.pl</w:t>
        </w:r>
      </w:hyperlink>
      <w:r>
        <w:rPr>
          <w:rStyle w:val="Czeinternetowe"/>
        </w:rPr>
        <w:t xml:space="preserve"> </w:t>
      </w:r>
      <w:r>
        <w:rPr>
          <w:rStyle w:val="Czeinternetowe"/>
          <w:color w:val="000000"/>
          <w:u w:val="none"/>
        </w:rPr>
        <w:t>pod numerem (22) 101 02 02, cwk@platformazakupowa.pl.</w:t>
      </w:r>
    </w:p>
    <w:p>
      <w:pPr>
        <w:pStyle w:val="Normal"/>
        <w:spacing w:lineRule="auto" w:line="276"/>
        <w:jc w:val="both"/>
        <w:rPr/>
      </w:pPr>
      <w:r>
        <w:rPr>
          <w:rStyle w:val="Czeinternetowe"/>
          <w:b/>
          <w:bCs/>
          <w:color w:val="000000"/>
          <w:u w:val="none"/>
        </w:rPr>
        <w:t>11.4.</w:t>
      </w:r>
      <w:r>
        <w:rPr>
          <w:rStyle w:val="Czeinternetowe"/>
          <w:color w:val="000000"/>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25">
        <w:r>
          <w:rPr>
            <w:rStyle w:val="Czeinternetowe"/>
            <w:color w:val="000000"/>
            <w:u w:val="none"/>
          </w:rPr>
          <w:t>https://platformazakupowa.pl/strona/45-instrukcje</w:t>
        </w:r>
      </w:hyperlink>
      <w:r>
        <w:rPr>
          <w:rStyle w:val="Czeinternetowe"/>
          <w:color w:val="000000"/>
          <w:u w:val="none"/>
        </w:rPr>
        <w:t>.</w:t>
      </w:r>
    </w:p>
    <w:p>
      <w:pPr>
        <w:pStyle w:val="Normal"/>
        <w:spacing w:lineRule="auto" w:line="276"/>
        <w:jc w:val="both"/>
        <w:rPr/>
      </w:pPr>
      <w:r>
        <w:rPr>
          <w:rStyle w:val="Czeinternetowe"/>
          <w:color w:val="000000"/>
          <w:u w:val="none"/>
        </w:rPr>
        <w:t>Zasady składania ofert oraz dokumentów składanych wraz z ofertą oraz wymagania techniczne i organizacyjne ich wysyłania opisane zostały w Instrukcji użytkownika. Wykonawca zobowiązany jest zapoznać się z ww. Instrukcją i postępować według zasad</w:t>
        <w:br/>
        <w:t xml:space="preserve">w niej wskazanych. </w:t>
      </w:r>
    </w:p>
    <w:p>
      <w:pPr>
        <w:pStyle w:val="Normal"/>
        <w:spacing w:lineRule="auto" w:line="276"/>
        <w:jc w:val="both"/>
        <w:rPr/>
      </w:pPr>
      <w:r>
        <w:rPr/>
        <w:t xml:space="preserve">Wykonawca, przystępując do niniejszego postępowania o udzielenie zamówienia publicznego akceptuje warunki korzystania z </w:t>
      </w:r>
      <w:hyperlink r:id="rId26">
        <w:r>
          <w:rPr>
            <w:rStyle w:val="Czeinternetowe"/>
          </w:rPr>
          <w:t>platformazakupowa.pl</w:t>
        </w:r>
      </w:hyperlink>
      <w:r>
        <w:rPr/>
        <w:t xml:space="preserve"> określone w Regulaminie zamieszczonym na stronie internetowej </w:t>
      </w:r>
      <w:hyperlink r:id="rId27">
        <w:r>
          <w:rPr>
            <w:rStyle w:val="Czeinternetowe"/>
          </w:rPr>
          <w:t>pod linkiem</w:t>
        </w:r>
      </w:hyperlink>
      <w:r>
        <w:rPr/>
        <w:t xml:space="preserve">  w zakładce „Regulamin" </w:t>
      </w:r>
      <w:r>
        <w:rPr>
          <w:lang w:val="pl-PL" w:eastAsia="zh-CN" w:bidi="hi-IN"/>
        </w:rPr>
        <w:t>i</w:t>
      </w:r>
      <w:r>
        <w:rPr/>
        <w:t xml:space="preserve"> uznaje go za wiążący, oraz </w:t>
      </w:r>
      <w:r>
        <w:rPr>
          <w:lang w:val="pl-PL" w:eastAsia="zh-CN" w:bidi="hi-IN"/>
        </w:rPr>
        <w:t>akceptuje zasady korzystania z platformy zakupowej wskazane w Instrukcji użytkownika i SWZ.</w:t>
      </w:r>
    </w:p>
    <w:p>
      <w:pPr>
        <w:pStyle w:val="Normal"/>
        <w:spacing w:lineRule="auto" w:line="276"/>
        <w:jc w:val="both"/>
        <w:rPr/>
      </w:pPr>
      <w:r>
        <w:rPr>
          <w:b/>
          <w:bCs/>
        </w:rPr>
        <w:t>11.5.</w:t>
      </w:r>
      <w:r>
        <w:rPr/>
        <w:t xml:space="preserve"> Zamawiający informuje, że posiadanie konta na Platformie jest dobrowolne, a złożenie oferty w postępowaniu jest możliwe bez posiadania konta.</w:t>
      </w:r>
    </w:p>
    <w:p>
      <w:pPr>
        <w:pStyle w:val="Normal"/>
        <w:spacing w:lineRule="auto" w:line="276"/>
        <w:jc w:val="both"/>
        <w:rPr/>
      </w:pPr>
      <w:r>
        <w:rPr>
          <w:b/>
          <w:bCs/>
        </w:rPr>
        <w:t>11.6.</w:t>
      </w:r>
      <w:r>
        <w:rPr/>
        <w:t xml:space="preserve"> Zamawiający podaje wymagania techniczne związane z korzystaniem z Platformy:</w:t>
      </w:r>
    </w:p>
    <w:p>
      <w:pPr>
        <w:pStyle w:val="Normal"/>
        <w:spacing w:lineRule="auto" w:line="276"/>
        <w:jc w:val="both"/>
        <w:rPr/>
      </w:pPr>
      <w:r>
        <w:rPr/>
        <w:t>a) stały dostęp do sieci Internet o gwarantowanej przepustowości nie mniejszej niż 512 kb/s,</w:t>
      </w:r>
    </w:p>
    <w:p>
      <w:pPr>
        <w:pStyle w:val="Normal"/>
        <w:spacing w:lineRule="auto" w:line="276"/>
        <w:jc w:val="both"/>
        <w:rPr/>
      </w:pPr>
      <w:r>
        <w:rPr/>
        <w:t>b) komputer klasy PC lub MAC o następującej konfiguracji: pamięć min. 2 GB Ram, procesor Intel IV 2 GHZ lub jego nowsza wersja, jeden z systemów operacyjnych - MS Windows 7, Mac Os x 10 4, Linux, lub ich nowsze wersje,</w:t>
      </w:r>
    </w:p>
    <w:p>
      <w:pPr>
        <w:pStyle w:val="Normal"/>
        <w:spacing w:lineRule="auto" w:line="276"/>
        <w:jc w:val="both"/>
        <w:rPr/>
      </w:pPr>
      <w:r>
        <w:rPr/>
        <w:t>c) zainstalowana dowolna przeglądarka internetowa, w przypadku Internet Explorer minimalnie wersja 10.0,</w:t>
      </w:r>
    </w:p>
    <w:p>
      <w:pPr>
        <w:pStyle w:val="Normal"/>
        <w:spacing w:lineRule="auto" w:line="276"/>
        <w:jc w:val="both"/>
        <w:rPr/>
      </w:pPr>
      <w:r>
        <w:rPr/>
        <w:t>d) włączona obsługa JavaScript,</w:t>
      </w:r>
    </w:p>
    <w:p>
      <w:pPr>
        <w:pStyle w:val="Normal"/>
        <w:spacing w:lineRule="auto" w:line="276"/>
        <w:jc w:val="both"/>
        <w:rPr/>
      </w:pPr>
      <w:r>
        <w:rPr/>
        <w:t>e) zainstalowany program Adobe Acrobat Reader lub inny obsługujący format plików .pdf,</w:t>
      </w:r>
    </w:p>
    <w:p>
      <w:pPr>
        <w:pStyle w:val="Normal"/>
        <w:spacing w:lineRule="auto" w:line="276"/>
        <w:jc w:val="both"/>
        <w:rPr/>
      </w:pPr>
      <w:r>
        <w:rPr/>
        <w:t>f) szyfrowanie na platformazakupowa.pl odbywa się za pomocą protokołu TLS 1.3,</w:t>
      </w:r>
    </w:p>
    <w:p>
      <w:pPr>
        <w:pStyle w:val="Normal"/>
        <w:spacing w:lineRule="auto" w:line="276"/>
        <w:jc w:val="both"/>
        <w:rPr/>
      </w:pPr>
      <w:r>
        <w:rPr/>
        <w:t>g) oznaczenie czasu odbioru danych przez platformę zakupową stanowi datę oraz dokładny czas (hh:mm:ss) generowany wg. czasu lokalnego serwera synchronizowanego z zegarem Głównego Urzędu Miar,</w:t>
      </w:r>
    </w:p>
    <w:p>
      <w:pPr>
        <w:pStyle w:val="Normal"/>
        <w:spacing w:lineRule="auto" w:line="276"/>
        <w:jc w:val="both"/>
        <w:rPr/>
      </w:pPr>
      <w:r>
        <w:rPr/>
        <w:t>h) maksymalny rozmiar jednego pliku przesyłanego za pośrednictwem dedykowanych formularzy do: złożenia, zmiany, wycofania oferty wynosi 150 MB natomiast przy komunikacji wielkość pliku to maksymalnie 500 MB,</w:t>
      </w:r>
    </w:p>
    <w:p>
      <w:pPr>
        <w:pStyle w:val="Normal"/>
        <w:spacing w:lineRule="auto" w:line="276"/>
        <w:jc w:val="both"/>
        <w:rPr/>
      </w:pPr>
      <w:r>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28">
        <w:r>
          <w:rPr>
            <w:rStyle w:val="Czeinternetowe"/>
          </w:rPr>
          <w:t>https://platformazakupowa.pl/strona/1-regulamin</w:t>
        </w:r>
      </w:hyperlink>
      <w:r>
        <w:rPr/>
        <w:t>.</w:t>
      </w:r>
    </w:p>
    <w:p>
      <w:pPr>
        <w:pStyle w:val="Normal"/>
        <w:spacing w:lineRule="auto" w:line="276"/>
        <w:jc w:val="both"/>
        <w:rPr/>
      </w:pPr>
      <w:r>
        <w:rPr>
          <w:b/>
          <w:bCs/>
        </w:rPr>
        <w:t>11.7.</w:t>
      </w:r>
      <w:r>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9">
        <w:r>
          <w:rPr>
            <w:rStyle w:val="Czeinternetowe"/>
          </w:rPr>
          <w:t>https://platformazakupowa.pl/pn/wlodawa</w:t>
        </w:r>
      </w:hyperlink>
      <w:r>
        <w:rPr>
          <w:rStyle w:val="Czeinternetowe"/>
        </w:rPr>
        <w:t xml:space="preserve"> </w:t>
      </w:r>
      <w:r>
        <w:rPr/>
        <w:t>,</w:t>
        <w:br/>
        <w:t>w zakładce dedykowanej postępowaniu.</w:t>
      </w:r>
    </w:p>
    <w:p>
      <w:pPr>
        <w:pStyle w:val="Normal"/>
        <w:spacing w:lineRule="auto" w:line="276"/>
        <w:jc w:val="both"/>
        <w:rPr/>
      </w:pPr>
      <w:r>
        <w:rPr>
          <w:b/>
          <w:bCs/>
        </w:rPr>
        <w:t>11.8.</w:t>
      </w:r>
      <w:r>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pPr>
        <w:pStyle w:val="Normal"/>
        <w:spacing w:lineRule="auto" w:line="276"/>
        <w:jc w:val="both"/>
        <w:rPr/>
      </w:pPr>
      <w:r>
        <w:rPr>
          <w:b/>
          <w:bCs/>
        </w:rPr>
        <w:t>11.9.</w:t>
      </w:r>
      <w:r>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pPr>
        <w:pStyle w:val="Normal"/>
        <w:spacing w:lineRule="auto" w:line="276"/>
        <w:jc w:val="both"/>
        <w:rPr/>
      </w:pPr>
      <w:r>
        <w:rPr>
          <w:b/>
          <w:bCs/>
        </w:rPr>
        <w:t xml:space="preserve">11.10. </w:t>
      </w:r>
      <w:r>
        <w:rPr/>
        <w:t xml:space="preserve">Zamawiający będzie przekazywał wykonawcom informacje w formie elektronicznej za pośrednictwem </w:t>
      </w:r>
      <w:hyperlink r:id="rId30">
        <w:r>
          <w:rPr>
            <w:rStyle w:val="Czeinternetowe"/>
          </w:rPr>
          <w:t>platformazakupowa.pl</w:t>
        </w:r>
      </w:hyperlink>
      <w:r>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Pr>
            <w:rStyle w:val="Czeinternetowe"/>
          </w:rPr>
          <w:t>platformazakupowa.pl</w:t>
        </w:r>
      </w:hyperlink>
      <w:r>
        <w:rPr/>
        <w:t xml:space="preserve"> do konkretnego wykonawcy.</w:t>
      </w:r>
    </w:p>
    <w:p>
      <w:pPr>
        <w:pStyle w:val="Normal"/>
        <w:spacing w:lineRule="auto" w:line="276"/>
        <w:jc w:val="both"/>
        <w:rPr/>
      </w:pPr>
      <w:r>
        <w:rPr>
          <w:b/>
          <w:bCs/>
        </w:rPr>
        <w:t xml:space="preserve">11.11. </w:t>
      </w:r>
      <w:r>
        <w:rPr/>
        <w:t>Wykonawca jako podmiot profesjonalny ma obowiązek sprawdzania komunikatów</w:t>
        <w:br/>
        <w:t>i wiadomości bezpośrednio na platformazakupowa.pl przesłanych przez zamawiającego, gdyż system powiadomień może ulec awarii lub powiadomienie może trafić do folderu SPAM.</w:t>
      </w:r>
    </w:p>
    <w:p>
      <w:pPr>
        <w:pStyle w:val="Normal"/>
        <w:spacing w:lineRule="auto" w:line="276"/>
        <w:jc w:val="both"/>
        <w:rPr/>
      </w:pPr>
      <w:r>
        <w:rPr>
          <w:b/>
          <w:bCs/>
        </w:rPr>
        <w:t>11.12.</w:t>
      </w:r>
      <w:r>
        <w:rPr/>
        <w:t xml:space="preserve"> </w:t>
      </w:r>
      <w:r>
        <w:rPr>
          <w:b/>
          <w:bCs/>
        </w:rPr>
        <w:t xml:space="preserve">Zamawiający nie ponosi odpowiedzialności za złożenie oferty w sposób niezgodny z Instrukcją korzystania z </w:t>
      </w:r>
      <w:hyperlink r:id="rId32">
        <w:r>
          <w:rPr>
            <w:rStyle w:val="Czeinternetowe"/>
            <w:b/>
            <w:bCs/>
          </w:rPr>
          <w:t>platformazakupowa.pl</w:t>
        </w:r>
      </w:hyperlink>
      <w:r>
        <w:rPr>
          <w:b/>
          <w:bCs/>
        </w:rPr>
        <w:t>,</w:t>
      </w:r>
      <w:r>
        <w:rPr/>
        <w:t xml:space="preserve"> w szczególności za sytuację, gdy zamawiający zapozna się z treścią oferty przed upływem terminu składania ofert (np. złożenie oferty w zakładce „Wyślij wiadomość do zamawiającego”).</w:t>
      </w:r>
    </w:p>
    <w:p>
      <w:pPr>
        <w:pStyle w:val="Normal"/>
        <w:spacing w:lineRule="auto" w:line="276"/>
        <w:jc w:val="both"/>
        <w:rPr/>
      </w:pPr>
      <w:r>
        <w:rPr>
          <w:b/>
          <w:bCs/>
        </w:rPr>
        <w:t>11.13.</w:t>
      </w:r>
      <w:r>
        <w:rPr/>
        <w:t xml:space="preserve"> Zamawiający informuje, że instrukcje korzystania z </w:t>
      </w:r>
      <w:hyperlink r:id="rId33">
        <w:r>
          <w:rPr>
            <w:rStyle w:val="Czeinternetowe"/>
          </w:rPr>
          <w:t>platformazakupowa.pl</w:t>
        </w:r>
      </w:hyperlink>
      <w:r>
        <w:rPr/>
        <w:t xml:space="preserve"> dotyczące w szczególności logowania, składania wniosków o wyjaśnienie treści SWZ, składania ofert oraz innych czynności podejmowanych w niniejszym postępowaniu przy użyciu </w:t>
      </w:r>
      <w:hyperlink r:id="rId34">
        <w:r>
          <w:rPr>
            <w:rStyle w:val="Czeinternetowe"/>
          </w:rPr>
          <w:t>platformazakupowa.pl</w:t>
        </w:r>
      </w:hyperlink>
      <w:r>
        <w:rPr/>
        <w:t xml:space="preserve"> znajdują się w zakładce „Instrukcje dla Wykonawców" na stronie internetowej pod adresem: </w:t>
      </w:r>
      <w:hyperlink r:id="rId35">
        <w:r>
          <w:rPr>
            <w:rStyle w:val="Czeinternetowe"/>
          </w:rPr>
          <w:t>https://platformazakupowa.pl/strona/45-instrukcje</w:t>
        </w:r>
      </w:hyperlink>
    </w:p>
    <w:p>
      <w:pPr>
        <w:pStyle w:val="Normal"/>
        <w:spacing w:lineRule="auto" w:line="276"/>
        <w:rPr/>
      </w:pPr>
      <w:r>
        <w:rPr/>
      </w:r>
    </w:p>
    <w:p>
      <w:pPr>
        <w:pStyle w:val="Normal"/>
        <w:spacing w:lineRule="auto" w:line="276"/>
        <w:jc w:val="center"/>
        <w:rPr>
          <w:b/>
          <w:bCs/>
        </w:rPr>
      </w:pPr>
      <w:r>
        <w:rPr>
          <w:b/>
          <w:bCs/>
        </w:rPr>
        <w:t>S k ł a d a n i e   o f e r t.</w:t>
      </w:r>
    </w:p>
    <w:p>
      <w:pPr>
        <w:pStyle w:val="Normal"/>
        <w:spacing w:lineRule="auto" w:line="276"/>
        <w:rPr/>
      </w:pPr>
      <w:r>
        <w:rPr/>
      </w:r>
    </w:p>
    <w:p>
      <w:pPr>
        <w:pStyle w:val="Normal"/>
        <w:spacing w:lineRule="auto" w:line="276"/>
        <w:jc w:val="both"/>
        <w:rPr/>
      </w:pPr>
      <w:r>
        <w:rPr>
          <w:b/>
          <w:bCs/>
        </w:rPr>
        <w:t xml:space="preserve">11.14. Ofertę składa się, pod rygorem nieważności, w formie elektronicznej lub w postaci elektronicznej opatrzonej podpisem zaufanym lub podpisem osobistym przez osobę/osoby upoważnioną/upoważnione. </w:t>
      </w:r>
      <w:r>
        <w:rPr/>
        <w:t xml:space="preserve">Wykonawca składa ofertę za pośrednictwem Formularza do złożenia oferty dostępnego na </w:t>
      </w:r>
      <w:hyperlink r:id="rId36">
        <w:r>
          <w:rPr>
            <w:rStyle w:val="Czeinternetowe"/>
          </w:rPr>
          <w:t>https://platformazakupowa.pl/pn/wlodawa</w:t>
        </w:r>
      </w:hyperlink>
      <w:r>
        <w:rPr>
          <w:rStyle w:val="Czeinternetowe"/>
        </w:rPr>
        <w:t xml:space="preserve"> </w:t>
      </w:r>
      <w:r>
        <w:rPr/>
        <w:t>,</w:t>
        <w:br/>
        <w:t xml:space="preserve">w myśl ustawy na  stronie internetowej prowadzonego postępowania tylko do </w:t>
      </w:r>
      <w:r>
        <w:rPr>
          <w:lang w:val="pl-PL" w:eastAsia="zh-CN" w:bidi="hi-IN"/>
        </w:rPr>
        <w:t>upływu terminu składania ofert.</w:t>
      </w:r>
    </w:p>
    <w:p>
      <w:pPr>
        <w:pStyle w:val="Normal"/>
        <w:spacing w:lineRule="auto" w:line="276"/>
        <w:jc w:val="both"/>
        <w:rPr/>
      </w:pPr>
      <w:r>
        <w:rPr>
          <w:b/>
          <w:bCs/>
        </w:rPr>
        <w:t xml:space="preserve">11.15. </w:t>
      </w:r>
      <w:r>
        <w:rPr/>
        <w:t>Do oferty należy dołączyć wszystkie wymagane w SWZ dokumenty wskazane w pkt. 13.4. SWZ, w formie elektronicznej (z podpisem kwalifikowanym) lub postaci elektronicznej opatrzonej podpisem zaufanym lub podpisem osobistym.</w:t>
      </w:r>
    </w:p>
    <w:p>
      <w:pPr>
        <w:pStyle w:val="Normal"/>
        <w:spacing w:lineRule="auto" w:line="276"/>
        <w:jc w:val="both"/>
        <w:rPr/>
      </w:pPr>
      <w:r>
        <w:rPr>
          <w:b/>
          <w:bCs/>
        </w:rPr>
        <w:t xml:space="preserve">11.16. </w:t>
      </w:r>
      <w:r>
        <w:rPr/>
        <w:t>Podpisy kwalifikowane wykorzystywane przez Wykonawców do podpisywania wszelkich plików muszą spełniać „Rozporządzenie Parlamentu Europejskiego i Rady</w:t>
        <w:br/>
        <w:t>w sprawie identyfikacji elektronicznej i usług zaufania w odniesieniu do transakcji elektronicznych na rynku wewnętrznym (eIDAS)(EU) nr 910/2014 – od 1 lipca 2016 roku.”</w:t>
      </w:r>
    </w:p>
    <w:p>
      <w:pPr>
        <w:pStyle w:val="Normal"/>
        <w:spacing w:lineRule="auto" w:line="276"/>
        <w:jc w:val="both"/>
        <w:rPr/>
      </w:pPr>
      <w:r>
        <w:rPr/>
        <w:t>W przypadku wykorzystania formatu podpisu XAdES zewnętrzny Zamawiający wymaga dołączenia odpowiedniej liczby plików, tj. Podpisanych plików z danymi oraz plików podpisu w formacie XAdES.</w:t>
      </w:r>
    </w:p>
    <w:p>
      <w:pPr>
        <w:pStyle w:val="Normal"/>
        <w:spacing w:lineRule="auto" w:line="276"/>
        <w:jc w:val="both"/>
        <w:rPr/>
      </w:pPr>
      <w:r>
        <w:rPr>
          <w:b/>
          <w:bCs/>
        </w:rPr>
        <w:t>11.17.</w:t>
      </w:r>
      <w:r>
        <w:rPr/>
        <w:t xml:space="preserve"> UWAGA! Jeżeli dokumenty elektroniczne, przekazywane przy użyciu środków komunikacji elektronicznej, zawierają informacje stanowiące tajemnicę przedsiębiorstwa</w:t>
        <w:br/>
        <w:t>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w:t>
        <w:br/>
        <w:t>w formularzu składania oferty znajduje się miejsce wyznaczone do dołączenia części oferty stanowiącej tajemnicę przedsiębiorstwa.</w:t>
      </w:r>
    </w:p>
    <w:p>
      <w:pPr>
        <w:pStyle w:val="Normal"/>
        <w:spacing w:lineRule="auto" w:line="276"/>
        <w:jc w:val="both"/>
        <w:rPr/>
      </w:pPr>
      <w:r>
        <w:rPr>
          <w:b/>
          <w:bCs/>
        </w:rPr>
        <w:t>11.18.</w:t>
      </w:r>
      <w:r>
        <w:rPr/>
        <w:t xml:space="preserve"> Wykonawca, za pośrednictwem </w:t>
      </w:r>
      <w:hyperlink r:id="rId37">
        <w:r>
          <w:rPr>
            <w:rStyle w:val="Czeinternetowe"/>
          </w:rPr>
          <w:t>platformazakupowa.pl</w:t>
        </w:r>
      </w:hyperlink>
      <w:r>
        <w:rPr/>
        <w:t xml:space="preserve"> może przed upływem terminu do składania ofert zmienić lub wycofać ofertę. Sposób dokonywania zmiany lub wycofania oferty zamieszczono w instrukcji zamieszczonej na stronie internetowej pod adresem: </w:t>
      </w:r>
      <w:hyperlink r:id="rId38">
        <w:r>
          <w:rPr>
            <w:rStyle w:val="Czeinternetowe"/>
          </w:rPr>
          <w:t>https://platformazakupowa.pl/strona/45-instrukcje</w:t>
        </w:r>
      </w:hyperlink>
    </w:p>
    <w:p>
      <w:pPr>
        <w:pStyle w:val="Normal"/>
        <w:spacing w:lineRule="auto" w:line="276"/>
        <w:jc w:val="both"/>
        <w:rPr/>
      </w:pPr>
      <w:r>
        <w:rPr>
          <w:b/>
          <w:bCs/>
        </w:rPr>
        <w:t>11.19.</w:t>
      </w:r>
      <w:r>
        <w:rPr/>
        <w:t xml:space="preserve"> Po wypełnieniu Formularza składania oferty lub wniosku i dołączenia wszystkich wymaganych załączników należy kliknąć przycisk „Przejdź do podsumowania”.</w:t>
      </w:r>
    </w:p>
    <w:p>
      <w:pPr>
        <w:pStyle w:val="Normal"/>
        <w:spacing w:lineRule="auto" w:line="276"/>
        <w:jc w:val="both"/>
        <w:rPr/>
      </w:pPr>
      <w:r>
        <w:rPr>
          <w:b/>
          <w:bCs/>
        </w:rPr>
        <w:t xml:space="preserve">11.20. </w:t>
      </w:r>
      <w:r>
        <w:rPr/>
        <w:t>Za datę złożenia oferty przyjmuje się datę jej przekazania w systemie (platformie)</w:t>
        <w:br/>
        <w:t>w drugim kroku składania oferty poprzez kliknięcie przycisku „Złóż ofertę” i wyświetlenie się komunikatu, że oferta została zaszyfrowana i złożona.</w:t>
      </w:r>
    </w:p>
    <w:p>
      <w:pPr>
        <w:pStyle w:val="Normal"/>
        <w:spacing w:lineRule="auto" w:line="276"/>
        <w:jc w:val="both"/>
        <w:rPr/>
      </w:pPr>
      <w:r>
        <w:rPr>
          <w:b/>
          <w:bCs/>
        </w:rPr>
        <w:t xml:space="preserve">11.21. </w:t>
      </w:r>
      <w:r>
        <w:rPr/>
        <w:t>Wykonawca po upływie terminu składania ofert nie może skutecznie dokonać zmiany ani wycofać złożonej oferty.</w:t>
      </w:r>
    </w:p>
    <w:p>
      <w:pPr>
        <w:pStyle w:val="Normal"/>
        <w:spacing w:lineRule="auto" w:line="276"/>
        <w:rPr/>
      </w:pPr>
      <w:r>
        <w:rPr/>
      </w:r>
    </w:p>
    <w:p>
      <w:pPr>
        <w:pStyle w:val="Normal"/>
        <w:spacing w:lineRule="auto" w:line="276"/>
        <w:rPr/>
      </w:pPr>
      <w:r>
        <w:rPr/>
      </w:r>
    </w:p>
    <w:p>
      <w:pPr>
        <w:pStyle w:val="Normal"/>
        <w:spacing w:lineRule="auto" w:line="276"/>
        <w:jc w:val="center"/>
        <w:rPr>
          <w:b/>
          <w:bCs/>
        </w:rPr>
      </w:pPr>
      <w:r>
        <w:rPr>
          <w:b/>
          <w:bCs/>
        </w:rPr>
        <w:t>Składanie dokumentów innych niż oferty oraz oświadczenia,</w:t>
      </w:r>
    </w:p>
    <w:p>
      <w:pPr>
        <w:pStyle w:val="Normal"/>
        <w:spacing w:lineRule="auto" w:line="276"/>
        <w:jc w:val="center"/>
        <w:rPr>
          <w:b/>
          <w:bCs/>
        </w:rPr>
      </w:pPr>
      <w:r>
        <w:rPr>
          <w:b/>
          <w:bCs/>
        </w:rPr>
        <w:t xml:space="preserve"> </w:t>
      </w:r>
      <w:r>
        <w:rPr>
          <w:b/>
          <w:bCs/>
        </w:rPr>
        <w:t xml:space="preserve">o których mowa w rozdziale 8.1 SWZ. </w:t>
      </w:r>
    </w:p>
    <w:p>
      <w:pPr>
        <w:pStyle w:val="Normal"/>
        <w:spacing w:lineRule="auto" w:line="276"/>
        <w:rPr/>
      </w:pPr>
      <w:r>
        <w:rPr/>
      </w:r>
    </w:p>
    <w:p>
      <w:pPr>
        <w:pStyle w:val="Normal"/>
        <w:spacing w:lineRule="auto" w:line="276"/>
        <w:jc w:val="both"/>
        <w:rPr/>
      </w:pPr>
      <w:r>
        <w:rPr>
          <w:b/>
          <w:bCs/>
        </w:rPr>
        <w:t>11.22.</w:t>
      </w:r>
      <w:r>
        <w:rPr/>
        <w:t>W postępowaniu o udzielenie zamówienia komunikacja pomiędzy Zamawiającym</w:t>
        <w:br/>
        <w:t xml:space="preserve">a Wykonawcami w zakresie składania dokumentów, oświadczeń, wniosków (innych niż ofert i oświadczeń wskazanych w pkt 8.1 SWZ - które mogą być przekazywane jedynie w sposób wskazany w pkt 11.14) </w:t>
      </w:r>
      <w:r>
        <w:rPr>
          <w:b/>
          <w:bCs/>
        </w:rPr>
        <w:t xml:space="preserve">odbywa się elektronicznie za pośrednictwem: </w:t>
      </w:r>
      <w:hyperlink r:id="rId39">
        <w:r>
          <w:rPr>
            <w:rStyle w:val="Czeinternetowe"/>
            <w:b/>
            <w:bCs/>
          </w:rPr>
          <w:t>platformazakupowa.pl</w:t>
        </w:r>
      </w:hyperlink>
      <w:r>
        <w:rPr>
          <w:rStyle w:val="Czeinternetowe"/>
          <w:b/>
          <w:bCs/>
        </w:rPr>
        <w:t xml:space="preserve"> </w:t>
      </w:r>
      <w:r>
        <w:rPr>
          <w:rStyle w:val="Czeinternetowe"/>
          <w:color w:val="000000"/>
          <w:u w:val="none"/>
        </w:rPr>
        <w:t xml:space="preserve">i formularzy „Wyślij wiadomość do zamawiającego”. </w:t>
      </w:r>
    </w:p>
    <w:p>
      <w:pPr>
        <w:pStyle w:val="Normal"/>
        <w:spacing w:lineRule="auto" w:line="276"/>
        <w:jc w:val="both"/>
        <w:rPr/>
      </w:pPr>
      <w:r>
        <w:rPr>
          <w:rStyle w:val="Czeinternetowe"/>
          <w:b/>
          <w:bCs/>
          <w:color w:val="000000"/>
          <w:u w:val="none"/>
        </w:rPr>
        <w:t>11.23.Sposób sporządzenia dokumentów elektronicznych</w:t>
      </w:r>
      <w:r>
        <w:rPr>
          <w:rStyle w:val="Czeinternetowe"/>
          <w:color w:val="000000"/>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br/>
        <w:t>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w:t>
        <w:br/>
        <w:t>w postępowaniu na wezwanie Zamawiającego składa się w formie elektronicznej (opatrzenie podpisem kwalifikowanym) lub w postaci elektronicznej opatrzonej podpisem zaufanym lub podpisem osobistym.</w:t>
      </w:r>
    </w:p>
    <w:p>
      <w:pPr>
        <w:pStyle w:val="Normal"/>
        <w:spacing w:lineRule="auto" w:line="276"/>
        <w:rPr/>
      </w:pPr>
      <w:r>
        <w:rPr/>
      </w:r>
    </w:p>
    <w:p>
      <w:pPr>
        <w:pStyle w:val="Normal"/>
        <w:spacing w:lineRule="auto" w:line="276"/>
        <w:jc w:val="center"/>
        <w:rPr>
          <w:b/>
          <w:bCs/>
        </w:rPr>
      </w:pPr>
      <w:r>
        <w:rPr>
          <w:b/>
          <w:bCs/>
        </w:rPr>
        <w:t>Informację dodatkowe - rekomendacje</w:t>
      </w:r>
    </w:p>
    <w:p>
      <w:pPr>
        <w:pStyle w:val="Normal"/>
        <w:spacing w:lineRule="auto" w:line="276"/>
        <w:rPr/>
      </w:pPr>
      <w:r>
        <w:rPr/>
      </w:r>
    </w:p>
    <w:p>
      <w:pPr>
        <w:pStyle w:val="Normal"/>
        <w:spacing w:lineRule="auto" w:line="276"/>
        <w:jc w:val="both"/>
        <w:rPr/>
      </w:pPr>
      <w:r>
        <w:rPr/>
        <w:t xml:space="preserve">1)Zamawiający rekomenduje wykorzystanie formatów: .pdf .doc .xls .jpg (.jpeg) </w:t>
      </w:r>
      <w:r>
        <w:rPr>
          <w:b/>
          <w:bCs/>
        </w:rPr>
        <w:t>ze szczególnym wskazaniem na .pdf</w:t>
      </w:r>
    </w:p>
    <w:p>
      <w:pPr>
        <w:pStyle w:val="Normal"/>
        <w:spacing w:lineRule="auto" w:line="276"/>
        <w:jc w:val="both"/>
        <w:rPr/>
      </w:pPr>
      <w:r>
        <w:rPr/>
        <w:t>2)W celu ewentualnej kompresji danych Zamawiający wymaga wykorzystanie jednego</w:t>
        <w:br/>
        <w:t>z formatów: a).zip, b) .7Z i c).rar.</w:t>
      </w:r>
    </w:p>
    <w:p>
      <w:pPr>
        <w:pStyle w:val="Normal"/>
        <w:spacing w:lineRule="auto" w:line="276"/>
        <w:jc w:val="both"/>
        <w:rPr/>
      </w:pPr>
      <w:r>
        <w:rPr/>
        <w:t xml:space="preserve">3) Wśród formatów powszechnych a </w:t>
      </w:r>
      <w:r>
        <w:rPr>
          <w:b/>
          <w:bCs/>
        </w:rPr>
        <w:t>NIE występujących</w:t>
      </w:r>
      <w:r>
        <w:rPr/>
        <w:t xml:space="preserve"> w rozporządzeniu w sprawie Krajowych Ram Interoperacyjności, występują: .gif .bmp .numbers .pages. </w:t>
      </w:r>
      <w:r>
        <w:rPr>
          <w:b/>
          <w:bCs/>
        </w:rPr>
        <w:t>Dokumenty złożone w takich plikach zostaną uznane za złożone nieskutecznie.</w:t>
      </w:r>
    </w:p>
    <w:p>
      <w:pPr>
        <w:pStyle w:val="Normal"/>
        <w:spacing w:lineRule="auto" w:line="276"/>
        <w:jc w:val="both"/>
        <w:rPr/>
      </w:pPr>
      <w:r>
        <w:rPr/>
        <w:t>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Normal"/>
        <w:spacing w:lineRule="auto" w:line="276"/>
        <w:jc w:val="both"/>
        <w:rPr/>
      </w:pPr>
      <w:r>
        <w:rPr/>
        <w:t>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Normal"/>
        <w:spacing w:lineRule="auto" w:line="276"/>
        <w:jc w:val="both"/>
        <w:rPr/>
      </w:pPr>
      <w:r>
        <w:rPr/>
        <w:t>6) Pliki w innych formatach niż PDF zaleca się opatrzyć zewnętrznym podpisem XAdES. Wykonawca powinien pamiętać, aby plik z podpisem przekazywać łącznie z dokumentem podpisywanym.</w:t>
      </w:r>
    </w:p>
    <w:p>
      <w:pPr>
        <w:pStyle w:val="Normal"/>
        <w:spacing w:lineRule="auto" w:line="276"/>
        <w:jc w:val="both"/>
        <w:rPr/>
      </w:pPr>
      <w:r>
        <w:rPr/>
        <w:t>7) Zamawiający zaleca aby w przypadku podpisywania pliku przez kilka osób, stosować podpisy tego samego rodzaju. Podpisywanie różnymi rodzajami podpisów np. Osobistym</w:t>
        <w:br/>
        <w:t>i kwalifikowanym może doprowadzić do problemów w weryfikacji plików. </w:t>
      </w:r>
    </w:p>
    <w:p>
      <w:pPr>
        <w:pStyle w:val="Normal"/>
        <w:spacing w:lineRule="auto" w:line="276"/>
        <w:jc w:val="both"/>
        <w:rPr/>
      </w:pPr>
      <w:r>
        <w:rPr/>
        <w:t>8) Zamawiający zaleca, aby Wykonawca z odpowiednim wyprzedzeniem przetestował możliwość prawidłowego wykorzystania wybranej metody podpisania plików oferty.</w:t>
      </w:r>
    </w:p>
    <w:p>
      <w:pPr>
        <w:pStyle w:val="Normal"/>
        <w:spacing w:lineRule="auto" w:line="276"/>
        <w:jc w:val="both"/>
        <w:rPr/>
      </w:pPr>
      <w:r>
        <w:rPr/>
        <w:t>9) Zaleca się, aby komunikacja z wykonawcami odbywała się tylko na Platformie za pośrednictwem formularza “Wyślij wiadomość do zamawiającego”, nie za pośrednictwem adresu email.</w:t>
      </w:r>
    </w:p>
    <w:p>
      <w:pPr>
        <w:pStyle w:val="Normal"/>
        <w:spacing w:lineRule="auto" w:line="276"/>
        <w:jc w:val="both"/>
        <w:rPr/>
      </w:pPr>
      <w:r>
        <w:rPr/>
        <w:t>10) Ofertę należy przygotować z należytą starannością dla podmiotu ubiegającego się</w:t>
        <w:br/>
        <w:t xml:space="preserve">o udzielenie zamówienia publicznego i zachowaniem odpowiedniego odstępu czasu do zakończenia przyjmowania ofert/wniosków. </w:t>
      </w:r>
    </w:p>
    <w:p>
      <w:pPr>
        <w:pStyle w:val="Normal"/>
        <w:spacing w:lineRule="auto" w:line="276"/>
        <w:jc w:val="both"/>
        <w:rPr/>
      </w:pPr>
      <w:r>
        <w:rPr/>
        <w:t>11) Podczas podpisywania plików zaleca się stosowanie algorytmu skrótu SHA2 zamiast SHA1.  </w:t>
      </w:r>
    </w:p>
    <w:p>
      <w:pPr>
        <w:pStyle w:val="Normal"/>
        <w:spacing w:lineRule="auto" w:line="276"/>
        <w:jc w:val="both"/>
        <w:rPr/>
      </w:pPr>
      <w:r>
        <w:rPr/>
        <w:t>12) Jeśli wykonawca pakuje dokumenty np. w plik ZIP zalecamy wcześniejsze podpisanie każdego ze skompresowanych plików. </w:t>
      </w:r>
    </w:p>
    <w:p>
      <w:pPr>
        <w:pStyle w:val="Normal"/>
        <w:spacing w:lineRule="auto" w:line="276"/>
        <w:jc w:val="both"/>
        <w:rPr/>
      </w:pPr>
      <w:r>
        <w:rPr/>
        <w:t>13) Zamawiający rekomenduje wykorzystanie podpisu z kwalifikowanym znacznikiem czasu.</w:t>
      </w:r>
    </w:p>
    <w:p>
      <w:pPr>
        <w:pStyle w:val="Normal"/>
        <w:spacing w:lineRule="auto" w:line="276"/>
        <w:jc w:val="both"/>
        <w:rPr/>
      </w:pPr>
      <w:r>
        <w:rPr/>
        <w:t>14) Zamawiający zaleca aby nie wprowadzać jakichkolwiek zmian w plikach po podpisaniu ich podpisem kwalifikowanym. Może to skutkować naruszeniem integralności plików co równoważne będzie z koniecznością odrzucenia oferty w postępowaniu.</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12</w:t>
            </w:r>
          </w:p>
          <w:p>
            <w:pPr>
              <w:pStyle w:val="Normal"/>
              <w:widowControl w:val="false"/>
              <w:spacing w:lineRule="auto" w:line="276"/>
              <w:jc w:val="center"/>
              <w:rPr>
                <w:b/>
                <w:bCs/>
              </w:rPr>
            </w:pPr>
            <w:r>
              <w:rPr>
                <w:b/>
                <w:bCs/>
              </w:rPr>
              <w:t>WYMAGANIA DOTYCZĄCE WADIUM</w:t>
            </w:r>
          </w:p>
        </w:tc>
      </w:tr>
    </w:tbl>
    <w:p>
      <w:pPr>
        <w:pStyle w:val="Normal"/>
        <w:spacing w:lineRule="auto" w:line="276"/>
        <w:rPr/>
      </w:pPr>
      <w:r>
        <w:rPr/>
      </w:r>
    </w:p>
    <w:p>
      <w:pPr>
        <w:pStyle w:val="Normal"/>
        <w:spacing w:lineRule="auto" w:line="276"/>
        <w:rPr/>
      </w:pPr>
      <w:r>
        <w:rPr/>
      </w:r>
    </w:p>
    <w:p>
      <w:pPr>
        <w:pStyle w:val="ListParagraph"/>
        <w:widowControl w:val="false"/>
        <w:numPr>
          <w:ilvl w:val="0"/>
          <w:numId w:val="0"/>
        </w:numPr>
        <w:spacing w:lineRule="auto" w:line="276"/>
        <w:ind w:left="0" w:right="0" w:hanging="0"/>
        <w:outlineLvl w:val="3"/>
        <w:rPr>
          <w:rFonts w:ascii="Times New Roman" w:hAnsi="Times New Roman"/>
          <w:sz w:val="24"/>
          <w:szCs w:val="24"/>
        </w:rPr>
      </w:pPr>
      <w:r>
        <w:rPr>
          <w:rFonts w:cs="Arial" w:ascii="Times New Roman" w:hAnsi="Times New Roman"/>
          <w:bCs/>
          <w:sz w:val="24"/>
          <w:szCs w:val="24"/>
        </w:rPr>
        <w:t xml:space="preserve">Zamawiający </w:t>
      </w:r>
      <w:r>
        <w:rPr>
          <w:rFonts w:cs="Arial" w:ascii="Times New Roman" w:hAnsi="Times New Roman"/>
          <w:b/>
          <w:bCs/>
          <w:sz w:val="24"/>
          <w:szCs w:val="24"/>
          <w:u w:val="single"/>
        </w:rPr>
        <w:t>nie wymaga</w:t>
      </w:r>
      <w:r>
        <w:rPr>
          <w:rFonts w:cs="Arial" w:ascii="Times New Roman" w:hAnsi="Times New Roman"/>
          <w:bCs/>
          <w:sz w:val="24"/>
          <w:szCs w:val="24"/>
        </w:rPr>
        <w:t xml:space="preserve"> wniesienia wadium.</w:t>
      </w:r>
    </w:p>
    <w:p>
      <w:pPr>
        <w:pStyle w:val="ListParagraph"/>
        <w:widowControl w:val="false"/>
        <w:numPr>
          <w:ilvl w:val="0"/>
          <w:numId w:val="0"/>
        </w:numPr>
        <w:suppressAutoHyphens w:val="true"/>
        <w:bidi w:val="0"/>
        <w:spacing w:lineRule="auto" w:line="276" w:before="0" w:after="0"/>
        <w:ind w:left="0" w:right="0" w:hanging="0"/>
        <w:contextualSpacing/>
        <w:jc w:val="both"/>
        <w:outlineLvl w:val="3"/>
        <w:rPr>
          <w:rFonts w:ascii="Times New Roman" w:hAnsi="Times New Roman"/>
          <w:sz w:val="24"/>
          <w:szCs w:val="24"/>
        </w:rPr>
      </w:pPr>
      <w:r>
        <w:rPr>
          <w:rFonts w:ascii="Times New Roman" w:hAnsi="Times New Roman"/>
          <w:sz w:val="24"/>
          <w:szCs w:val="24"/>
        </w:rPr>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Kolorowalistaakcent11"/>
        <w:widowControl/>
        <w:numPr>
          <w:ilvl w:val="0"/>
          <w:numId w:val="0"/>
        </w:numPr>
        <w:tabs>
          <w:tab w:val="clear" w:pos="720"/>
          <w:tab w:val="left" w:pos="709" w:leader="none"/>
        </w:tabs>
        <w:suppressAutoHyphens w:val="true"/>
        <w:bidi w:val="0"/>
        <w:spacing w:lineRule="auto" w:line="276" w:before="20" w:after="40"/>
        <w:ind w:left="0" w:right="0" w:hanging="0"/>
        <w:contextualSpacing/>
        <w:jc w:val="both"/>
        <w:rPr>
          <w:rFonts w:ascii="Times New Roman" w:hAnsi="Times New Roman"/>
          <w:sz w:val="24"/>
          <w:szCs w:val="24"/>
        </w:rPr>
      </w:pPr>
      <w:r>
        <w:rPr>
          <w:rFonts w:ascii="Times New Roman" w:hAnsi="Times New Roman"/>
          <w:sz w:val="24"/>
          <w:szCs w:val="24"/>
        </w:rPr>
      </w:r>
    </w:p>
    <w:p>
      <w:pPr>
        <w:pStyle w:val="Kolorowalistaakcent11"/>
        <w:widowControl/>
        <w:numPr>
          <w:ilvl w:val="0"/>
          <w:numId w:val="0"/>
        </w:numPr>
        <w:suppressAutoHyphens w:val="true"/>
        <w:bidi w:val="0"/>
        <w:spacing w:lineRule="auto" w:line="276" w:before="20" w:after="40"/>
        <w:ind w:left="0" w:right="0" w:hanging="0"/>
        <w:contextualSpacing/>
        <w:jc w:val="both"/>
        <w:rPr>
          <w:rFonts w:ascii="Times New Roman" w:hAnsi="Times New Roman"/>
          <w:sz w:val="24"/>
          <w:szCs w:val="24"/>
        </w:rPr>
      </w:pPr>
      <w:r>
        <w:rPr>
          <w:rFonts w:ascii="Times New Roman" w:hAnsi="Times New Roman"/>
          <w:sz w:val="24"/>
          <w:szCs w:val="24"/>
        </w:rPr>
      </w:r>
    </w:p>
    <w:p>
      <w:pPr>
        <w:pStyle w:val="Kolorowalistaakcent11"/>
        <w:widowControl/>
        <w:numPr>
          <w:ilvl w:val="0"/>
          <w:numId w:val="0"/>
        </w:numPr>
        <w:tabs>
          <w:tab w:val="clear" w:pos="720"/>
          <w:tab w:val="left" w:pos="709" w:leader="none"/>
        </w:tabs>
        <w:suppressAutoHyphens w:val="true"/>
        <w:bidi w:val="0"/>
        <w:spacing w:lineRule="auto" w:line="276" w:before="20" w:after="40"/>
        <w:ind w:left="0" w:right="0" w:hanging="0"/>
        <w:contextualSpacing/>
        <w:jc w:val="both"/>
        <w:rPr>
          <w:rFonts w:ascii="Times New Roman" w:hAnsi="Times New Roman"/>
          <w:sz w:val="24"/>
          <w:szCs w:val="24"/>
        </w:rPr>
      </w:pPr>
      <w:r>
        <w:rPr>
          <w:rFonts w:ascii="Times New Roman" w:hAnsi="Times New Roman"/>
          <w:sz w:val="24"/>
          <w:szCs w:val="24"/>
        </w:rPr>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rFonts w:ascii="Times New Roman" w:hAnsi="Times New Roman"/>
          <w:sz w:val="24"/>
          <w:szCs w:val="24"/>
        </w:rPr>
      </w:pPr>
      <w:r>
        <w:rPr>
          <w:rFonts w:ascii="Times New Roman" w:hAnsi="Times New Roman"/>
          <w:sz w:val="24"/>
          <w:szCs w:val="24"/>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13</w:t>
            </w:r>
          </w:p>
          <w:p>
            <w:pPr>
              <w:pStyle w:val="Normal"/>
              <w:widowControl w:val="false"/>
              <w:spacing w:lineRule="auto" w:line="276"/>
              <w:jc w:val="center"/>
              <w:rPr>
                <w:b/>
                <w:bCs/>
              </w:rPr>
            </w:pPr>
            <w:r>
              <w:rPr>
                <w:b/>
                <w:bCs/>
              </w:rPr>
              <w:t>OPIS SPOSOBU PRZYGOTOWANIA OFERTY</w:t>
            </w:r>
          </w:p>
        </w:tc>
      </w:tr>
    </w:tbl>
    <w:p>
      <w:pPr>
        <w:pStyle w:val="Normal"/>
        <w:spacing w:lineRule="auto" w:line="276"/>
        <w:rPr/>
      </w:pPr>
      <w:r>
        <w:rPr/>
      </w:r>
    </w:p>
    <w:p>
      <w:pPr>
        <w:pStyle w:val="Normal"/>
        <w:widowControl/>
        <w:numPr>
          <w:ilvl w:val="1"/>
          <w:numId w:val="9"/>
        </w:numPr>
        <w:suppressAutoHyphens w:val="true"/>
        <w:bidi w:val="0"/>
        <w:spacing w:lineRule="auto" w:line="276" w:before="0" w:after="0"/>
        <w:ind w:left="0" w:right="0" w:hanging="0"/>
        <w:jc w:val="both"/>
        <w:rPr/>
      </w:pPr>
      <w:r>
        <w:rPr/>
        <w:t xml:space="preserve">Każdy Wykonawca może złożyć jedną ofertę w języku polskim. Złożenie więcej niż jednej oferty spowoduje odrzucenie wszystkich ofert złożonych przez Wykonawcę. Zamawiający nie przewiduje możliwości złożenia ofert wariantowych. </w:t>
      </w:r>
    </w:p>
    <w:p>
      <w:pPr>
        <w:pStyle w:val="Normal"/>
        <w:widowControl/>
        <w:numPr>
          <w:ilvl w:val="1"/>
          <w:numId w:val="9"/>
        </w:numPr>
        <w:suppressAutoHyphens w:val="true"/>
        <w:bidi w:val="0"/>
        <w:spacing w:lineRule="auto" w:line="276" w:before="0" w:after="0"/>
        <w:ind w:left="0" w:right="0" w:hanging="0"/>
        <w:jc w:val="both"/>
        <w:rPr/>
      </w:pPr>
      <w:r>
        <w:rPr/>
        <w:t>Ofertę składa się, pod rygorem nieważności, w formie elektronicznej lub w postaci elektronicznej opatrzonej podpisem zaufanym lub podpisem osobistym w formatach danych określonych w przepisach wydanych na podstawie art. 18 ustawy z dnia 17 lutego 2005r.</w:t>
        <w:br/>
        <w:t>o informatyzacji działalności podmiotów realizujących zadania publiczne (Dz. U. z 2020r. poz. 346, 568, 695, 1517 i 2320), z zastrzeżeniem formatów, o których mowa w art. 66 ust. 1 ustawy, z uwzględnieniem rodzaju przekazywanych danych.</w:t>
      </w:r>
    </w:p>
    <w:p>
      <w:pPr>
        <w:pStyle w:val="Normal"/>
        <w:widowControl/>
        <w:numPr>
          <w:ilvl w:val="1"/>
          <w:numId w:val="9"/>
        </w:numPr>
        <w:suppressAutoHyphens w:val="true"/>
        <w:bidi w:val="0"/>
        <w:spacing w:lineRule="auto" w:line="276" w:before="0" w:after="0"/>
        <w:ind w:left="0" w:right="0" w:hanging="0"/>
        <w:jc w:val="both"/>
        <w:rPr/>
      </w:pPr>
      <w:r>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pPr>
        <w:pStyle w:val="Normal"/>
        <w:widowControl/>
        <w:numPr>
          <w:ilvl w:val="1"/>
          <w:numId w:val="9"/>
        </w:numPr>
        <w:suppressAutoHyphens w:val="true"/>
        <w:bidi w:val="0"/>
        <w:spacing w:lineRule="auto" w:line="276" w:before="0" w:after="0"/>
        <w:ind w:left="0" w:right="0" w:hanging="0"/>
        <w:jc w:val="both"/>
        <w:rPr/>
      </w:pPr>
      <w:r>
        <w:rPr/>
        <w:t>Oferta musi zawierać następujące oświadczenia i dokumenty:</w:t>
      </w:r>
    </w:p>
    <w:p>
      <w:pPr>
        <w:pStyle w:val="Normal"/>
        <w:numPr>
          <w:ilvl w:val="0"/>
          <w:numId w:val="15"/>
        </w:numPr>
        <w:spacing w:lineRule="auto" w:line="276"/>
        <w:jc w:val="both"/>
        <w:rPr/>
      </w:pPr>
      <w:r>
        <w:rPr>
          <w:b/>
          <w:bCs/>
        </w:rPr>
        <w:t xml:space="preserve">Formularz ofertowy </w:t>
      </w:r>
      <w:r>
        <w:rPr/>
        <w:t xml:space="preserve">– do wykorzystania wzór (druk), stanowiący </w:t>
      </w:r>
      <w:r>
        <w:rPr>
          <w:b/>
          <w:bCs/>
        </w:rPr>
        <w:t xml:space="preserve">Załącznik nr 3 </w:t>
      </w:r>
      <w:r>
        <w:rPr/>
        <w:t xml:space="preserve">do SWZ (przy czym Wykonawca może sporządzić ofertę wg innego wzorca, powinna ona wówczas obejmować dane wymagane dla oferty </w:t>
        <w:br/>
        <w:t xml:space="preserve">w SWZ i załącznikach). </w:t>
      </w:r>
    </w:p>
    <w:p>
      <w:pPr>
        <w:pStyle w:val="Normal"/>
        <w:numPr>
          <w:ilvl w:val="0"/>
          <w:numId w:val="15"/>
        </w:numPr>
        <w:spacing w:lineRule="auto" w:line="276"/>
        <w:jc w:val="both"/>
        <w:rPr>
          <w:b/>
          <w:bCs/>
        </w:rPr>
      </w:pPr>
      <w:r>
        <w:rPr>
          <w:b/>
          <w:bCs/>
        </w:rPr>
        <w:t>Oświadczenia o których mowa w rozdziale 8.1 SWZ;</w:t>
      </w:r>
    </w:p>
    <w:p>
      <w:pPr>
        <w:pStyle w:val="Normal"/>
        <w:numPr>
          <w:ilvl w:val="0"/>
          <w:numId w:val="15"/>
        </w:numPr>
        <w:spacing w:lineRule="auto" w:line="276"/>
        <w:jc w:val="both"/>
        <w:rPr>
          <w:b/>
          <w:bCs/>
        </w:rPr>
      </w:pPr>
      <w:r>
        <w:rPr>
          <w:b/>
          <w:bCs/>
        </w:rPr>
        <w:t xml:space="preserve">Oświadczenie, o którym mowa w rozdziale 8.2 SWZ </w:t>
      </w:r>
      <w:r>
        <w:rPr>
          <w:b/>
          <w:bCs/>
          <w:lang w:eastAsia="en-US"/>
        </w:rPr>
        <w:t>(jeżeli dotyczy)</w:t>
      </w:r>
      <w:r>
        <w:rPr>
          <w:b/>
          <w:bCs/>
        </w:rPr>
        <w:t xml:space="preserve"> </w:t>
      </w:r>
    </w:p>
    <w:p>
      <w:pPr>
        <w:pStyle w:val="Normal"/>
        <w:numPr>
          <w:ilvl w:val="0"/>
          <w:numId w:val="15"/>
        </w:numPr>
        <w:spacing w:lineRule="auto" w:line="276"/>
        <w:jc w:val="both"/>
        <w:rPr>
          <w:b/>
          <w:bCs/>
        </w:rPr>
      </w:pPr>
      <w:r>
        <w:rPr>
          <w:b/>
          <w:bCs/>
        </w:rPr>
        <w:t>Zobowiązanie lub inne dokumenty, o których mowa w pkt 9.4 SWZ (jeżeli dotyczy).</w:t>
      </w:r>
    </w:p>
    <w:p>
      <w:pPr>
        <w:pStyle w:val="Normal"/>
        <w:numPr>
          <w:ilvl w:val="0"/>
          <w:numId w:val="15"/>
        </w:numPr>
        <w:spacing w:lineRule="auto" w:line="276"/>
        <w:jc w:val="both"/>
        <w:rPr>
          <w:b/>
          <w:bCs/>
        </w:rPr>
      </w:pPr>
      <w:r>
        <w:rPr>
          <w:b/>
          <w:bCs/>
          <w:lang w:eastAsia="en-US"/>
        </w:rPr>
        <w:t xml:space="preserve">Potwierdzenie umocowania do działania w imieniu wykonawcy </w:t>
      </w:r>
      <w:r>
        <w:rPr>
          <w:b/>
          <w:bCs/>
        </w:rPr>
        <w:t>lub podmiotu udostępniającego zasoby</w:t>
      </w:r>
      <w:r>
        <w:rPr>
          <w:b/>
          <w:bCs/>
          <w:lang w:eastAsia="en-US"/>
        </w:rPr>
        <w:t>:</w:t>
      </w:r>
    </w:p>
    <w:p>
      <w:pPr>
        <w:pStyle w:val="Normal"/>
        <w:numPr>
          <w:ilvl w:val="0"/>
          <w:numId w:val="17"/>
        </w:numPr>
        <w:spacing w:lineRule="auto" w:line="276"/>
        <w:jc w:val="both"/>
        <w:rPr/>
      </w:pPr>
      <w:r>
        <w:rPr>
          <w:lang w:eastAsia="en-US"/>
        </w:rPr>
        <w:t xml:space="preserve">zamawiający w </w:t>
      </w:r>
      <w:r>
        <w:rPr/>
        <w:t xml:space="preserve">celu potwierdzenia, że osoba działająca w imieniu wykonawcy </w:t>
      </w:r>
      <w:bookmarkStart w:id="4" w:name="_Hlk61243161"/>
      <w:r>
        <w:rPr/>
        <w:t>lub podmiotu udostępniającego zasoby</w:t>
      </w:r>
      <w:bookmarkEnd w:id="4"/>
      <w:r>
        <w:rPr/>
        <w:t xml:space="preserve"> jest umocowana do jego reprezentowania, żąda złożenia wraz z ofertą odpisu lub informacji</w:t>
        <w:br/>
        <w:t>z Krajowego Rejestru Sądowego, Centralnej Ewidencji i Informacji</w:t>
        <w:br/>
        <w:t>o Działalności Gospodarczej lub innego właściwego rejestru;</w:t>
      </w:r>
    </w:p>
    <w:p>
      <w:pPr>
        <w:pStyle w:val="Normal"/>
        <w:numPr>
          <w:ilvl w:val="0"/>
          <w:numId w:val="17"/>
        </w:numPr>
        <w:spacing w:lineRule="auto" w:line="276"/>
        <w:jc w:val="both"/>
        <w:rPr/>
      </w:pPr>
      <w:r>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pPr>
        <w:pStyle w:val="Normal"/>
        <w:numPr>
          <w:ilvl w:val="0"/>
          <w:numId w:val="17"/>
        </w:numPr>
        <w:spacing w:lineRule="auto" w:line="276"/>
        <w:jc w:val="both"/>
        <w:rPr/>
      </w:pPr>
      <w:r>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pPr>
        <w:pStyle w:val="Normal"/>
        <w:numPr>
          <w:ilvl w:val="0"/>
          <w:numId w:val="15"/>
        </w:numPr>
        <w:spacing w:lineRule="auto" w:line="276"/>
        <w:jc w:val="both"/>
        <w:rPr/>
      </w:pPr>
      <w:r>
        <w:rPr>
          <w:b/>
          <w:bCs/>
          <w:lang w:eastAsia="en-US"/>
        </w:rPr>
        <w:t>Pełnomocnictwo</w:t>
      </w:r>
      <w:r>
        <w:rPr>
          <w:lang w:eastAsia="en-US"/>
        </w:rPr>
        <w:t xml:space="preserve"> </w:t>
      </w:r>
      <w:r>
        <w:rPr/>
        <w:t>do reprezentowania wykonawców wspólnie ubiegających się</w:t>
        <w:br/>
        <w:t>o udzielenie zamówienia  w postępowaniu o udzielenie zamówienia albo do reprezentowania ich w postępowaniu i zawarcia umowy w sprawie zamówienia publicznego</w:t>
      </w:r>
      <w:r>
        <w:rPr>
          <w:b/>
          <w:bCs/>
          <w:lang w:eastAsia="en-US"/>
        </w:rPr>
        <w:t xml:space="preserve"> (jeżeli dotyczy).</w:t>
      </w:r>
    </w:p>
    <w:p>
      <w:pPr>
        <w:pStyle w:val="Normal"/>
        <w:widowControl/>
        <w:numPr>
          <w:ilvl w:val="1"/>
          <w:numId w:val="9"/>
        </w:numPr>
        <w:suppressAutoHyphens w:val="true"/>
        <w:bidi w:val="0"/>
        <w:spacing w:lineRule="auto" w:line="276" w:before="0" w:after="0"/>
        <w:ind w:left="0" w:right="0" w:hanging="0"/>
        <w:jc w:val="both"/>
        <w:rPr/>
      </w:pPr>
      <w:r>
        <w:rPr/>
        <w:t>Pełnomocnictwo o którym mowa w rozdziale 13.4 pkt 5) lit c) i pkt 6)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w:t>
        <w:br/>
        <w:t>i 2320), z zastrzeżeniem formatów, o których mowa w art. 66 ust. 1 ustawy,</w:t>
        <w:br/>
        <w:t>z uwzględnieniem rodzaju przekazywanych danych.</w:t>
      </w:r>
    </w:p>
    <w:p>
      <w:pPr>
        <w:pStyle w:val="Normal"/>
        <w:widowControl/>
        <w:numPr>
          <w:ilvl w:val="1"/>
          <w:numId w:val="9"/>
        </w:numPr>
        <w:suppressAutoHyphens w:val="true"/>
        <w:bidi w:val="0"/>
        <w:spacing w:lineRule="auto" w:line="276" w:before="0" w:after="0"/>
        <w:ind w:left="0" w:right="0" w:hanging="0"/>
        <w:jc w:val="both"/>
        <w:rPr/>
      </w:pPr>
      <w:r>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pPr>
        <w:pStyle w:val="Normal"/>
        <w:widowControl/>
        <w:numPr>
          <w:ilvl w:val="1"/>
          <w:numId w:val="9"/>
        </w:numPr>
        <w:suppressAutoHyphens w:val="true"/>
        <w:bidi w:val="0"/>
        <w:spacing w:lineRule="auto" w:line="276" w:before="0" w:after="0"/>
        <w:ind w:left="0" w:right="0" w:hanging="0"/>
        <w:jc w:val="both"/>
        <w:rPr/>
      </w:pPr>
      <w:r>
        <w:rPr/>
        <w:t xml:space="preserve">Wykonawca  zastrzegając informacje wykazuje, że zastrzeżone informacje stanowią tajemnicę przedsiębiorstwa w rozumieniu przepisów art. 11 ust. 2 ustawy z dnia 16 kwietnia 1993 r. o zwalczaniu nieuczciwej konkurencji (Dz.U. 2020 poz. 1913 z późn. zm.). Wykonawca powinien zatem </w:t>
      </w:r>
      <w:r>
        <w:rPr>
          <w:lang w:val="pl-PL" w:eastAsia="zh-CN" w:bidi="ar-SA"/>
        </w:rPr>
        <w:t>udowodnić</w:t>
      </w:r>
      <w:r>
        <w:rPr/>
        <w:t>, że zastrzeżone informacje, jako całość lub</w:t>
        <w:br/>
        <w:t>w szczególnym zestawieniu 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w:t>
        <w:br/>
        <w:t>w poufności. Wykonawca nie może zastrzec informacji, o których mowa w art. 222 ust. 5 ustawy.</w:t>
      </w:r>
    </w:p>
    <w:p>
      <w:pPr>
        <w:pStyle w:val="Normal"/>
        <w:widowControl/>
        <w:numPr>
          <w:ilvl w:val="1"/>
          <w:numId w:val="9"/>
        </w:numPr>
        <w:suppressAutoHyphens w:val="true"/>
        <w:bidi w:val="0"/>
        <w:spacing w:lineRule="auto" w:line="276" w:before="0" w:after="0"/>
        <w:ind w:left="0" w:right="0" w:hanging="0"/>
        <w:jc w:val="both"/>
        <w:rPr/>
      </w:pPr>
      <w:r>
        <w:rPr/>
        <w:t>Powyższe zasady mają również zastosowanie do informacji stanowiących tajemnicę przedsiębiorstwa, zawartych w szczególności w oświadczeniach lub dokumentach oraz ich wyjaśnieniach lub uzupełnieniach, składanych przez Wykonawcę w toku postępowania</w:t>
        <w:br/>
        <w:t>o udzielenie zamówienia publicznego, przy czym wskazanie tych informacji oraz wykazanie, że stanowią one tajemnicę przedsiębiorstwa powinno nastąpić najpóźniej wraz z ich przekazaniem przez Wykonawcę.</w:t>
      </w:r>
    </w:p>
    <w:p>
      <w:pPr>
        <w:pStyle w:val="Normal"/>
        <w:spacing w:lineRule="auto" w:line="276"/>
        <w:jc w:val="both"/>
        <w:rPr/>
      </w:pPr>
      <w:r>
        <w:rPr/>
        <w:t>Wykonawca w szczególności nie może zastrzec w ofercie informacji:</w:t>
      </w:r>
    </w:p>
    <w:p>
      <w:pPr>
        <w:pStyle w:val="Normal"/>
        <w:spacing w:lineRule="auto" w:line="276"/>
        <w:jc w:val="both"/>
        <w:rPr/>
      </w:pPr>
      <w:r>
        <w:rPr/>
        <w:t xml:space="preserve">1) </w:t>
      </w:r>
      <w:r>
        <w:rPr>
          <w:lang w:val="pl-PL" w:eastAsia="zh-CN" w:bidi="hi-IN"/>
        </w:rPr>
        <w:t>nazwach albo imionach i nazwiskach oraz siedzibach lub miejscach prowadzonej działalności gospodarczej albo miejscach zamieszkania wykonawców, których oferty zostały otwarte,</w:t>
      </w:r>
    </w:p>
    <w:p>
      <w:pPr>
        <w:pStyle w:val="Normal"/>
        <w:spacing w:lineRule="auto" w:line="276"/>
        <w:jc w:val="both"/>
        <w:rPr/>
      </w:pPr>
      <w:r>
        <w:rPr/>
        <w:t xml:space="preserve">3) cenach </w:t>
      </w:r>
      <w:r>
        <w:rPr>
          <w:lang w:val="pl-PL" w:eastAsia="zh-CN" w:bidi="hi-IN"/>
        </w:rPr>
        <w:t>lub kosztach zawartych w ofertach.</w:t>
      </w:r>
    </w:p>
    <w:p>
      <w:pPr>
        <w:pStyle w:val="Normal"/>
        <w:widowControl/>
        <w:numPr>
          <w:ilvl w:val="1"/>
          <w:numId w:val="9"/>
        </w:numPr>
        <w:suppressAutoHyphens w:val="true"/>
        <w:bidi w:val="0"/>
        <w:spacing w:lineRule="auto" w:line="276" w:before="0" w:after="0"/>
        <w:ind w:left="0" w:right="0" w:hanging="0"/>
        <w:jc w:val="both"/>
        <w:rPr/>
      </w:pPr>
      <w:r>
        <w:rPr/>
        <w:t>Wszelkie informacje stanowiące tajemnicę przedsiębiorstwa w rozumieniu ustawy</w:t>
        <w:br/>
        <w:t>z dnia 16 kwietnia 1993 r. o zwalczaniu nieuczciwej konkurencji (tekst jedn. z 2019 r. poz. 1010 ze zm.), które Wykonawca zastrzeże jako tajemnicę przedsiębiorstwa, powinny zostać złożone w odpowiednio wydzielonym i oznaczonym pliku.</w:t>
      </w:r>
    </w:p>
    <w:p>
      <w:pPr>
        <w:pStyle w:val="Normal"/>
        <w:widowControl/>
        <w:numPr>
          <w:ilvl w:val="1"/>
          <w:numId w:val="9"/>
        </w:numPr>
        <w:suppressAutoHyphens w:val="true"/>
        <w:bidi w:val="0"/>
        <w:spacing w:lineRule="auto" w:line="276" w:before="0" w:after="0"/>
        <w:ind w:left="0" w:right="0" w:hanging="0"/>
        <w:jc w:val="both"/>
        <w:rPr/>
      </w:pPr>
      <w:r>
        <w:rPr/>
        <w:t>Oferta oraz pozostałe oświadczenia i dokumenty, dla których Zamawiający określił wzory w formie formularzy stanowiących Załączniki do SWZ, powinny być sporządzone zgodnie z tymi wzorami, co do treści oraz opisu kolumn i wierszy oraz treści SWZ i SOPZ.</w:t>
      </w:r>
    </w:p>
    <w:p>
      <w:pPr>
        <w:pStyle w:val="Normal"/>
        <w:widowControl/>
        <w:numPr>
          <w:ilvl w:val="1"/>
          <w:numId w:val="9"/>
        </w:numPr>
        <w:suppressAutoHyphens w:val="true"/>
        <w:bidi w:val="0"/>
        <w:spacing w:lineRule="auto" w:line="276" w:before="0" w:after="0"/>
        <w:ind w:left="0" w:right="0" w:hanging="0"/>
        <w:jc w:val="both"/>
        <w:rPr/>
      </w:pPr>
      <w:r>
        <w:rPr/>
        <w:t>Oferta musi być czytelna, spełniająca wymagania SWZ, ustawy Prawo zamówień publicznych oraz treści aktów wykonawczych wydanych do ustawy Prawo zamówień publicznych.</w:t>
      </w:r>
    </w:p>
    <w:p>
      <w:pPr>
        <w:pStyle w:val="Normal"/>
        <w:widowControl/>
        <w:numPr>
          <w:ilvl w:val="1"/>
          <w:numId w:val="9"/>
        </w:numPr>
        <w:suppressAutoHyphens w:val="true"/>
        <w:bidi w:val="0"/>
        <w:spacing w:lineRule="auto" w:line="276" w:before="0" w:after="0"/>
        <w:ind w:left="0" w:right="0" w:hanging="0"/>
        <w:jc w:val="both"/>
        <w:rPr/>
      </w:pPr>
      <w:r>
        <w:rPr/>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w:t>
        <w:br/>
        <w:t>w niniejszej SWZ.</w:t>
      </w:r>
    </w:p>
    <w:p>
      <w:pPr>
        <w:pStyle w:val="Normal"/>
        <w:widowControl/>
        <w:numPr>
          <w:ilvl w:val="1"/>
          <w:numId w:val="9"/>
        </w:numPr>
        <w:suppressAutoHyphens w:val="true"/>
        <w:bidi w:val="0"/>
        <w:spacing w:lineRule="auto" w:line="276" w:before="0" w:after="0"/>
        <w:ind w:left="0" w:right="0" w:hanging="0"/>
        <w:jc w:val="both"/>
        <w:rPr/>
      </w:pPr>
      <w:r>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276"/>
        <w:jc w:val="both"/>
        <w:rPr/>
      </w:pPr>
      <w:r>
        <w:rPr/>
      </w:r>
    </w:p>
    <w:p>
      <w:pPr>
        <w:pStyle w:val="Normal"/>
        <w:spacing w:lineRule="auto" w:line="276"/>
        <w:jc w:val="both"/>
        <w:rPr/>
      </w:pPr>
      <w:r>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14</w:t>
            </w:r>
          </w:p>
          <w:p>
            <w:pPr>
              <w:pStyle w:val="Normal"/>
              <w:widowControl w:val="false"/>
              <w:spacing w:lineRule="auto" w:line="276"/>
              <w:jc w:val="center"/>
              <w:rPr>
                <w:b/>
                <w:bCs/>
              </w:rPr>
            </w:pPr>
            <w:r>
              <w:rPr>
                <w:b/>
                <w:bCs/>
              </w:rPr>
              <w:t>SKŁADANIE I OTWARCIE OFERT</w:t>
            </w:r>
          </w:p>
        </w:tc>
      </w:tr>
    </w:tbl>
    <w:p>
      <w:pPr>
        <w:pStyle w:val="Normal"/>
        <w:spacing w:lineRule="auto" w:line="276"/>
        <w:rPr/>
      </w:pPr>
      <w:r>
        <w:rPr/>
      </w:r>
    </w:p>
    <w:p>
      <w:pPr>
        <w:pStyle w:val="Normal"/>
        <w:spacing w:lineRule="auto" w:line="276"/>
        <w:rPr/>
      </w:pPr>
      <w:r>
        <w:rPr/>
      </w:r>
    </w:p>
    <w:p>
      <w:pPr>
        <w:pStyle w:val="Normal"/>
        <w:spacing w:lineRule="auto" w:line="276"/>
        <w:jc w:val="both"/>
        <w:rPr/>
      </w:pPr>
      <w:r>
        <w:rPr>
          <w:b/>
          <w:bCs/>
        </w:rPr>
        <w:t xml:space="preserve">14.1. </w:t>
      </w:r>
      <w:r>
        <w:rPr/>
        <w:t xml:space="preserve">Wykonawca składa ofertę </w:t>
      </w:r>
      <w:r>
        <w:rPr>
          <w:b/>
          <w:bCs/>
        </w:rPr>
        <w:t xml:space="preserve">za pośrednictwem formularza do złożenia, zmiany, wycofania oferty dostępnego na </w:t>
      </w:r>
      <w:r>
        <w:rPr>
          <w:b/>
          <w:bCs/>
          <w:lang w:val="pl-PL" w:eastAsia="zh-CN" w:bidi="hi-IN"/>
        </w:rPr>
        <w:t>platformie zakupowej</w:t>
      </w:r>
      <w:r>
        <w:rPr>
          <w:lang w:val="pl-PL" w:eastAsia="zh-CN" w:bidi="hi-IN"/>
        </w:rPr>
        <w:t xml:space="preserve"> – patrz rozdział 11.</w:t>
      </w:r>
    </w:p>
    <w:p>
      <w:pPr>
        <w:pStyle w:val="Normal"/>
        <w:spacing w:lineRule="auto" w:line="276"/>
        <w:jc w:val="both"/>
        <w:rPr/>
      </w:pPr>
      <w:r>
        <w:rPr>
          <w:b/>
          <w:bCs/>
        </w:rPr>
        <w:t>14.2.</w:t>
      </w:r>
      <w:r>
        <w:rPr/>
        <w:t xml:space="preserve"> Termin składania ofer</w:t>
      </w:r>
      <w:r>
        <w:rPr>
          <w:shd w:fill="auto" w:val="clear"/>
        </w:rPr>
        <w:t xml:space="preserve">t: </w:t>
      </w:r>
      <w:r>
        <w:rPr>
          <w:b/>
          <w:bCs/>
          <w:shd w:fill="auto" w:val="clear"/>
        </w:rPr>
        <w:t>26</w:t>
      </w:r>
      <w:r>
        <w:rPr>
          <w:b/>
          <w:bCs/>
          <w:shd w:fill="auto" w:val="clear"/>
          <w:lang w:val="pl-PL" w:eastAsia="zh-CN" w:bidi="ar-SA"/>
        </w:rPr>
        <w:t xml:space="preserve">.05.2023 </w:t>
      </w:r>
      <w:r>
        <w:rPr>
          <w:b/>
          <w:bCs/>
          <w:shd w:fill="auto" w:val="clear"/>
        </w:rPr>
        <w:t>godz. 10:00,</w:t>
      </w:r>
    </w:p>
    <w:p>
      <w:pPr>
        <w:pStyle w:val="Normal"/>
        <w:spacing w:lineRule="auto" w:line="276"/>
        <w:jc w:val="both"/>
        <w:rPr>
          <w:highlight w:val="none"/>
          <w:shd w:fill="auto" w:val="clear"/>
        </w:rPr>
      </w:pPr>
      <w:r>
        <w:rPr>
          <w:b/>
          <w:bCs/>
          <w:shd w:fill="auto" w:val="clear"/>
        </w:rPr>
        <w:t xml:space="preserve">14.3. </w:t>
      </w:r>
      <w:r>
        <w:rPr>
          <w:shd w:fill="auto" w:val="clear"/>
        </w:rPr>
        <w:t xml:space="preserve">Termin otwarcia ofert: </w:t>
      </w:r>
      <w:r>
        <w:rPr>
          <w:b/>
          <w:bCs/>
          <w:shd w:fill="auto" w:val="clear"/>
        </w:rPr>
        <w:t>26</w:t>
      </w:r>
      <w:r>
        <w:rPr>
          <w:b/>
          <w:bCs/>
          <w:shd w:fill="auto" w:val="clear"/>
          <w:lang w:val="pl-PL" w:eastAsia="zh-CN" w:bidi="ar-SA"/>
        </w:rPr>
        <w:t xml:space="preserve">.05.2023 </w:t>
      </w:r>
      <w:r>
        <w:rPr>
          <w:b/>
          <w:bCs/>
          <w:shd w:fill="auto" w:val="clear"/>
        </w:rPr>
        <w:t>godz.  10:10.</w:t>
      </w:r>
    </w:p>
    <w:p>
      <w:pPr>
        <w:pStyle w:val="Normal"/>
        <w:spacing w:lineRule="auto" w:line="276"/>
        <w:jc w:val="both"/>
        <w:rPr/>
      </w:pPr>
      <w:r>
        <w:rPr>
          <w:b/>
          <w:bCs/>
        </w:rPr>
        <w:t xml:space="preserve">14.4. </w:t>
      </w:r>
      <w:r>
        <w:rPr/>
        <w:t xml:space="preserve">Wykonawca może przed upływem terminu do składania ofert zmienić lub wycofać ofertę za pośrednictwem Formularza do złożenia, zmiany, wycofania oferty lub wniosku dostępnego na stronie </w:t>
      </w:r>
      <w:r>
        <w:rPr>
          <w:lang w:val="pl-PL" w:eastAsia="zh-CN" w:bidi="hi-IN"/>
        </w:rPr>
        <w:t>platformie zakupowej</w:t>
      </w:r>
      <w:r>
        <w:rPr/>
        <w:t>. Sposób zmiany i wycofania oferty został opisany w Instrukcji użytkownika.</w:t>
      </w:r>
    </w:p>
    <w:p>
      <w:pPr>
        <w:pStyle w:val="Normal"/>
        <w:spacing w:lineRule="auto" w:line="276"/>
        <w:jc w:val="both"/>
        <w:rPr/>
      </w:pPr>
      <w:r>
        <w:rPr>
          <w:b/>
          <w:bCs/>
        </w:rPr>
        <w:t>14.5.</w:t>
      </w:r>
      <w:r>
        <w:rPr/>
        <w:t xml:space="preserve"> W myśl art. 222 ustawy Pzp Zamawiający </w:t>
      </w:r>
      <w:r>
        <w:rPr>
          <w:u w:val="single"/>
        </w:rPr>
        <w:t>nie przewiduje</w:t>
      </w:r>
      <w:r>
        <w:rPr/>
        <w:t xml:space="preserve"> otwarcia ofert w obecności Wykonawców.</w:t>
      </w:r>
    </w:p>
    <w:p>
      <w:pPr>
        <w:pStyle w:val="Normal"/>
        <w:spacing w:lineRule="auto" w:line="276"/>
        <w:jc w:val="both"/>
        <w:rPr/>
      </w:pPr>
      <w:r>
        <w:rPr>
          <w:b/>
          <w:bCs/>
        </w:rPr>
        <w:t xml:space="preserve">14.6. </w:t>
      </w:r>
      <w:r>
        <w:rPr/>
        <w:t>Niezwłocznie po otwarciu ofert Zamawiający zamieści na stronie internetowej prowadzonego postępowania informacje dotyczące:</w:t>
      </w:r>
    </w:p>
    <w:p>
      <w:pPr>
        <w:pStyle w:val="Normal"/>
        <w:spacing w:lineRule="auto" w:line="276"/>
        <w:jc w:val="both"/>
        <w:rPr/>
      </w:pPr>
      <w:r>
        <w:rPr/>
        <w:t xml:space="preserve">1) </w:t>
      </w:r>
      <w:r>
        <w:rPr>
          <w:lang w:val="pl-PL" w:eastAsia="zh-CN" w:bidi="hi-IN"/>
        </w:rPr>
        <w:t>nazwach albo imionach i nazwiskach oraz siedzibach lub miejscach prowadzonej działalności gospodarczej albo miejscach zamieszkania wykonawców, których oferty zostały otwarte,</w:t>
      </w:r>
    </w:p>
    <w:p>
      <w:pPr>
        <w:pStyle w:val="Normal"/>
        <w:spacing w:lineRule="auto" w:line="276"/>
        <w:jc w:val="both"/>
        <w:rPr/>
      </w:pPr>
      <w:r>
        <w:rPr/>
        <w:t xml:space="preserve">2) cenach </w:t>
      </w:r>
      <w:r>
        <w:rPr>
          <w:lang w:val="pl-PL" w:eastAsia="zh-CN" w:bidi="hi-IN"/>
        </w:rPr>
        <w:t>lub kosztach zawartych w ofertach.</w:t>
      </w:r>
    </w:p>
    <w:p>
      <w:pPr>
        <w:pStyle w:val="Normal"/>
        <w:spacing w:lineRule="auto" w:line="276"/>
        <w:jc w:val="both"/>
        <w:rPr/>
      </w:pPr>
      <w:r>
        <w:rPr>
          <w:b/>
          <w:bCs/>
        </w:rPr>
        <w:t xml:space="preserve">14.7. </w:t>
      </w:r>
      <w:r>
        <w:rPr/>
        <w:t>W przypadku złożenia oferty po terminie, o którym mowa w punkcie 14.2 SWZ, oferta podlega odrzuceniu z trybie art. 226 ust. 1 pkt 1), Zamawiający niezwłocznie zawiadomi</w:t>
        <w:br/>
        <w:t>o tym Wykonawcę oraz zwróci ofertę po upływie terminu do wniesieniu odwołania.</w:t>
      </w:r>
    </w:p>
    <w:p>
      <w:pPr>
        <w:pStyle w:val="Normal"/>
        <w:spacing w:lineRule="auto" w:line="276"/>
        <w:jc w:val="both"/>
        <w:rPr/>
      </w:pPr>
      <w:r>
        <w:rPr>
          <w:b/>
          <w:bCs/>
        </w:rPr>
        <w:t>14.8.</w:t>
      </w:r>
      <w:r>
        <w:rPr/>
        <w:t xml:space="preserve"> W przypadku awarii sytemu teleinformatycznego, przy użyciu którego Zamawiający dokonuje otwarcia ofert, która powoduje brak możliwości otwarcia ofert w terminie określonym przez Zamawiającego </w:t>
      </w:r>
      <w:r>
        <w:rPr>
          <w:lang w:val="pl-PL" w:eastAsia="pl-PL" w:bidi="ar-SA"/>
        </w:rPr>
        <w:t>powyżej</w:t>
      </w:r>
      <w:r>
        <w:rPr/>
        <w:t>, otwarcie ofert następuje niezwłocznie po usunięciu awarii. Zamawiający poinformuje o zmianie terminu otwarcia ofert na stronie internetowej prowadzonego postępowania.</w:t>
      </w:r>
    </w:p>
    <w:p>
      <w:pPr>
        <w:pStyle w:val="Normal"/>
        <w:spacing w:lineRule="auto" w:line="276"/>
        <w:jc w:val="both"/>
        <w:rPr/>
      </w:pPr>
      <w:r>
        <w:rPr>
          <w:b/>
          <w:bCs/>
        </w:rPr>
        <w:t xml:space="preserve">14.9. </w:t>
      </w:r>
      <w:r>
        <w:rPr/>
        <w:t>Otwarcie ofert odbywa się bez udziału Wykonawców.</w:t>
      </w:r>
    </w:p>
    <w:p>
      <w:pPr>
        <w:pStyle w:val="Normal"/>
        <w:spacing w:lineRule="auto" w:line="276"/>
        <w:rPr/>
      </w:pPr>
      <w:r>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rHeight w:val="652" w:hRule="atLeast"/>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15</w:t>
            </w:r>
          </w:p>
          <w:p>
            <w:pPr>
              <w:pStyle w:val="Normal"/>
              <w:widowControl w:val="false"/>
              <w:spacing w:lineRule="auto" w:line="276"/>
              <w:jc w:val="center"/>
              <w:rPr>
                <w:b/>
                <w:bCs/>
              </w:rPr>
            </w:pPr>
            <w:r>
              <w:rPr>
                <w:b/>
                <w:bCs/>
              </w:rPr>
              <w:t>TERMIN ZWIĄZANIA OFERTĄ</w:t>
            </w:r>
          </w:p>
        </w:tc>
      </w:tr>
    </w:tbl>
    <w:p>
      <w:pPr>
        <w:pStyle w:val="Normal"/>
        <w:spacing w:lineRule="auto" w:line="276"/>
        <w:rPr/>
      </w:pPr>
      <w:r>
        <w:rPr/>
      </w:r>
    </w:p>
    <w:p>
      <w:pPr>
        <w:pStyle w:val="Normal"/>
        <w:spacing w:lineRule="auto" w:line="276"/>
        <w:rPr/>
      </w:pPr>
      <w:r>
        <w:rPr/>
      </w:r>
    </w:p>
    <w:p>
      <w:pPr>
        <w:pStyle w:val="Normal"/>
        <w:spacing w:lineRule="auto" w:line="276"/>
        <w:jc w:val="both"/>
        <w:rPr/>
      </w:pPr>
      <w:r>
        <w:rPr>
          <w:b/>
          <w:bCs/>
        </w:rPr>
        <w:t xml:space="preserve">15.1. </w:t>
      </w:r>
      <w:r>
        <w:rPr/>
        <w:t xml:space="preserve">Wykonawca  jest związany ofertą do dnia </w:t>
      </w:r>
      <w:r>
        <w:rPr>
          <w:b/>
          <w:bCs/>
          <w:shd w:fill="auto" w:val="clear"/>
        </w:rPr>
        <w:t>24</w:t>
      </w:r>
      <w:r>
        <w:rPr>
          <w:b/>
          <w:bCs/>
          <w:shd w:fill="auto" w:val="clear"/>
          <w:lang w:val="pl-PL" w:eastAsia="zh-CN" w:bidi="ar-SA"/>
        </w:rPr>
        <w:t>.06.2023 r.</w:t>
      </w:r>
    </w:p>
    <w:p>
      <w:pPr>
        <w:pStyle w:val="Normal"/>
        <w:spacing w:lineRule="auto" w:line="276"/>
        <w:jc w:val="both"/>
        <w:rPr/>
      </w:pPr>
      <w:r>
        <w:rPr>
          <w:b/>
          <w:bCs/>
        </w:rPr>
        <w:t>15.2.</w:t>
      </w:r>
      <w:r>
        <w:rPr/>
        <w:t xml:space="preserve"> W przypadku gdy wybór najkorzystniejszej oferty nie nastąpi przed upływem terminu związania ofertą, o którym mowa w pkt 15.1, zamawiający zgodnie z art. 307 ust. 2 ustawy Pzp, przed upływem terminu związania ofertą, zwróci się jednokrotnie do wykonawców</w:t>
        <w:br/>
        <w:t>o wyrażenie zgody na przedłużenie tego terminu o wskazywany przez niego okres, nie dłuższy niż 30 dni.</w:t>
      </w:r>
    </w:p>
    <w:p>
      <w:pPr>
        <w:pStyle w:val="Normal"/>
        <w:spacing w:lineRule="auto" w:line="276"/>
        <w:jc w:val="both"/>
        <w:rPr/>
      </w:pPr>
      <w:r>
        <w:rPr>
          <w:b/>
          <w:bCs/>
        </w:rPr>
        <w:t>15.3.</w:t>
      </w:r>
      <w:r>
        <w:rPr/>
        <w:t xml:space="preserve"> Przedłużenie terminu związania ofertą, o którym mowa w pkt 15.2, art. 307 ust. 3 ustawy Pzp wymaga złożenia przez wykonawcę pisemnego oświadczenia o wyrażeniu zgody na przedłużenie terminu związania ofertą.</w:t>
      </w:r>
    </w:p>
    <w:p>
      <w:pPr>
        <w:pStyle w:val="Normal"/>
        <w:spacing w:lineRule="auto" w:line="276"/>
        <w:jc w:val="both"/>
        <w:rPr/>
      </w:pPr>
      <w:r>
        <w:rPr>
          <w:b/>
          <w:bCs/>
        </w:rPr>
        <w:t>15.4.</w:t>
      </w:r>
      <w:r>
        <w:rPr/>
        <w:t xml:space="preserve"> Jeżeli termin związania ofertą upłynął przed wyborem najkorzystniejszej oferty, zamawiający zgodnie z art. 252 ust. 2 ustawy Pzp, wzywa wykonawcę, którego oferta otrzymała najwyższą ocenę, do wyrażenia pisemnej zgody na wybór jego oferty,</w:t>
        <w:br/>
        <w:t>w wyznaczonym przez Zamawiającego terminie.</w:t>
      </w:r>
    </w:p>
    <w:p>
      <w:pPr>
        <w:pStyle w:val="Normal"/>
        <w:spacing w:lineRule="auto" w:line="276"/>
        <w:rPr/>
      </w:pPr>
      <w:r>
        <w:rPr/>
      </w:r>
    </w:p>
    <w:p>
      <w:pPr>
        <w:pStyle w:val="Normal"/>
        <w:spacing w:lineRule="auto" w:line="276"/>
        <w:rPr/>
      </w:pPr>
      <w:r>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16</w:t>
            </w:r>
          </w:p>
          <w:p>
            <w:pPr>
              <w:pStyle w:val="Normal"/>
              <w:widowControl w:val="false"/>
              <w:spacing w:lineRule="auto" w:line="276"/>
              <w:jc w:val="center"/>
              <w:rPr>
                <w:b/>
                <w:bCs/>
              </w:rPr>
            </w:pPr>
            <w:r>
              <w:rPr>
                <w:b/>
                <w:bCs/>
              </w:rPr>
              <w:t>OPIS SPOSOBU OBLICZENIA CENY OFERTY</w:t>
            </w:r>
          </w:p>
        </w:tc>
      </w:tr>
    </w:tbl>
    <w:p>
      <w:pPr>
        <w:pStyle w:val="Normal"/>
        <w:spacing w:lineRule="auto" w:line="276"/>
        <w:rPr/>
      </w:pPr>
      <w:r>
        <w:rPr/>
      </w:r>
    </w:p>
    <w:p>
      <w:pPr>
        <w:pStyle w:val="Normal"/>
        <w:spacing w:lineRule="auto" w:line="276"/>
        <w:rPr/>
      </w:pPr>
      <w:r>
        <w:rPr/>
      </w:r>
    </w:p>
    <w:p>
      <w:pPr>
        <w:pStyle w:val="Normal"/>
        <w:widowControl/>
        <w:numPr>
          <w:ilvl w:val="1"/>
          <w:numId w:val="11"/>
        </w:numPr>
        <w:suppressAutoHyphens w:val="true"/>
        <w:bidi w:val="0"/>
        <w:spacing w:lineRule="auto" w:line="276" w:before="0" w:after="0"/>
        <w:ind w:left="0" w:right="0" w:hanging="0"/>
        <w:jc w:val="both"/>
        <w:rPr/>
      </w:pPr>
      <w:r>
        <w:rPr/>
        <w:t>Obowiązującą formą wynagrodzenia za wykonanie przez Wykonawcę przedmiotu zamówienia będzie wynagrodzenie ryczałtowe wskazane w Formularzu ofertowym. Cena ryczałtowa obejmuje wszystkie koszty i składniki związane z wykonaniem zamówienia</w:t>
        <w:br/>
        <w:t xml:space="preserve">w zakresie wynikającym z opisu przedmiotu zamówienia. </w:t>
      </w:r>
    </w:p>
    <w:p>
      <w:pPr>
        <w:pStyle w:val="Normal"/>
        <w:widowControl/>
        <w:numPr>
          <w:ilvl w:val="1"/>
          <w:numId w:val="11"/>
        </w:numPr>
        <w:suppressAutoHyphens w:val="true"/>
        <w:bidi w:val="0"/>
        <w:spacing w:lineRule="auto" w:line="276" w:before="0" w:after="0"/>
        <w:ind w:left="0" w:right="0" w:hanging="0"/>
        <w:jc w:val="both"/>
        <w:rPr/>
      </w:pPr>
      <w:r>
        <w:rPr/>
        <w:t>Cena winna uwzględniać wymagania wskazane w dokumentacji opisującej przedmiot zamówienia i we  wzorze umowy.</w:t>
      </w:r>
    </w:p>
    <w:p>
      <w:pPr>
        <w:pStyle w:val="Normal"/>
        <w:spacing w:lineRule="auto" w:line="276"/>
        <w:jc w:val="both"/>
        <w:rPr/>
      </w:pPr>
      <w:r>
        <w:rPr/>
        <w:t>1) W cenie powinny być również uwzględnione wszystkie koszty i składniki związane</w:t>
        <w:br/>
        <w:t>z wykonaniem przedmiotu zamówienia, w tym podatki, opłaty celne, ubezpieczenia, opłaty transportowe itp. Podana cena jest obowiązująca w całym okresie ważności oferty.</w:t>
      </w:r>
    </w:p>
    <w:p>
      <w:pPr>
        <w:pStyle w:val="Normal"/>
        <w:spacing w:lineRule="auto" w:line="276"/>
        <w:jc w:val="both"/>
        <w:rPr/>
      </w:pPr>
      <w:r>
        <w:rPr/>
        <w:t>2) Cena oferty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pPr>
        <w:pStyle w:val="Normal"/>
        <w:spacing w:lineRule="auto" w:line="276"/>
        <w:jc w:val="both"/>
        <w:rPr/>
      </w:pPr>
      <w:r>
        <w:rPr/>
      </w:r>
    </w:p>
    <w:p>
      <w:pPr>
        <w:pStyle w:val="Normal"/>
        <w:numPr>
          <w:ilvl w:val="1"/>
          <w:numId w:val="11"/>
        </w:numPr>
        <w:spacing w:lineRule="auto" w:line="276"/>
        <w:jc w:val="both"/>
        <w:rPr/>
      </w:pPr>
      <w:r>
        <w:rPr/>
        <w:t>Cenę należy obliczyć:</w:t>
      </w:r>
    </w:p>
    <w:p>
      <w:pPr>
        <w:pStyle w:val="Normal"/>
        <w:spacing w:lineRule="auto" w:line="276"/>
        <w:jc w:val="both"/>
        <w:rPr/>
      </w:pPr>
      <w:r>
        <w:rPr/>
        <w:t>1) podając cenę netto</w:t>
      </w:r>
    </w:p>
    <w:p>
      <w:pPr>
        <w:pStyle w:val="Normal"/>
        <w:spacing w:lineRule="auto" w:line="276"/>
        <w:jc w:val="both"/>
        <w:rPr/>
      </w:pPr>
      <w:r>
        <w:rPr/>
        <w:t>2) wskazując zastosowaną stawkę podatku VAT obowiązującą na dzień składania ofert</w:t>
      </w:r>
    </w:p>
    <w:p>
      <w:pPr>
        <w:pStyle w:val="Normal"/>
        <w:spacing w:lineRule="auto" w:line="276"/>
        <w:jc w:val="both"/>
        <w:rPr/>
      </w:pPr>
      <w:r>
        <w:rPr/>
        <w:t xml:space="preserve">3) obliczając wysokość podatku VAT  </w:t>
      </w:r>
    </w:p>
    <w:p>
      <w:pPr>
        <w:pStyle w:val="Normal"/>
        <w:spacing w:lineRule="auto" w:line="276"/>
        <w:jc w:val="both"/>
        <w:rPr/>
      </w:pPr>
      <w:r>
        <w:rPr/>
        <w:t>4) podając cenę brutto stanowiącą sumę wartości netto i wysokości podatku VAT.</w:t>
      </w:r>
    </w:p>
    <w:p>
      <w:pPr>
        <w:pStyle w:val="Normal"/>
        <w:spacing w:lineRule="auto" w:line="276"/>
        <w:jc w:val="both"/>
        <w:rPr/>
      </w:pPr>
      <w:r>
        <w:rPr/>
      </w:r>
    </w:p>
    <w:p>
      <w:pPr>
        <w:pStyle w:val="Normal"/>
        <w:widowControl/>
        <w:numPr>
          <w:ilvl w:val="1"/>
          <w:numId w:val="11"/>
        </w:numPr>
        <w:suppressAutoHyphens w:val="true"/>
        <w:bidi w:val="0"/>
        <w:spacing w:lineRule="auto" w:line="276" w:before="0" w:after="0"/>
        <w:ind w:left="0" w:right="0" w:hanging="0"/>
        <w:jc w:val="both"/>
        <w:rPr/>
      </w:pPr>
      <w:r>
        <w:rPr/>
        <w:t>Wszelkie rozliczenia dotyczące realizacji przedmiotu zamówienia opisanego</w:t>
        <w:br/>
        <w:t>w niniejszej specyfikacji dokonywane będą w złotych polskich.</w:t>
      </w:r>
    </w:p>
    <w:p>
      <w:pPr>
        <w:pStyle w:val="Normal"/>
        <w:widowControl/>
        <w:numPr>
          <w:ilvl w:val="1"/>
          <w:numId w:val="11"/>
        </w:numPr>
        <w:suppressAutoHyphens w:val="true"/>
        <w:bidi w:val="0"/>
        <w:spacing w:lineRule="auto" w:line="276" w:before="0" w:after="0"/>
        <w:ind w:left="0" w:right="0" w:hanging="0"/>
        <w:jc w:val="both"/>
        <w:rPr/>
      </w:pPr>
      <w:r>
        <w:rPr/>
        <w:t>Jeżeli została złożona oferta, której wybór prowadziłby do powstania</w:t>
        <w:br/>
        <w:t>u zamawiającego obowiązku podatkowego zgodnie z ustawą z dnia 11 marca 2004 r.</w:t>
        <w:br/>
        <w:t>o podatku od towarów i usług (Dz. U. z 2018 r. poz. 2174, z późn. zm.), dla celów zastosowania kryterium ceny lub kosztu zamawiający dolicza do przedstawionej w tej ofercie ceny kwotę podatku od towarów i usług, którą miałby obowiązek rozliczyć.</w:t>
      </w:r>
    </w:p>
    <w:p>
      <w:pPr>
        <w:pStyle w:val="Normal"/>
        <w:widowControl/>
        <w:numPr>
          <w:ilvl w:val="1"/>
          <w:numId w:val="11"/>
        </w:numPr>
        <w:suppressAutoHyphens w:val="true"/>
        <w:bidi w:val="0"/>
        <w:spacing w:lineRule="auto" w:line="276" w:before="0" w:after="0"/>
        <w:ind w:left="0" w:right="0" w:hanging="0"/>
        <w:jc w:val="both"/>
        <w:rPr/>
      </w:pPr>
      <w:r>
        <w:rPr/>
        <w:t>W ofercie, o której mowa w pkt 16.5 wykonawca ma obowiązek:</w:t>
      </w:r>
    </w:p>
    <w:p>
      <w:pPr>
        <w:pStyle w:val="Normal"/>
        <w:spacing w:lineRule="auto" w:line="276"/>
        <w:jc w:val="both"/>
        <w:rPr/>
      </w:pPr>
      <w:r>
        <w:rPr>
          <w:rStyle w:val="Alb"/>
        </w:rPr>
        <w:t xml:space="preserve">1) </w:t>
      </w:r>
      <w:r>
        <w:rPr/>
        <w:t>poinformowania zamawiającego, że wybór jego oferty będzie prowadził do powstania</w:t>
        <w:br/>
        <w:t>u zamawiającego obowiązku podatkowego;</w:t>
      </w:r>
    </w:p>
    <w:p>
      <w:pPr>
        <w:pStyle w:val="Normal"/>
        <w:spacing w:lineRule="auto" w:line="276"/>
        <w:jc w:val="both"/>
        <w:rPr/>
      </w:pPr>
      <w:r>
        <w:rPr>
          <w:rStyle w:val="Alb"/>
        </w:rPr>
        <w:t xml:space="preserve">2) </w:t>
      </w:r>
      <w:r>
        <w:rPr/>
        <w:t>wskazania nazwy (rodzaju) towaru lub usługi, których dostawa lub świadczenie będą prowadziły do powstania obowiązku podatkowego;</w:t>
      </w:r>
    </w:p>
    <w:p>
      <w:pPr>
        <w:pStyle w:val="Normal"/>
        <w:spacing w:lineRule="auto" w:line="276"/>
        <w:jc w:val="both"/>
        <w:rPr/>
      </w:pPr>
      <w:r>
        <w:rPr>
          <w:rStyle w:val="Alb"/>
        </w:rPr>
        <w:t xml:space="preserve">3) </w:t>
      </w:r>
      <w:r>
        <w:rPr/>
        <w:t>wskazania wartości towaru lub usługi objętego obowiązkiem podatkowym zamawiającego, bez kwoty podatku;</w:t>
      </w:r>
    </w:p>
    <w:p>
      <w:pPr>
        <w:pStyle w:val="Normal"/>
        <w:spacing w:lineRule="auto" w:line="276"/>
        <w:jc w:val="both"/>
        <w:rPr/>
      </w:pPr>
      <w:r>
        <w:rPr>
          <w:rStyle w:val="Alb"/>
        </w:rPr>
        <w:t xml:space="preserve">4) </w:t>
      </w:r>
      <w:r>
        <w:rPr/>
        <w:t>wskazania stawki podatku od towarów i usług, która zgodnie z wiedzą wykonawcy, będzie miała zastosowanie.</w:t>
      </w:r>
    </w:p>
    <w:p>
      <w:pPr>
        <w:pStyle w:val="Normal"/>
        <w:spacing w:lineRule="auto" w:line="276"/>
        <w:jc w:val="both"/>
        <w:rPr/>
      </w:pPr>
      <w:r>
        <w:rPr>
          <w:b/>
          <w:bCs/>
        </w:rPr>
        <w:t xml:space="preserve">16.7. </w:t>
      </w:r>
      <w:r>
        <w:rPr/>
        <w:t>W Formularzu oferty Wykonawca podaje cenę, z dokładnością do dwóch miejsc po przecinku w rozumieniu art. 3 ust. 1 pkt 1 i ust. 2 ustawy z dnia 9 maja 2014r.</w:t>
        <w:br/>
        <w:t xml:space="preserve">o informowaniu o cenach towarów i usług oraz ustawy z dnia 7 lipca 1994 r. o denominacji złotego, za którą podejmuje się zrealizować przedmiot zamówienia. </w:t>
      </w:r>
    </w:p>
    <w:p>
      <w:pPr>
        <w:pStyle w:val="Normal"/>
        <w:widowControl/>
        <w:numPr>
          <w:ilvl w:val="1"/>
          <w:numId w:val="11"/>
        </w:numPr>
        <w:tabs>
          <w:tab w:val="clear" w:pos="720"/>
          <w:tab w:val="left" w:pos="0" w:leader="none"/>
        </w:tabs>
        <w:suppressAutoHyphens w:val="true"/>
        <w:bidi w:val="0"/>
        <w:spacing w:lineRule="auto" w:line="276" w:before="0" w:after="0"/>
        <w:ind w:left="0" w:right="0" w:hanging="0"/>
        <w:jc w:val="both"/>
        <w:rPr/>
      </w:pPr>
      <w:r>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Oczywiste omyłki rachunkowe Zamawiający poprawi stosując zasady arytmetyki przyjmując za punkt wyjścia do poprawienia oczywistych omyłek rachunkowych cenę netto wpisaną liczbowo w Formularzu ofertowym, niezwłocznie zawiadamiając o tym Wykonawcę, którego oferta została poprawiona.</w:t>
      </w:r>
    </w:p>
    <w:p>
      <w:pPr>
        <w:pStyle w:val="Normal"/>
        <w:widowControl/>
        <w:numPr>
          <w:ilvl w:val="1"/>
          <w:numId w:val="11"/>
        </w:numPr>
        <w:suppressAutoHyphens w:val="true"/>
        <w:bidi w:val="0"/>
        <w:spacing w:lineRule="auto" w:line="276" w:before="0" w:after="0"/>
        <w:ind w:left="0" w:right="0" w:hanging="0"/>
        <w:jc w:val="left"/>
        <w:rPr/>
      </w:pPr>
      <w:r>
        <w:rPr/>
        <w:t xml:space="preserve">Wynagrodzenie będzie płatne zgodnie z Projektem-wzorem umowy Załącznik Nr 2 do SWZ. </w:t>
      </w:r>
    </w:p>
    <w:p>
      <w:pPr>
        <w:pStyle w:val="Normal"/>
        <w:spacing w:lineRule="auto" w:line="276"/>
        <w:rPr/>
      </w:pPr>
      <w:r>
        <w:rPr/>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17</w:t>
            </w:r>
          </w:p>
          <w:p>
            <w:pPr>
              <w:pStyle w:val="Normal"/>
              <w:widowControl w:val="false"/>
              <w:spacing w:lineRule="auto" w:line="276"/>
              <w:jc w:val="center"/>
              <w:rPr>
                <w:b/>
                <w:bCs/>
              </w:rPr>
            </w:pPr>
            <w:r>
              <w:rPr>
                <w:b/>
                <w:bCs/>
              </w:rPr>
              <w:t xml:space="preserve">OPIS KRYTERIÓW, KTÓRYMI ZAMAWIAJĄCY BĘDZIE SIĘ KIEROWAŁ </w:t>
              <w:br/>
              <w:t xml:space="preserve">PRZY WYBORZE OFERTY, WRAZ Z PODANIEM WAG </w:t>
              <w:br/>
              <w:t>TYCH KRYTERIÓW I SPOSOBU OCENY OFERT</w:t>
            </w:r>
          </w:p>
        </w:tc>
      </w:tr>
    </w:tbl>
    <w:p>
      <w:pPr>
        <w:pStyle w:val="Normal"/>
        <w:spacing w:lineRule="auto" w:line="276"/>
        <w:rPr/>
      </w:pPr>
      <w:r>
        <w:rPr/>
      </w:r>
    </w:p>
    <w:p>
      <w:pPr>
        <w:pStyle w:val="Normal"/>
        <w:widowControl/>
        <w:numPr>
          <w:ilvl w:val="1"/>
          <w:numId w:val="18"/>
        </w:numPr>
        <w:suppressAutoHyphens w:val="true"/>
        <w:bidi w:val="0"/>
        <w:spacing w:lineRule="auto" w:line="276" w:before="0" w:after="0"/>
        <w:ind w:left="0" w:right="0" w:hanging="0"/>
        <w:jc w:val="left"/>
        <w:rPr/>
      </w:pPr>
      <w:r>
        <w:rPr/>
        <w:t>Zamawiający dokona oceny ofert, które nie zostały odrzucone, na podstawie następujących kryteriów oceny ofert:</w:t>
      </w:r>
    </w:p>
    <w:p>
      <w:pPr>
        <w:pStyle w:val="Normal"/>
        <w:spacing w:lineRule="auto" w:line="276"/>
        <w:rPr/>
      </w:pPr>
      <w:r>
        <w:rPr/>
      </w:r>
    </w:p>
    <w:p>
      <w:pPr>
        <w:pStyle w:val="Normal"/>
        <w:spacing w:lineRule="auto" w:line="276"/>
        <w:rPr/>
      </w:pPr>
      <w:r>
        <w:rPr/>
      </w:r>
    </w:p>
    <w:tbl>
      <w:tblPr>
        <w:tblW w:w="8365" w:type="dxa"/>
        <w:jc w:val="left"/>
        <w:tblInd w:w="810" w:type="dxa"/>
        <w:tblLayout w:type="fixed"/>
        <w:tblCellMar>
          <w:top w:w="0" w:type="dxa"/>
          <w:left w:w="108" w:type="dxa"/>
          <w:bottom w:w="0" w:type="dxa"/>
          <w:right w:w="108" w:type="dxa"/>
        </w:tblCellMar>
        <w:tblLook w:firstRow="1" w:noVBand="0" w:lastRow="0" w:firstColumn="1" w:lastColumn="0" w:noHBand="0" w:val="00a0"/>
      </w:tblPr>
      <w:tblGrid>
        <w:gridCol w:w="823"/>
        <w:gridCol w:w="5024"/>
        <w:gridCol w:w="2518"/>
      </w:tblGrid>
      <w:tr>
        <w:trPr/>
        <w:tc>
          <w:tcPr>
            <w:tcW w:w="823"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76"/>
              <w:rPr/>
            </w:pPr>
            <w:r>
              <w:rPr/>
              <w:t>Lp.</w:t>
            </w:r>
          </w:p>
        </w:tc>
        <w:tc>
          <w:tcPr>
            <w:tcW w:w="5024"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76"/>
              <w:rPr/>
            </w:pPr>
            <w:r>
              <w:rPr/>
              <w:t>Nazwa kryterium</w:t>
            </w:r>
          </w:p>
        </w:tc>
        <w:tc>
          <w:tcPr>
            <w:tcW w:w="2518"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76"/>
              <w:rPr/>
            </w:pPr>
            <w:r>
              <w:rPr/>
              <w:t>Znaczenie kryterium (w %)</w:t>
            </w:r>
          </w:p>
        </w:tc>
      </w:tr>
      <w:tr>
        <w:trPr/>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1</w:t>
            </w:r>
          </w:p>
        </w:tc>
        <w:tc>
          <w:tcPr>
            <w:tcW w:w="5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Cena (C)</w:t>
            </w:r>
          </w:p>
        </w:tc>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60</w:t>
            </w:r>
          </w:p>
        </w:tc>
      </w:tr>
      <w:tr>
        <w:trPr>
          <w:trHeight w:val="473" w:hRule="atLeast"/>
        </w:trPr>
        <w:tc>
          <w:tcPr>
            <w:tcW w:w="8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t>2</w:t>
            </w:r>
          </w:p>
        </w:tc>
        <w:tc>
          <w:tcPr>
            <w:tcW w:w="5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t>Długość okresu gwarancji na roboty budowlane oraz zamontowane materiały i urządzenia inne niż wymienione w ust. 4.8.2. pkt 1-4  SWZ(G)</w:t>
            </w:r>
          </w:p>
        </w:tc>
        <w:tc>
          <w:tcPr>
            <w:tcW w:w="2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t>40</w:t>
            </w:r>
          </w:p>
        </w:tc>
      </w:tr>
    </w:tbl>
    <w:p>
      <w:pPr>
        <w:pStyle w:val="Normal"/>
        <w:spacing w:lineRule="auto" w:line="276"/>
        <w:rPr/>
      </w:pPr>
      <w:r>
        <w:rPr/>
      </w:r>
    </w:p>
    <w:p>
      <w:pPr>
        <w:pStyle w:val="Normal"/>
        <w:spacing w:lineRule="auto" w:line="276"/>
        <w:rPr/>
      </w:pPr>
      <w:r>
        <w:rPr/>
      </w:r>
    </w:p>
    <w:p>
      <w:pPr>
        <w:pStyle w:val="Normal"/>
        <w:spacing w:lineRule="auto" w:line="276"/>
        <w:rPr/>
      </w:pPr>
      <w:r>
        <w:rPr/>
        <w:t xml:space="preserve">Zamawiający dokona oceny ofert przyznając punkty w ramach poszczególnych kryteriów oceny ofert, przyjmując </w:t>
      </w:r>
      <w:r>
        <w:rPr>
          <w:b/>
          <w:bCs/>
        </w:rPr>
        <w:t>zasadę, że 1% = 1 punkt.</w:t>
      </w:r>
    </w:p>
    <w:p>
      <w:pPr>
        <w:pStyle w:val="Normal"/>
        <w:spacing w:lineRule="auto" w:line="276"/>
        <w:rPr/>
      </w:pPr>
      <w:r>
        <w:rPr/>
      </w:r>
    </w:p>
    <w:p>
      <w:pPr>
        <w:pStyle w:val="Normal"/>
        <w:spacing w:lineRule="auto" w:line="276"/>
        <w:rPr/>
      </w:pPr>
      <w:r>
        <w:rPr>
          <w:b/>
          <w:bCs/>
        </w:rPr>
        <w:t xml:space="preserve">17.2. </w:t>
      </w:r>
      <w:r>
        <w:rPr/>
        <w:t xml:space="preserve">Punkty w kryterium </w:t>
      </w:r>
      <w:r>
        <w:rPr>
          <w:b/>
          <w:bCs/>
        </w:rPr>
        <w:t xml:space="preserve">„Cena” </w:t>
      </w:r>
      <w:r>
        <w:rPr/>
        <w:t>zostaną obliczone według wzoru:</w:t>
      </w:r>
    </w:p>
    <w:p>
      <w:pPr>
        <w:pStyle w:val="Normal"/>
        <w:spacing w:lineRule="auto" w:line="276"/>
        <w:rPr/>
      </w:pPr>
      <w:r>
        <w:rPr/>
        <w:tab/>
        <w:t>Cn</w:t>
      </w:r>
    </w:p>
    <w:p>
      <w:pPr>
        <w:pStyle w:val="Normal"/>
        <w:spacing w:lineRule="auto" w:line="276"/>
        <w:rPr/>
      </w:pPr>
      <w:r>
        <w:rPr/>
        <w:t xml:space="preserve">C = </w:t>
        <w:tab/>
        <w:t xml:space="preserve">------- x 60 pkt </w:t>
      </w:r>
    </w:p>
    <w:p>
      <w:pPr>
        <w:pStyle w:val="Normal"/>
        <w:spacing w:lineRule="auto" w:line="276"/>
        <w:rPr/>
      </w:pPr>
      <w:r>
        <w:rPr/>
        <w:tab/>
        <w:t>Cb</w:t>
      </w:r>
    </w:p>
    <w:p>
      <w:pPr>
        <w:pStyle w:val="Normal"/>
        <w:spacing w:lineRule="auto" w:line="276"/>
        <w:rPr/>
      </w:pPr>
      <w:r>
        <w:rPr/>
        <w:tab/>
        <w:t>gdzie,</w:t>
      </w:r>
    </w:p>
    <w:p>
      <w:pPr>
        <w:pStyle w:val="Normal"/>
        <w:spacing w:lineRule="auto" w:line="276"/>
        <w:rPr/>
      </w:pPr>
      <w:r>
        <w:rPr/>
        <w:t>C- ilość punktów za kryterium cena,</w:t>
      </w:r>
    </w:p>
    <w:p>
      <w:pPr>
        <w:pStyle w:val="Normal"/>
        <w:spacing w:lineRule="auto" w:line="276"/>
        <w:rPr/>
      </w:pPr>
      <w:r>
        <w:rPr/>
        <w:t>Cn - najniższa cena ofertowa spośród ofert nieodrzuconych,</w:t>
      </w:r>
    </w:p>
    <w:p>
      <w:pPr>
        <w:pStyle w:val="Normal"/>
        <w:spacing w:lineRule="auto" w:line="276"/>
        <w:rPr/>
      </w:pPr>
      <w:r>
        <w:rPr/>
        <w:t>Cb – cena oferty badanej.</w:t>
      </w:r>
    </w:p>
    <w:p>
      <w:pPr>
        <w:pStyle w:val="Normal"/>
        <w:spacing w:lineRule="auto" w:line="276"/>
        <w:rPr/>
      </w:pPr>
      <w:r>
        <w:rPr/>
        <w:t>Końcowy wynik powyższego działania zostanie zaokrąglony do dwóch miejsc po przecinku zgodnie z zasadami arytmetyki.</w:t>
      </w:r>
    </w:p>
    <w:p>
      <w:pPr>
        <w:pStyle w:val="Normal"/>
        <w:spacing w:lineRule="auto" w:line="276"/>
        <w:rPr/>
      </w:pPr>
      <w:r>
        <w:rPr/>
      </w:r>
    </w:p>
    <w:p>
      <w:pPr>
        <w:pStyle w:val="Normal"/>
        <w:spacing w:lineRule="auto" w:line="276"/>
        <w:jc w:val="both"/>
        <w:rPr/>
      </w:pPr>
      <w:r>
        <w:rPr>
          <w:b/>
          <w:bCs/>
        </w:rPr>
        <w:t>17.3.</w:t>
      </w:r>
      <w:r>
        <w:rPr>
          <w:b w:val="false"/>
          <w:bCs w:val="false"/>
        </w:rPr>
        <w:t xml:space="preserve"> Punkty w kryterium </w:t>
      </w:r>
      <w:r>
        <w:rPr>
          <w:b/>
          <w:bCs/>
        </w:rPr>
        <w:t>„Długość okresu gwarancji na roboty budowlane oraz zamontowane materiały i urządzenia inne niż wymienione w ust. 4.8.2. pkt 1-4 SWZ”  (G)</w:t>
      </w:r>
      <w:r>
        <w:rPr>
          <w:b w:val="false"/>
          <w:bCs w:val="false"/>
        </w:rPr>
        <w:t xml:space="preserve"> objęte przedmiotem zamówienia liczone będą w okresach miesięcznych. W przypadku zaoferowania maksymalnej długości okresu gwarancji tj. 60 miesięcy, Wykonawca otrzyma czterdzieści (40) punktów, pozostali Wykonawcy będą oceniani wg następującego wzoru: </w:t>
      </w:r>
    </w:p>
    <w:p>
      <w:pPr>
        <w:pStyle w:val="Normal"/>
        <w:spacing w:lineRule="auto" w:line="276"/>
        <w:jc w:val="both"/>
        <w:rPr>
          <w:b w:val="false"/>
          <w:bCs w:val="false"/>
        </w:rPr>
      </w:pPr>
      <w:r>
        <w:rPr>
          <w:b w:val="false"/>
          <w:bCs w:val="false"/>
        </w:rPr>
      </w:r>
    </w:p>
    <w:tbl>
      <w:tblPr>
        <w:tblW w:w="355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54"/>
        <w:gridCol w:w="2700"/>
      </w:tblGrid>
      <w:tr>
        <w:trPr/>
        <w:tc>
          <w:tcPr>
            <w:tcW w:w="854"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Times New Roman" w:hAnsi="Times New Roman" w:eastAsia="Calibri" w:cs="Helvetica"/>
                <w:b/>
                <w:i w:val="false"/>
                <w:i w:val="false"/>
                <w:iCs w:val="false"/>
                <w:color w:val="000000"/>
              </w:rPr>
            </w:pPr>
            <w:r>
              <w:rPr>
                <w:rFonts w:eastAsia="Calibri" w:cs="Helvetica"/>
                <w:b/>
                <w:i w:val="false"/>
                <w:iCs w:val="false"/>
                <w:color w:val="000000"/>
              </w:rPr>
            </w:r>
          </w:p>
        </w:tc>
        <w:tc>
          <w:tcPr>
            <w:tcW w:w="2700" w:type="dxa"/>
            <w:tcBorders/>
            <w:shd w:color="auto" w:fill="auto" w:val="clear"/>
          </w:tcPr>
          <w:p>
            <w:pPr>
              <w:pStyle w:val="Normal"/>
              <w:widowControl w:val="false"/>
              <w:numPr>
                <w:ilvl w:val="0"/>
                <w:numId w:val="0"/>
              </w:numPr>
              <w:spacing w:lineRule="auto" w:line="276" w:before="0" w:after="0"/>
              <w:ind w:left="444" w:hanging="0"/>
              <w:contextualSpacing/>
              <w:rPr>
                <w:rFonts w:ascii="Times New Roman" w:hAnsi="Times New Roman"/>
                <w:i w:val="false"/>
                <w:i w:val="false"/>
                <w:iCs w:val="false"/>
              </w:rPr>
            </w:pPr>
            <w:r>
              <w:rPr>
                <w:rFonts w:eastAsia="Cambria" w:cs="Cambria"/>
                <w:b/>
                <w:i w:val="false"/>
                <w:iCs w:val="false"/>
                <w:color w:val="000000"/>
              </w:rPr>
              <w:t xml:space="preserve">       </w:t>
            </w:r>
            <w:r>
              <w:rPr>
                <w:rFonts w:eastAsia="Calibri" w:cs="Helvetica"/>
                <w:b/>
                <w:i w:val="false"/>
                <w:iCs w:val="false"/>
                <w:color w:val="000000"/>
              </w:rPr>
              <w:t xml:space="preserve">G </w:t>
            </w:r>
            <w:r>
              <w:rPr>
                <w:rFonts w:eastAsia="Calibri" w:cs="Helvetica"/>
                <w:b/>
                <w:i w:val="false"/>
                <w:iCs w:val="false"/>
                <w:color w:val="000000"/>
                <w:vertAlign w:val="subscript"/>
              </w:rPr>
              <w:t>o</w:t>
            </w:r>
          </w:p>
        </w:tc>
      </w:tr>
      <w:tr>
        <w:trPr/>
        <w:tc>
          <w:tcPr>
            <w:tcW w:w="854" w:type="dxa"/>
            <w:tcBorders/>
            <w:shd w:color="auto" w:fill="auto" w:val="clear"/>
          </w:tcPr>
          <w:p>
            <w:pPr>
              <w:pStyle w:val="Normal"/>
              <w:widowControl w:val="false"/>
              <w:spacing w:lineRule="auto" w:line="276" w:before="0" w:after="0"/>
              <w:contextualSpacing/>
              <w:jc w:val="left"/>
              <w:rPr>
                <w:rFonts w:ascii="Times New Roman" w:hAnsi="Times New Roman"/>
                <w:i w:val="false"/>
                <w:i w:val="false"/>
                <w:iCs w:val="false"/>
              </w:rPr>
            </w:pPr>
            <w:r>
              <w:rPr>
                <w:rFonts w:eastAsia="Calibri" w:cs="Helvetica"/>
                <w:b/>
                <w:i w:val="false"/>
                <w:iCs w:val="false"/>
                <w:color w:val="000000"/>
              </w:rPr>
              <w:t>G =</w:t>
            </w:r>
          </w:p>
        </w:tc>
        <w:tc>
          <w:tcPr>
            <w:tcW w:w="2700" w:type="dxa"/>
            <w:tcBorders/>
            <w:shd w:color="auto" w:fill="auto" w:val="clear"/>
          </w:tcPr>
          <w:p>
            <w:pPr>
              <w:pStyle w:val="Normal"/>
              <w:widowControl w:val="false"/>
              <w:numPr>
                <w:ilvl w:val="0"/>
                <w:numId w:val="0"/>
              </w:numPr>
              <w:suppressAutoHyphens w:val="true"/>
              <w:bidi w:val="0"/>
              <w:spacing w:lineRule="auto" w:line="276" w:before="0" w:after="0"/>
              <w:ind w:left="273" w:right="0" w:hanging="0"/>
              <w:contextualSpacing/>
              <w:jc w:val="center"/>
              <w:rPr>
                <w:rFonts w:ascii="Times New Roman" w:hAnsi="Times New Roman"/>
                <w:i w:val="false"/>
                <w:i w:val="false"/>
                <w:iCs w:val="false"/>
              </w:rPr>
            </w:pPr>
            <w:r>
              <w:rPr>
                <w:rFonts w:eastAsia="Calibri" w:cs="Helvetica"/>
                <w:b/>
                <w:i w:val="false"/>
                <w:iCs w:val="false"/>
                <w:color w:val="000000"/>
              </w:rPr>
              <w:t>-----------   x 40 pkt</w:t>
            </w:r>
          </w:p>
        </w:tc>
      </w:tr>
      <w:tr>
        <w:trPr/>
        <w:tc>
          <w:tcPr>
            <w:tcW w:w="854"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Times New Roman" w:hAnsi="Times New Roman" w:eastAsia="Calibri" w:cs="Helvetica"/>
                <w:b/>
                <w:i w:val="false"/>
                <w:i w:val="false"/>
                <w:iCs w:val="false"/>
                <w:color w:val="000000"/>
              </w:rPr>
            </w:pPr>
            <w:r>
              <w:rPr>
                <w:rFonts w:eastAsia="Calibri" w:cs="Helvetica"/>
                <w:b/>
                <w:i w:val="false"/>
                <w:iCs w:val="false"/>
                <w:color w:val="000000"/>
              </w:rPr>
            </w:r>
          </w:p>
        </w:tc>
        <w:tc>
          <w:tcPr>
            <w:tcW w:w="2700" w:type="dxa"/>
            <w:tcBorders/>
            <w:shd w:color="auto" w:fill="auto" w:val="clear"/>
          </w:tcPr>
          <w:p>
            <w:pPr>
              <w:pStyle w:val="Normal"/>
              <w:widowControl w:val="false"/>
              <w:numPr>
                <w:ilvl w:val="0"/>
                <w:numId w:val="0"/>
              </w:numPr>
              <w:spacing w:lineRule="auto" w:line="276" w:before="0" w:after="0"/>
              <w:ind w:left="444" w:hanging="0"/>
              <w:contextualSpacing/>
              <w:rPr>
                <w:rFonts w:ascii="Times New Roman" w:hAnsi="Times New Roman"/>
                <w:i w:val="false"/>
                <w:i w:val="false"/>
                <w:iCs w:val="false"/>
              </w:rPr>
            </w:pPr>
            <w:r>
              <w:rPr>
                <w:rFonts w:eastAsia="Cambria" w:cs="Cambria"/>
                <w:b/>
                <w:i w:val="false"/>
                <w:iCs w:val="false"/>
                <w:color w:val="000000"/>
              </w:rPr>
              <w:t xml:space="preserve">     </w:t>
            </w:r>
            <w:r>
              <w:rPr>
                <w:rFonts w:eastAsia="Calibri" w:cs="Helvetica"/>
                <w:b/>
                <w:i w:val="false"/>
                <w:iCs w:val="false"/>
                <w:color w:val="000000"/>
              </w:rPr>
              <w:t xml:space="preserve">G </w:t>
            </w:r>
            <w:r>
              <w:rPr>
                <w:rFonts w:eastAsia="Calibri" w:cs="Helvetica"/>
                <w:b/>
                <w:i w:val="false"/>
                <w:iCs w:val="false"/>
                <w:color w:val="000000"/>
                <w:vertAlign w:val="subscript"/>
              </w:rPr>
              <w:t>max.</w:t>
            </w:r>
          </w:p>
        </w:tc>
      </w:tr>
    </w:tbl>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Cs/>
          <w:color w:val="000000"/>
        </w:rPr>
        <w:t>gdzie:</w:t>
      </w:r>
    </w:p>
    <w:p>
      <w:pPr>
        <w:pStyle w:val="Normal"/>
        <w:numPr>
          <w:ilvl w:val="0"/>
          <w:numId w:val="0"/>
        </w:numPr>
        <w:tabs>
          <w:tab w:val="clear" w:pos="720"/>
          <w:tab w:val="left" w:pos="360" w:leader="none"/>
        </w:tabs>
        <w:spacing w:lineRule="auto" w:line="276" w:before="0" w:after="0"/>
        <w:ind w:left="1153" w:hanging="0"/>
        <w:contextualSpacing/>
        <w:jc w:val="both"/>
        <w:rPr>
          <w:rFonts w:ascii="Times New Roman" w:hAnsi="Times New Roman" w:eastAsia="Calibri" w:cs="Arial"/>
          <w:bCs/>
          <w:color w:val="000000"/>
        </w:rPr>
      </w:pPr>
      <w:r>
        <w:rPr>
          <w:rFonts w:eastAsia="Calibri" w:cs="Arial"/>
          <w:bCs/>
          <w:color w:val="000000"/>
        </w:rPr>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
          <w:bCs/>
          <w:color w:val="000000"/>
          <w:lang w:val="de-DE"/>
        </w:rPr>
        <w:t xml:space="preserve">G </w:t>
        <w:tab/>
      </w:r>
      <w:r>
        <w:rPr>
          <w:rFonts w:eastAsia="Calibri" w:cs="Arial"/>
          <w:bCs/>
          <w:color w:val="000000"/>
        </w:rPr>
        <w:t xml:space="preserve">- </w:t>
        <w:tab/>
        <w:t>wartość punktowa, którą należy wyznaczyć,</w:t>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
          <w:bCs/>
          <w:color w:val="000000"/>
          <w:lang w:val="de-DE"/>
        </w:rPr>
        <w:t xml:space="preserve">G </w:t>
      </w:r>
      <w:r>
        <w:rPr>
          <w:rFonts w:eastAsia="Calibri" w:cs="Arial"/>
          <w:b/>
          <w:bCs/>
          <w:color w:val="000000"/>
          <w:vertAlign w:val="subscript"/>
          <w:lang w:val="de-DE"/>
        </w:rPr>
        <w:t>max.</w:t>
      </w:r>
      <w:r>
        <w:rPr>
          <w:rFonts w:eastAsia="Calibri" w:cs="Arial"/>
          <w:bCs/>
          <w:color w:val="000000"/>
        </w:rPr>
        <w:t xml:space="preserve"> -  najdłuższy oferowany okres gwarancji ( max 60 miesięcy),</w:t>
      </w:r>
    </w:p>
    <w:p>
      <w:pPr>
        <w:pStyle w:val="Normal"/>
        <w:numPr>
          <w:ilvl w:val="0"/>
          <w:numId w:val="0"/>
        </w:numPr>
        <w:tabs>
          <w:tab w:val="clear" w:pos="720"/>
          <w:tab w:val="left" w:pos="360" w:leader="none"/>
        </w:tabs>
        <w:spacing w:lineRule="auto" w:line="276" w:before="0" w:after="0"/>
        <w:ind w:left="0" w:hanging="0"/>
        <w:contextualSpacing/>
        <w:jc w:val="both"/>
        <w:rPr>
          <w:rFonts w:ascii="Times New Roman" w:hAnsi="Times New Roman"/>
        </w:rPr>
      </w:pPr>
      <w:r>
        <w:rPr>
          <w:rFonts w:eastAsia="Calibri" w:cs="Arial"/>
          <w:b/>
          <w:bCs/>
          <w:color w:val="000000"/>
          <w:lang w:val="de-DE"/>
        </w:rPr>
        <w:t>G</w:t>
      </w:r>
      <w:r>
        <w:rPr>
          <w:rFonts w:eastAsia="Calibri" w:cs="Arial"/>
          <w:b/>
          <w:bCs/>
          <w:color w:val="000000"/>
          <w:vertAlign w:val="subscript"/>
          <w:lang w:val="de-DE"/>
        </w:rPr>
        <w:t>o</w:t>
        <w:tab/>
      </w:r>
      <w:r>
        <w:rPr>
          <w:rFonts w:eastAsia="Calibri" w:cs="Arial"/>
          <w:bCs/>
          <w:color w:val="000000"/>
        </w:rPr>
        <w:t xml:space="preserve">- </w:t>
        <w:tab/>
        <w:t>okres gwarancji podany w badanej ofercie.</w:t>
      </w:r>
    </w:p>
    <w:p>
      <w:pPr>
        <w:pStyle w:val="Kolorowecieniowanieakcent31"/>
        <w:numPr>
          <w:ilvl w:val="0"/>
          <w:numId w:val="0"/>
        </w:numPr>
        <w:tabs>
          <w:tab w:val="clear" w:pos="720"/>
          <w:tab w:val="left" w:pos="851" w:leader="none"/>
        </w:tabs>
        <w:spacing w:lineRule="auto" w:line="276" w:before="20" w:after="0"/>
        <w:ind w:left="804" w:hanging="0"/>
        <w:contextualSpacing/>
        <w:jc w:val="center"/>
        <w:rPr>
          <w:rFonts w:ascii="Times New Roman" w:hAnsi="Times New Roman"/>
        </w:rPr>
      </w:pPr>
      <w:r>
        <w:rPr>
          <w:rFonts w:ascii="Times New Roman" w:hAnsi="Times New Roman"/>
          <w:b/>
          <w:bCs/>
          <w:color w:val="000000"/>
          <w:sz w:val="24"/>
          <w:szCs w:val="24"/>
        </w:rPr>
        <w:t>Uwaga:</w:t>
      </w:r>
    </w:p>
    <w:tbl>
      <w:tblPr>
        <w:tblW w:w="9405"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rFonts w:ascii="Times New Roman" w:hAnsi="Times New Roman"/>
              </w:rPr>
            </w:pPr>
            <w:r>
              <w:rPr>
                <w:rFonts w:eastAsia="Calibri" w:cs="Helvetica"/>
                <w:color w:val="000000"/>
              </w:rPr>
              <w:t>Zamawiający określa minimalną oraz maksymalną długość okresu gwarancji,</w:t>
              <w:br/>
              <w:t xml:space="preserve">w przedziale od 24 miesięcy do 60 miesięcy. </w:t>
            </w:r>
            <w:r>
              <w:rPr>
                <w:rFonts w:eastAsia="Calibri" w:cs="Helvetica"/>
                <w:b/>
                <w:color w:val="000000"/>
              </w:rPr>
              <w:t>W przypadku zaoferowania przez Wykonawcę długości gwarancji krótszego niż 24 m-ce, Zamawiający ofertę odrzuci</w:t>
            </w:r>
            <w:r>
              <w:rPr>
                <w:rFonts w:eastAsia="Calibri" w:cs="Helvetica"/>
                <w:color w:val="000000"/>
              </w:rPr>
              <w:t xml:space="preserve">. W przypadku niepodania w ofercie informacji na temat długości gwarancji na roboty budowlane oraz zamontowane materiały i urządzenia inne niż wymienione w ust. 4.8.2. pkt 1-4 SWZ Zamawiający uzna, że Wykonawca zaoferował minimalny dopuszczalny okres gwarancji wynoszący 24 miesiące i zastosuje art. 223 ust. 2 pkt 3) ustawy niezwłocznie zawiadamiając o tym Wykonawcę, którego oferta została poprawiona, a następnie odpowiednio obliczy punktację w tym kryterium. W przypadku braku odpowiedzi Wykonawcy na poprawę w wyznaczonym terminie, uznaje się za wyrażenie zgody na poprawienie omyłki.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materiały i urządzenia inne niż wymienione w ust. 4.8.2. pkt 1-4 SWZ”. </w:t>
            </w:r>
            <w:r>
              <w:rPr>
                <w:rFonts w:eastAsia="Calibri" w:cs="Helvetica"/>
                <w:b/>
                <w:color w:val="000000"/>
              </w:rPr>
              <w:t>Wykonawcy oferują długości okresu gwarancji w pełnych miesiącach (w przedziale od 24 do 60 miesięcy).</w:t>
            </w:r>
          </w:p>
        </w:tc>
      </w:tr>
    </w:tbl>
    <w:p>
      <w:pPr>
        <w:pStyle w:val="Normal"/>
        <w:spacing w:lineRule="auto" w:line="276"/>
        <w:jc w:val="both"/>
        <w:rPr/>
      </w:pPr>
      <w:r>
        <w:rPr>
          <w:b/>
          <w:bCs/>
        </w:rPr>
        <w:t xml:space="preserve">17.4. </w:t>
      </w:r>
      <w:r>
        <w:rPr/>
        <w:t>Za najkorzystniejszą ofertę zostanie uznana oferta, która przedstawia najkorzystniejszy bilans kryteriów oceny ofert i otrzyma największą ilość punktów (O) obliczoną na podstawie wzoru:</w:t>
      </w:r>
    </w:p>
    <w:p>
      <w:pPr>
        <w:pStyle w:val="Normal"/>
        <w:spacing w:lineRule="auto" w:line="276"/>
        <w:jc w:val="center"/>
        <w:rPr>
          <w:b/>
          <w:bCs/>
        </w:rPr>
      </w:pPr>
      <w:r>
        <w:rPr>
          <w:b/>
          <w:bCs/>
        </w:rPr>
        <w:t xml:space="preserve">O = C + G </w:t>
      </w:r>
    </w:p>
    <w:p>
      <w:pPr>
        <w:pStyle w:val="Normal"/>
        <w:spacing w:lineRule="auto" w:line="276"/>
        <w:jc w:val="both"/>
        <w:rPr/>
      </w:pPr>
      <w:r>
        <w:rPr/>
        <w:t xml:space="preserve">gdzie: </w:t>
      </w:r>
    </w:p>
    <w:p>
      <w:pPr>
        <w:pStyle w:val="Normal"/>
        <w:spacing w:lineRule="auto" w:line="276"/>
        <w:jc w:val="both"/>
        <w:rPr/>
      </w:pPr>
      <w:r>
        <w:rPr>
          <w:b/>
          <w:bCs/>
        </w:rPr>
        <w:t>O</w:t>
      </w:r>
      <w:r>
        <w:rPr/>
        <w:t xml:space="preserve">- łączna ilość punktów oferty ocenianej, </w:t>
      </w:r>
    </w:p>
    <w:p>
      <w:pPr>
        <w:pStyle w:val="Normal"/>
        <w:spacing w:lineRule="auto" w:line="276"/>
        <w:jc w:val="both"/>
        <w:rPr/>
      </w:pPr>
      <w:r>
        <w:rPr>
          <w:b/>
          <w:bCs/>
        </w:rPr>
        <w:t>C</w:t>
      </w:r>
      <w:r>
        <w:rPr/>
        <w:t xml:space="preserve">- liczba punktów uzyskanych w kryterium </w:t>
      </w:r>
      <w:r>
        <w:rPr>
          <w:b/>
          <w:bCs/>
        </w:rPr>
        <w:t>„Cena”,</w:t>
      </w:r>
    </w:p>
    <w:p>
      <w:pPr>
        <w:pStyle w:val="Normal"/>
        <w:spacing w:lineRule="auto" w:line="276"/>
        <w:jc w:val="both"/>
        <w:rPr/>
      </w:pPr>
      <w:r>
        <w:rPr>
          <w:b/>
          <w:bCs/>
        </w:rPr>
        <w:t>G</w:t>
      </w:r>
      <w:r>
        <w:rPr/>
        <w:t xml:space="preserve">- liczba punktów uzyskanych w kryterium </w:t>
      </w:r>
      <w:r>
        <w:rPr>
          <w:b/>
          <w:bCs/>
        </w:rPr>
        <w:t>„Długość okresu gwarancji na roboty budowlane oraz zamontowane materiały i urządzenia inne niż wymienione w ust. 4.8.2. pkt 1-4 SWZ”.</w:t>
      </w:r>
    </w:p>
    <w:p>
      <w:pPr>
        <w:pStyle w:val="Normal"/>
        <w:spacing w:lineRule="auto" w:line="276"/>
        <w:jc w:val="both"/>
        <w:rPr>
          <w:b/>
          <w:bCs/>
        </w:rPr>
      </w:pPr>
      <w:r>
        <w:rPr>
          <w:b/>
          <w:bCs/>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c>
          <w:tcPr>
            <w:tcW w:w="9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18</w:t>
            </w:r>
          </w:p>
          <w:p>
            <w:pPr>
              <w:pStyle w:val="Normal"/>
              <w:widowControl w:val="false"/>
              <w:spacing w:lineRule="auto" w:line="276"/>
              <w:jc w:val="center"/>
              <w:rPr>
                <w:b/>
                <w:bCs/>
              </w:rPr>
            </w:pPr>
            <w:r>
              <w:rPr>
                <w:b/>
                <w:bCs/>
              </w:rPr>
              <w:t>UDZIELENIE ZAMÓWIENIA</w:t>
            </w:r>
          </w:p>
        </w:tc>
      </w:tr>
    </w:tbl>
    <w:p>
      <w:pPr>
        <w:pStyle w:val="Normal"/>
        <w:spacing w:lineRule="auto" w:line="276"/>
        <w:rPr/>
      </w:pPr>
      <w:r>
        <w:rPr/>
      </w:r>
    </w:p>
    <w:p>
      <w:pPr>
        <w:pStyle w:val="Normal"/>
        <w:spacing w:lineRule="auto" w:line="276"/>
        <w:jc w:val="both"/>
        <w:rPr/>
      </w:pPr>
      <w:r>
        <w:rPr>
          <w:b/>
          <w:bCs/>
        </w:rPr>
        <w:t>18.1.</w:t>
      </w:r>
      <w:r>
        <w:rPr/>
        <w:t xml:space="preserve"> Zamawiający udzieli zamówienia temu Wykonawcy, którego oferta została wybrana jako najkorzystniejsza.</w:t>
      </w:r>
    </w:p>
    <w:p>
      <w:pPr>
        <w:pStyle w:val="Normal"/>
        <w:spacing w:lineRule="auto" w:line="276"/>
        <w:jc w:val="both"/>
        <w:rPr/>
      </w:pPr>
      <w:r>
        <w:rPr>
          <w:b/>
          <w:bCs/>
        </w:rPr>
        <w:t>18.2.</w:t>
      </w:r>
      <w:r>
        <w:rPr/>
        <w:t xml:space="preserve"> Zgodnie z art. </w:t>
      </w:r>
      <w:r>
        <w:rPr>
          <w:lang w:val="pl-PL" w:eastAsia="zh-CN" w:bidi="hi-IN"/>
        </w:rPr>
        <w:t>252 w powiązaniu z art. 307</w:t>
      </w:r>
      <w:r>
        <w:rPr/>
        <w:t xml:space="preserve"> ustawy Pzp, jeżeli termin związania ofertą upłynął przed wyborem najkorzystniejszej oferty, Zamawiający wzywa Wykonawcę, którego oferta otrzymała najwyższą ocenę, do wyrażenia, w wyznaczonym przez Zamawiającego terminie, pisemnej zgody na wybór jego oferty.</w:t>
      </w:r>
    </w:p>
    <w:p>
      <w:pPr>
        <w:pStyle w:val="Normal"/>
        <w:spacing w:lineRule="auto" w:line="276"/>
        <w:jc w:val="both"/>
        <w:rPr/>
      </w:pPr>
      <w:r>
        <w:rPr>
          <w:b/>
          <w:bCs/>
        </w:rPr>
        <w:t xml:space="preserve">18.3. </w:t>
      </w:r>
      <w:r>
        <w:rPr/>
        <w:t>Stosownie do art. 253 ust. 1 ustawy Pzp, Zamawiający niezwłocznie po wyborze najkorzystniejszej oferty informuje równocześnie wykonawców, którzy złożyli oferty, o:</w:t>
      </w:r>
    </w:p>
    <w:p>
      <w:pPr>
        <w:pStyle w:val="Normal"/>
        <w:spacing w:lineRule="auto" w:line="276"/>
        <w:jc w:val="both"/>
        <w:rPr/>
      </w:pPr>
      <w:r>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Normal"/>
        <w:spacing w:lineRule="auto" w:line="276"/>
        <w:jc w:val="both"/>
        <w:rPr/>
      </w:pPr>
      <w:r>
        <w:rPr/>
        <w:t>2) wykonawcach, których oferty zostały odrzucone - podając uzasadnienie faktyczne</w:t>
        <w:br/>
        <w:t>i prawne.</w:t>
      </w:r>
    </w:p>
    <w:p>
      <w:pPr>
        <w:pStyle w:val="Normal"/>
        <w:spacing w:lineRule="auto" w:line="276"/>
        <w:jc w:val="both"/>
        <w:rPr/>
      </w:pPr>
      <w:r>
        <w:rPr/>
      </w:r>
    </w:p>
    <w:p>
      <w:pPr>
        <w:pStyle w:val="Normal"/>
        <w:spacing w:lineRule="auto" w:line="276"/>
        <w:jc w:val="both"/>
        <w:rPr/>
      </w:pPr>
      <w:r>
        <w:rPr>
          <w:b/>
          <w:bCs/>
        </w:rPr>
        <w:t>18.4.</w:t>
      </w:r>
      <w:r>
        <w:rPr/>
        <w:t xml:space="preserve">  Zamawiający udostępnia niezwłocznie informacje, o których mowa w pkt 18.3 ppkt 1 na stronie internetowej prowadzonego postępowania.</w:t>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1015"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19</w:t>
            </w:r>
          </w:p>
          <w:p>
            <w:pPr>
              <w:pStyle w:val="Normal"/>
              <w:widowControl w:val="false"/>
              <w:spacing w:lineRule="auto" w:line="276"/>
              <w:jc w:val="center"/>
              <w:rPr>
                <w:b/>
                <w:bCs/>
              </w:rPr>
            </w:pPr>
            <w:r>
              <w:rPr>
                <w:b/>
                <w:bCs/>
              </w:rPr>
              <w:t xml:space="preserve">INFORMACJE O FORMALNOŚCIACH, JAKIE POWINNY </w:t>
              <w:br/>
              <w:t>ZOSTAĆ DOPEŁNIONE PO WYBORZE OFERTY W CELU ZAWARCIA UMOWY</w:t>
            </w:r>
          </w:p>
        </w:tc>
      </w:tr>
    </w:tbl>
    <w:p>
      <w:pPr>
        <w:pStyle w:val="Normal"/>
        <w:spacing w:lineRule="auto" w:line="276"/>
        <w:rPr/>
      </w:pPr>
      <w:r>
        <w:rPr/>
      </w:r>
    </w:p>
    <w:p>
      <w:pPr>
        <w:pStyle w:val="Normal"/>
        <w:widowControl/>
        <w:numPr>
          <w:ilvl w:val="1"/>
          <w:numId w:val="19"/>
        </w:numPr>
        <w:suppressAutoHyphens w:val="true"/>
        <w:bidi w:val="0"/>
        <w:spacing w:lineRule="auto" w:line="276" w:before="0" w:after="0"/>
        <w:ind w:left="0" w:right="0" w:hanging="0"/>
        <w:jc w:val="both"/>
        <w:rPr/>
      </w:pPr>
      <w:r>
        <w:rPr/>
        <w:t>W przypadku, gdy zostanie wybrana jako najkorzystniejsza oferta Wykonawców wspólnie ubiegających się o udzielenie zamówienia, Wykonawca przed podpisaniem umowy na wezwanie Zamawiającego przedłoży umowę regulującą współpracę Wykonawców.</w:t>
      </w:r>
    </w:p>
    <w:p>
      <w:pPr>
        <w:pStyle w:val="Normal"/>
        <w:widowControl/>
        <w:numPr>
          <w:ilvl w:val="1"/>
          <w:numId w:val="19"/>
        </w:numPr>
        <w:suppressAutoHyphens w:val="true"/>
        <w:bidi w:val="0"/>
        <w:spacing w:lineRule="auto" w:line="276" w:before="0" w:after="0"/>
        <w:ind w:left="0" w:right="0" w:hanging="0"/>
        <w:jc w:val="both"/>
        <w:rPr/>
      </w:pPr>
      <w:r>
        <w:rPr/>
        <w:t>Osoby reprezentujące Wykonawcę przy podpisywaniu umowy powinny posiadać ze sobą dokumenty potwierdzające ich umocowanie do reprezentowania Wykonawcy, o ile umocowanie to nie będzie wynikać z dokumentów załączonych do oferty.</w:t>
      </w:r>
    </w:p>
    <w:p>
      <w:pPr>
        <w:pStyle w:val="Normal"/>
        <w:widowControl/>
        <w:numPr>
          <w:ilvl w:val="1"/>
          <w:numId w:val="19"/>
        </w:numPr>
        <w:suppressAutoHyphens w:val="true"/>
        <w:bidi w:val="0"/>
        <w:spacing w:lineRule="auto" w:line="276" w:before="0" w:after="0"/>
        <w:ind w:left="0" w:right="0" w:hanging="0"/>
        <w:jc w:val="both"/>
        <w:rPr/>
      </w:pPr>
      <w:r>
        <w:rPr/>
        <w:t>O terminie złożenia dokumentu, o którym mowa w pkt 19.1. Zamawiający powiadomi Wykonawcę odrębnym pismem.</w:t>
      </w:r>
    </w:p>
    <w:p>
      <w:pPr>
        <w:pStyle w:val="Normal"/>
        <w:widowControl/>
        <w:numPr>
          <w:ilvl w:val="1"/>
          <w:numId w:val="19"/>
        </w:numPr>
        <w:suppressAutoHyphens w:val="true"/>
        <w:bidi w:val="0"/>
        <w:spacing w:lineRule="auto" w:line="276" w:before="0" w:after="0"/>
        <w:ind w:left="0" w:right="0" w:hanging="0"/>
        <w:jc w:val="both"/>
        <w:rPr/>
      </w:pPr>
      <w:r>
        <w:rPr/>
        <w:t xml:space="preserve"> </w:t>
      </w:r>
      <w:r>
        <w:rPr/>
        <w:t>Wykonawca przedłoży Zamawiającemu 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pPr>
        <w:pStyle w:val="Normal"/>
        <w:widowControl/>
        <w:numPr>
          <w:ilvl w:val="1"/>
          <w:numId w:val="19"/>
        </w:numPr>
        <w:suppressAutoHyphens w:val="true"/>
        <w:bidi w:val="0"/>
        <w:spacing w:lineRule="auto" w:line="276" w:before="0" w:after="0"/>
        <w:ind w:left="0" w:right="0" w:hanging="0"/>
        <w:jc w:val="both"/>
        <w:rPr/>
      </w:pPr>
      <w:r>
        <w:rPr/>
        <w:t xml:space="preserve"> </w:t>
      </w:r>
      <w:r>
        <w:rPr/>
        <w:t>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20</w:t>
            </w:r>
          </w:p>
          <w:p>
            <w:pPr>
              <w:pStyle w:val="Normal"/>
              <w:widowControl w:val="false"/>
              <w:spacing w:lineRule="auto" w:line="276"/>
              <w:jc w:val="center"/>
              <w:rPr>
                <w:b/>
                <w:bCs/>
              </w:rPr>
            </w:pPr>
            <w:r>
              <w:rPr>
                <w:b/>
                <w:bCs/>
              </w:rPr>
              <w:t xml:space="preserve">WYMAGANIA DOTYCZĄCE ZABEZPIECZENIA NALEŻYTEGO </w:t>
              <w:br/>
              <w:t>WYKONANIA UMOWY</w:t>
            </w:r>
          </w:p>
        </w:tc>
      </w:tr>
    </w:tbl>
    <w:p>
      <w:pPr>
        <w:pStyle w:val="Normal"/>
        <w:widowControl/>
        <w:numPr>
          <w:ilvl w:val="0"/>
          <w:numId w:val="0"/>
        </w:numPr>
        <w:suppressAutoHyphens w:val="true"/>
        <w:bidi w:val="0"/>
        <w:spacing w:lineRule="auto" w:line="276" w:before="0" w:after="0"/>
        <w:ind w:left="0" w:right="0" w:hanging="0"/>
        <w:jc w:val="left"/>
        <w:rPr/>
      </w:pPr>
      <w:r>
        <w:rPr/>
      </w:r>
    </w:p>
    <w:p>
      <w:pPr>
        <w:pStyle w:val="Normal"/>
        <w:widowControl/>
        <w:numPr>
          <w:ilvl w:val="0"/>
          <w:numId w:val="0"/>
        </w:numPr>
        <w:suppressAutoHyphens w:val="true"/>
        <w:bidi w:val="0"/>
        <w:spacing w:lineRule="auto" w:line="276" w:before="0" w:after="0"/>
        <w:ind w:left="0" w:right="0" w:hanging="0"/>
        <w:jc w:val="left"/>
        <w:rPr/>
      </w:pPr>
      <w:r>
        <w:rPr/>
      </w:r>
    </w:p>
    <w:p>
      <w:pPr>
        <w:pStyle w:val="Kolorowalistaakcent11"/>
        <w:numPr>
          <w:ilvl w:val="0"/>
          <w:numId w:val="0"/>
        </w:numPr>
        <w:spacing w:lineRule="auto" w:line="276"/>
        <w:ind w:left="0" w:hanging="0"/>
        <w:rPr>
          <w:rFonts w:ascii="Times New Roman" w:hAnsi="Times New Roman"/>
        </w:rPr>
      </w:pPr>
      <w:r>
        <w:rPr>
          <w:rFonts w:cs="Helvetica" w:ascii="Times New Roman" w:hAnsi="Times New Roman"/>
          <w:b/>
          <w:bCs/>
          <w:sz w:val="24"/>
          <w:szCs w:val="24"/>
        </w:rPr>
        <w:t xml:space="preserve">20.1. </w:t>
      </w:r>
      <w:r>
        <w:rPr>
          <w:rFonts w:cs="Helvetica" w:ascii="Times New Roman" w:hAnsi="Times New Roman"/>
          <w:bCs/>
          <w:sz w:val="24"/>
          <w:szCs w:val="24"/>
        </w:rPr>
        <w:t xml:space="preserve">Wykonawca, którego oferta zostanie uznana za najkorzystniejszą, zobowiązany będzie do wniesienia zabezpieczenia należytego wykonania umowy w wysokości </w:t>
      </w:r>
      <w:r>
        <w:rPr>
          <w:rFonts w:eastAsia="SimSun" w:cs="Helvetica" w:ascii="Times New Roman" w:hAnsi="Times New Roman"/>
          <w:b/>
          <w:bCs/>
          <w:color w:val="000000"/>
          <w:kern w:val="0"/>
          <w:sz w:val="24"/>
          <w:szCs w:val="24"/>
          <w:lang w:val="pl-PL" w:eastAsia="zh-CN" w:bidi="ar-SA"/>
        </w:rPr>
        <w:t>5</w:t>
      </w:r>
      <w:r>
        <w:rPr>
          <w:rFonts w:cs="Helvetica" w:ascii="Times New Roman" w:hAnsi="Times New Roman"/>
          <w:b/>
          <w:bCs/>
          <w:color w:val="000000"/>
          <w:sz w:val="24"/>
          <w:szCs w:val="24"/>
        </w:rPr>
        <w:t xml:space="preserve"> %</w:t>
      </w:r>
      <w:r>
        <w:rPr>
          <w:rFonts w:cs="Helvetica" w:ascii="Times New Roman" w:hAnsi="Times New Roman"/>
          <w:b/>
          <w:bCs/>
          <w:color w:val="FF0000"/>
          <w:sz w:val="24"/>
          <w:szCs w:val="24"/>
        </w:rPr>
        <w:t xml:space="preserve"> </w:t>
      </w:r>
      <w:r>
        <w:rPr>
          <w:rFonts w:cs="Helvetica" w:ascii="Times New Roman" w:hAnsi="Times New Roman"/>
          <w:b/>
          <w:bCs/>
          <w:color w:val="000000"/>
          <w:sz w:val="24"/>
          <w:szCs w:val="24"/>
        </w:rPr>
        <w:t>ceny brutto oferty</w:t>
      </w:r>
      <w:r>
        <w:rPr>
          <w:rFonts w:cs="Helvetica" w:ascii="Times New Roman" w:hAnsi="Times New Roman"/>
          <w:b/>
          <w:bCs/>
          <w:sz w:val="24"/>
          <w:szCs w:val="24"/>
        </w:rPr>
        <w:t xml:space="preserve"> (z podatkiem VAT).</w:t>
      </w:r>
    </w:p>
    <w:p>
      <w:pPr>
        <w:pStyle w:val="Kolorowalistaakcent11"/>
        <w:numPr>
          <w:ilvl w:val="0"/>
          <w:numId w:val="0"/>
        </w:numPr>
        <w:spacing w:lineRule="auto" w:line="276"/>
        <w:ind w:left="0" w:hanging="0"/>
        <w:rPr>
          <w:rFonts w:ascii="Times New Roman" w:hAnsi="Times New Roman"/>
        </w:rPr>
      </w:pPr>
      <w:r>
        <w:rPr>
          <w:rFonts w:cs="Helvetica" w:ascii="Times New Roman" w:hAnsi="Times New Roman"/>
          <w:b/>
          <w:bCs/>
          <w:sz w:val="24"/>
          <w:szCs w:val="24"/>
        </w:rPr>
        <w:t xml:space="preserve">20.2. </w:t>
      </w:r>
      <w:r>
        <w:rPr>
          <w:rFonts w:cs="Helvetica" w:ascii="Times New Roman" w:hAnsi="Times New Roman"/>
          <w:bCs/>
          <w:sz w:val="24"/>
          <w:szCs w:val="24"/>
        </w:rPr>
        <w:t>Zabezpieczenie należytego wykonania umowy może być wniesione według wyboru Wykonawcy w jednej lub w kilku następujących formach:</w:t>
      </w:r>
    </w:p>
    <w:p>
      <w:pPr>
        <w:pStyle w:val="Kolorowalistaakcent11"/>
        <w:numPr>
          <w:ilvl w:val="0"/>
          <w:numId w:val="0"/>
        </w:numPr>
        <w:tabs>
          <w:tab w:val="clear" w:pos="720"/>
          <w:tab w:val="left" w:pos="993" w:leader="none"/>
        </w:tabs>
        <w:spacing w:lineRule="auto" w:line="276" w:before="0" w:after="0"/>
        <w:ind w:left="0" w:hanging="0"/>
        <w:contextualSpacing/>
        <w:rPr>
          <w:rFonts w:ascii="Times New Roman" w:hAnsi="Times New Roman"/>
        </w:rPr>
      </w:pPr>
      <w:r>
        <w:rPr>
          <w:rFonts w:cs="Helvetica" w:ascii="Times New Roman" w:hAnsi="Times New Roman"/>
          <w:bCs/>
          <w:sz w:val="24"/>
          <w:szCs w:val="24"/>
        </w:rPr>
        <w:t>a) pieniądzu,</w:t>
      </w:r>
    </w:p>
    <w:p>
      <w:pPr>
        <w:pStyle w:val="Kolorowalistaakcent11"/>
        <w:numPr>
          <w:ilvl w:val="0"/>
          <w:numId w:val="0"/>
        </w:numPr>
        <w:tabs>
          <w:tab w:val="clear" w:pos="720"/>
          <w:tab w:val="left" w:pos="993" w:leader="none"/>
        </w:tabs>
        <w:spacing w:lineRule="auto" w:line="276" w:before="0" w:after="0"/>
        <w:ind w:left="0" w:hanging="0"/>
        <w:contextualSpacing/>
        <w:rPr>
          <w:rFonts w:ascii="Times New Roman" w:hAnsi="Times New Roman"/>
        </w:rPr>
      </w:pPr>
      <w:r>
        <w:rPr>
          <w:rFonts w:cs="Helvetica" w:ascii="Times New Roman" w:hAnsi="Times New Roman"/>
          <w:bCs/>
          <w:sz w:val="24"/>
          <w:szCs w:val="24"/>
        </w:rPr>
        <w:t>b) poręczeniach bankowych lub poręczeniach spółdzielczej kasy oszczędnościowo-kredytowej, z tym, że poręczenie kasy jest zawsze zobowiązaniem pieniężnym,</w:t>
      </w:r>
    </w:p>
    <w:p>
      <w:pPr>
        <w:pStyle w:val="Kolorowalistaakcent11"/>
        <w:numPr>
          <w:ilvl w:val="0"/>
          <w:numId w:val="0"/>
        </w:numPr>
        <w:tabs>
          <w:tab w:val="clear" w:pos="720"/>
          <w:tab w:val="left" w:pos="993" w:leader="none"/>
        </w:tabs>
        <w:spacing w:lineRule="auto" w:line="276" w:before="0" w:after="0"/>
        <w:ind w:left="0" w:hanging="0"/>
        <w:contextualSpacing/>
        <w:rPr>
          <w:rFonts w:ascii="Times New Roman" w:hAnsi="Times New Roman"/>
        </w:rPr>
      </w:pPr>
      <w:r>
        <w:rPr>
          <w:rFonts w:cs="Helvetica" w:ascii="Times New Roman" w:hAnsi="Times New Roman"/>
          <w:bCs/>
          <w:sz w:val="24"/>
          <w:szCs w:val="24"/>
        </w:rPr>
        <w:t>c) gwarancjach bankowych, gwarancjach ubezpieczeniowych</w:t>
      </w:r>
    </w:p>
    <w:p>
      <w:pPr>
        <w:pStyle w:val="Kolorowalistaakcent11"/>
        <w:numPr>
          <w:ilvl w:val="0"/>
          <w:numId w:val="0"/>
        </w:numPr>
        <w:tabs>
          <w:tab w:val="clear" w:pos="720"/>
          <w:tab w:val="left" w:pos="993" w:leader="none"/>
        </w:tabs>
        <w:spacing w:lineRule="auto" w:line="276" w:before="0" w:after="0"/>
        <w:ind w:left="0" w:hanging="0"/>
        <w:contextualSpacing/>
        <w:rPr>
          <w:rFonts w:ascii="Times New Roman" w:hAnsi="Times New Roman"/>
        </w:rPr>
      </w:pPr>
      <w:r>
        <w:rPr>
          <w:rFonts w:cs="Helvetica" w:ascii="Times New Roman" w:hAnsi="Times New Roman"/>
          <w:bCs/>
          <w:sz w:val="24"/>
          <w:szCs w:val="24"/>
        </w:rPr>
        <w:t>d) poręczeniach udzielanych przez podmioty, o których mowa w art. 6b ust. 5 pkt 2 ustawy</w:t>
        <w:br/>
        <w:t>z dnia 9 listopada 2000 r. o utworzeniu Polskiej Agencji Rozwoju Przedsiębiorczości.</w:t>
      </w:r>
    </w:p>
    <w:p>
      <w:pPr>
        <w:pStyle w:val="Kolorowalistaakcent11"/>
        <w:numPr>
          <w:ilvl w:val="0"/>
          <w:numId w:val="0"/>
        </w:numPr>
        <w:tabs>
          <w:tab w:val="clear" w:pos="720"/>
          <w:tab w:val="left" w:pos="709" w:leader="none"/>
        </w:tabs>
        <w:spacing w:lineRule="auto" w:line="276" w:before="0" w:after="0"/>
        <w:ind w:left="0" w:hanging="0"/>
        <w:contextualSpacing/>
        <w:rPr>
          <w:rFonts w:ascii="Times New Roman" w:hAnsi="Times New Roman"/>
        </w:rPr>
      </w:pPr>
      <w:r>
        <w:rPr>
          <w:rFonts w:cs="Helvetica" w:ascii="Times New Roman" w:hAnsi="Times New Roman"/>
          <w:b/>
          <w:bCs/>
          <w:sz w:val="24"/>
          <w:szCs w:val="24"/>
        </w:rPr>
        <w:t>20.3.</w:t>
      </w:r>
      <w:r>
        <w:rPr>
          <w:rFonts w:cs="Helvetica" w:ascii="Times New Roman" w:hAnsi="Times New Roman"/>
          <w:bCs/>
          <w:sz w:val="24"/>
          <w:szCs w:val="24"/>
        </w:rPr>
        <w:t xml:space="preserve"> Zabezpieczenie wnoszone w pieniądzu wpłaca się przelewem na rachunek bankowy Zamawiającego - </w:t>
      </w:r>
      <w:r>
        <w:rPr>
          <w:rFonts w:cs="Cambria" w:ascii="Times New Roman" w:hAnsi="Times New Roman"/>
          <w:color w:val="000000"/>
          <w:sz w:val="24"/>
          <w:szCs w:val="24"/>
        </w:rPr>
        <w:t xml:space="preserve">na konto </w:t>
      </w:r>
      <w:r>
        <w:rPr>
          <w:rFonts w:eastAsia="SimSun" w:cs="Cambria" w:ascii="Times New Roman" w:hAnsi="Times New Roman"/>
          <w:color w:val="000000"/>
          <w:kern w:val="0"/>
          <w:sz w:val="24"/>
          <w:szCs w:val="24"/>
          <w:lang w:val="pl-PL" w:eastAsia="zh-CN" w:bidi="ar-SA"/>
        </w:rPr>
        <w:t>nr</w:t>
      </w:r>
      <w:r>
        <w:rPr>
          <w:rFonts w:cs="Cambria" w:ascii="Times New Roman" w:hAnsi="Times New Roman"/>
          <w:color w:val="000000"/>
          <w:sz w:val="24"/>
          <w:szCs w:val="24"/>
        </w:rPr>
        <w:t xml:space="preserve">: </w:t>
      </w:r>
      <w:r>
        <w:rPr>
          <w:rFonts w:eastAsia="Cambria" w:cs="Arial" w:ascii="Times New Roman" w:hAnsi="Times New Roman"/>
          <w:b/>
          <w:bCs/>
          <w:i/>
          <w:color w:val="000000"/>
          <w:sz w:val="24"/>
          <w:szCs w:val="24"/>
          <w:lang w:eastAsia="hi-IN"/>
        </w:rPr>
        <w:t xml:space="preserve">20 1240 2249 1111 0010 5916 4985 </w:t>
      </w:r>
      <w:r>
        <w:rPr>
          <w:rFonts w:eastAsia="Cambria" w:cs="Arial" w:ascii="Times New Roman" w:hAnsi="Times New Roman"/>
          <w:b/>
          <w:i/>
          <w:color w:val="000000"/>
          <w:sz w:val="24"/>
          <w:szCs w:val="24"/>
        </w:rPr>
        <w:t>z dopiskiem: „Zabezpieczenie n.w.u. Nr sprawy WA.271.</w:t>
      </w:r>
      <w:r>
        <w:rPr>
          <w:rFonts w:eastAsia="Cambria" w:cs="Arial" w:ascii="Times New Roman" w:hAnsi="Times New Roman"/>
          <w:b/>
          <w:i/>
          <w:color w:val="000000"/>
          <w:kern w:val="0"/>
          <w:sz w:val="24"/>
          <w:szCs w:val="24"/>
          <w:lang w:val="pl-PL" w:eastAsia="zh-CN" w:bidi="ar-SA"/>
        </w:rPr>
        <w:t>8</w:t>
      </w:r>
      <w:r>
        <w:rPr>
          <w:rFonts w:eastAsia="Cambria" w:cs="Arial" w:ascii="Times New Roman" w:hAnsi="Times New Roman"/>
          <w:b/>
          <w:i/>
          <w:color w:val="000000"/>
          <w:sz w:val="24"/>
          <w:szCs w:val="24"/>
        </w:rPr>
        <w:t xml:space="preserve">.2023.AM – </w:t>
      </w:r>
      <w:r>
        <w:rPr>
          <w:rFonts w:eastAsia="Cambria" w:cs="Arial" w:ascii="Times New Roman" w:hAnsi="Times New Roman"/>
          <w:b/>
          <w:bCs/>
          <w:i/>
          <w:color w:val="000000"/>
          <w:sz w:val="24"/>
          <w:szCs w:val="24"/>
          <w:lang w:val="pl-PL"/>
        </w:rPr>
        <w:t>„Dostawa i montaż  instalacji fotowoltaicznej do zasilania obiektów Miejskiego Ośrodka Sportu i Rekreacji we Włodawie” w ramach zadania inwestycyjnego „Budowa instalacji fotowoltaicznej do zasilania obiektów Miejskiego Ośrodka Sportu i Rekreacji we Włodawie</w:t>
      </w:r>
      <w:r>
        <w:rPr>
          <w:rFonts w:eastAsia="Cambria" w:cs="Arial" w:ascii="Times New Roman" w:hAnsi="Times New Roman"/>
          <w:b/>
          <w:bCs/>
          <w:i/>
          <w:color w:val="000000"/>
          <w:kern w:val="0"/>
          <w:sz w:val="24"/>
          <w:szCs w:val="24"/>
          <w:lang w:val="pl-PL" w:eastAsia="zh-CN" w:bidi="ar-SA"/>
        </w:rPr>
        <w:t>”</w:t>
      </w:r>
      <w:r>
        <w:rPr>
          <w:rFonts w:eastAsia="Cambria" w:cs="Arial" w:ascii="Times New Roman" w:hAnsi="Times New Roman"/>
          <w:b/>
          <w:bCs/>
          <w:i/>
          <w:color w:val="000000"/>
          <w:sz w:val="24"/>
          <w:szCs w:val="24"/>
          <w:lang w:val="pl-PL"/>
        </w:rPr>
        <w:t>.</w:t>
      </w:r>
    </w:p>
    <w:p>
      <w:pPr>
        <w:pStyle w:val="Kolorowalistaakcent11"/>
        <w:numPr>
          <w:ilvl w:val="0"/>
          <w:numId w:val="0"/>
        </w:numPr>
        <w:spacing w:lineRule="auto" w:line="276" w:before="0" w:after="0"/>
        <w:ind w:left="0" w:hanging="0"/>
        <w:contextualSpacing/>
        <w:rPr>
          <w:rFonts w:ascii="Times New Roman" w:hAnsi="Times New Roman"/>
        </w:rPr>
      </w:pPr>
      <w:r>
        <w:rPr>
          <w:rFonts w:cs="Helvetica" w:ascii="Times New Roman" w:hAnsi="Times New Roman"/>
          <w:b/>
          <w:bCs/>
          <w:sz w:val="24"/>
          <w:szCs w:val="24"/>
        </w:rPr>
        <w:t xml:space="preserve">20.4. </w:t>
      </w:r>
      <w:r>
        <w:rPr>
          <w:rFonts w:cs="Helvetica" w:ascii="Times New Roman" w:hAnsi="Times New Roman"/>
          <w:bCs/>
          <w:sz w:val="24"/>
          <w:szCs w:val="24"/>
        </w:rPr>
        <w:t>Zabezpieczenie należytego wykonania umowy musi być wniesione najpóźniej</w:t>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imes New Roman" w:hAnsi="Times New Roman"/>
          <w:color w:val="000000"/>
          <w:sz w:val="24"/>
          <w:szCs w:val="24"/>
          <w:shd w:fill="FFFFFF" w:val="clear"/>
        </w:rPr>
        <w:t>W przypadku wniesienia wadium</w:t>
        <w:br/>
        <w:t>w pieniądzu wykonawca może wyrazić zgodę na zaliczenie kwoty wadium na poczet zabezpieczenia.</w:t>
      </w:r>
    </w:p>
    <w:p>
      <w:pPr>
        <w:pStyle w:val="Kolorowalistaakcent11"/>
        <w:numPr>
          <w:ilvl w:val="0"/>
          <w:numId w:val="0"/>
        </w:numPr>
        <w:spacing w:lineRule="auto" w:line="276" w:before="0" w:after="0"/>
        <w:ind w:left="0" w:hanging="0"/>
        <w:contextualSpacing/>
        <w:rPr>
          <w:rFonts w:ascii="Times New Roman" w:hAnsi="Times New Roman"/>
        </w:rPr>
      </w:pPr>
      <w:r>
        <w:rPr>
          <w:rFonts w:ascii="Times New Roman" w:hAnsi="Times New Roman"/>
          <w:b/>
          <w:bCs/>
          <w:color w:val="000000"/>
          <w:sz w:val="24"/>
          <w:szCs w:val="24"/>
          <w:shd w:fill="FFFFFF" w:val="clear"/>
        </w:rPr>
        <w:t xml:space="preserve">20.5. </w:t>
      </w:r>
      <w:r>
        <w:rPr>
          <w:rFonts w:ascii="Times New Roman" w:hAnsi="Times New Roman"/>
          <w:color w:val="000000"/>
          <w:sz w:val="24"/>
          <w:szCs w:val="24"/>
          <w:shd w:fill="FFFFFF" w:val="clear"/>
        </w:rPr>
        <w:t xml:space="preserve">Zabezpieczenie służy pokryciu roszczeń z tytułu niewykonania lub nienależytego wykonania umowy. </w:t>
      </w:r>
      <w:r>
        <w:rPr>
          <w:rFonts w:cs="Calibri" w:ascii="Times New Roman" w:hAnsi="Times New Roman"/>
          <w:color w:val="000000"/>
          <w:sz w:val="24"/>
          <w:szCs w:val="24"/>
        </w:rPr>
        <w:t>Kwota stanowiąca 70% zabezpieczenia należytego wykonania umowy, zostanie zwrócona w terminie 30 dni od dnia podpisania protokołu odbioru końcowego.</w:t>
      </w:r>
    </w:p>
    <w:p>
      <w:pPr>
        <w:pStyle w:val="Kolorowalistaakcent11"/>
        <w:numPr>
          <w:ilvl w:val="0"/>
          <w:numId w:val="0"/>
        </w:numPr>
        <w:spacing w:lineRule="auto" w:line="276" w:before="0" w:after="0"/>
        <w:ind w:left="0" w:hanging="0"/>
        <w:contextualSpacing/>
        <w:rPr>
          <w:rFonts w:ascii="Times New Roman" w:hAnsi="Times New Roman"/>
        </w:rPr>
      </w:pPr>
      <w:r>
        <w:rPr>
          <w:rFonts w:cs="Calibri" w:ascii="Times New Roman" w:hAnsi="Times New Roman"/>
          <w:b/>
          <w:bCs/>
          <w:color w:val="000000"/>
          <w:sz w:val="24"/>
          <w:szCs w:val="24"/>
        </w:rPr>
        <w:t xml:space="preserve">20.6. </w:t>
      </w:r>
      <w:r>
        <w:rPr>
          <w:rFonts w:cs="Calibri" w:ascii="Times New Roman" w:hAnsi="Times New Roman"/>
          <w:color w:val="000000"/>
          <w:sz w:val="24"/>
          <w:szCs w:val="24"/>
        </w:rPr>
        <w:t>Kwota pozostawiona na zabezpieczenie roszczeń z tytułu rękojmi za wady fizyczne</w:t>
        <w:br/>
        <w:t xml:space="preserve">i gwarancji, wynosząca 30% wartości zabezpieczenia należytego wykonania umowy, zostanie zwrócona nie później niż w 15 dniu po upływie okresu rękojmi lub gwarancji (co nastąpi później). </w:t>
      </w:r>
    </w:p>
    <w:p>
      <w:pPr>
        <w:pStyle w:val="Kolorowalistaakcent11"/>
        <w:numPr>
          <w:ilvl w:val="0"/>
          <w:numId w:val="0"/>
        </w:numPr>
        <w:spacing w:lineRule="auto" w:line="276" w:before="0" w:after="0"/>
        <w:ind w:left="0" w:hanging="0"/>
        <w:contextualSpacing/>
        <w:rPr>
          <w:rFonts w:ascii="Times New Roman" w:hAnsi="Times New Roman"/>
        </w:rPr>
      </w:pPr>
      <w:r>
        <w:rPr>
          <w:rFonts w:cs="Calibri" w:ascii="Times New Roman" w:hAnsi="Times New Roman"/>
          <w:b/>
          <w:bCs/>
          <w:color w:val="000000"/>
          <w:sz w:val="24"/>
          <w:szCs w:val="24"/>
        </w:rPr>
        <w:t>20.7.</w:t>
      </w:r>
      <w:r>
        <w:rPr>
          <w:rFonts w:cs="Calibri" w:ascii="Times New Roman" w:hAnsi="Times New Roman"/>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pPr>
        <w:pStyle w:val="Kolorowalistaakcent11"/>
        <w:numPr>
          <w:ilvl w:val="0"/>
          <w:numId w:val="0"/>
        </w:numPr>
        <w:spacing w:lineRule="auto" w:line="276" w:before="0" w:after="0"/>
        <w:ind w:left="0" w:hanging="0"/>
        <w:contextualSpacing/>
        <w:rPr>
          <w:rFonts w:ascii="Times New Roman" w:hAnsi="Times New Roman"/>
        </w:rPr>
      </w:pPr>
      <w:r>
        <w:rPr>
          <w:rFonts w:cs="Helvetica" w:ascii="Times New Roman" w:hAnsi="Times New Roman"/>
          <w:b/>
          <w:bCs/>
          <w:sz w:val="24"/>
          <w:szCs w:val="24"/>
        </w:rPr>
        <w:t>20.8.</w:t>
      </w:r>
      <w:r>
        <w:rPr>
          <w:rFonts w:cs="Helvetica" w:ascii="Times New Roman" w:hAnsi="Times New Roman"/>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pPr>
        <w:pStyle w:val="Kolorowalistaakcent11"/>
        <w:numPr>
          <w:ilvl w:val="0"/>
          <w:numId w:val="0"/>
        </w:numPr>
        <w:spacing w:lineRule="auto" w:line="276" w:before="0" w:after="0"/>
        <w:ind w:left="0" w:hanging="0"/>
        <w:contextualSpacing/>
        <w:rPr>
          <w:rFonts w:ascii="Times New Roman" w:hAnsi="Times New Roman"/>
        </w:rPr>
      </w:pPr>
      <w:r>
        <w:rPr>
          <w:rFonts w:ascii="Times New Roman" w:hAnsi="Times New Roman"/>
          <w:b/>
          <w:bCs/>
          <w:color w:val="000000"/>
          <w:sz w:val="24"/>
          <w:szCs w:val="24"/>
          <w:shd w:fill="FFFFFF" w:val="clear"/>
        </w:rPr>
        <w:t>20.9.</w:t>
      </w:r>
      <w:r>
        <w:rPr>
          <w:rFonts w:ascii="Times New Roman" w:hAnsi="Times New Roman"/>
          <w:color w:val="000000"/>
          <w:sz w:val="24"/>
          <w:szCs w:val="24"/>
          <w:shd w:fill="FFFFFF" w:val="clear"/>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br/>
        <w:t>z utrzymaniem zabezpieczenia w tym okresie określają przepisy art. 15r1 ustawy z 2 marca</w:t>
        <w:br/>
        <w:t>o szczególnych rozwiązaniach związanych  z zapobieganiem, przeciwdziałaniem</w:t>
        <w:br/>
        <w:t>i zwalczaniem COVID-19, innych chorób zakaźnych oraz wywołanych nimi sytuacji kryzysowych (t. j. Dz. U. z 2020 r., poz. 1842 z późn. zm.).</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21</w:t>
            </w:r>
          </w:p>
          <w:p>
            <w:pPr>
              <w:pStyle w:val="Normal"/>
              <w:widowControl w:val="false"/>
              <w:spacing w:lineRule="auto" w:line="276"/>
              <w:jc w:val="center"/>
              <w:rPr>
                <w:b/>
                <w:bCs/>
              </w:rPr>
            </w:pPr>
            <w:r>
              <w:rPr>
                <w:b/>
                <w:bCs/>
              </w:rPr>
              <w:t>POSTANOWIENIA UMOWY</w:t>
            </w:r>
          </w:p>
        </w:tc>
      </w:tr>
    </w:tbl>
    <w:p>
      <w:pPr>
        <w:pStyle w:val="Normal"/>
        <w:spacing w:lineRule="auto" w:line="276"/>
        <w:rPr/>
      </w:pPr>
      <w:r>
        <w:rPr/>
      </w:r>
    </w:p>
    <w:p>
      <w:pPr>
        <w:pStyle w:val="Kolorowalistaakcent11"/>
        <w:widowControl w:val="false"/>
        <w:numPr>
          <w:ilvl w:val="0"/>
          <w:numId w:val="0"/>
        </w:numPr>
        <w:suppressAutoHyphens w:val="true"/>
        <w:spacing w:lineRule="auto" w:line="276"/>
        <w:ind w:left="0" w:hanging="0"/>
        <w:outlineLvl w:val="3"/>
        <w:rPr>
          <w:rFonts w:ascii="Times New Roman" w:hAnsi="Times New Roman"/>
        </w:rPr>
      </w:pPr>
      <w:r>
        <w:rPr>
          <w:rFonts w:ascii="Times New Roman" w:hAnsi="Times New Roman"/>
          <w:b/>
          <w:bCs/>
          <w:sz w:val="24"/>
          <w:szCs w:val="24"/>
        </w:rPr>
        <w:t>21.1.</w:t>
      </w:r>
      <w:r>
        <w:rPr>
          <w:rFonts w:ascii="Times New Roman" w:hAnsi="Times New Roman"/>
          <w:sz w:val="24"/>
          <w:szCs w:val="24"/>
        </w:rPr>
        <w:t xml:space="preserve"> Projekt/wzór Umowy stanowi </w:t>
      </w:r>
      <w:r>
        <w:rPr>
          <w:rFonts w:ascii="Times New Roman" w:hAnsi="Times New Roman"/>
          <w:b/>
          <w:sz w:val="24"/>
          <w:szCs w:val="24"/>
        </w:rPr>
        <w:t>Załącznik Nr 2 do SWZ</w:t>
      </w:r>
      <w:r>
        <w:rPr>
          <w:rFonts w:ascii="Times New Roman" w:hAnsi="Times New Roman"/>
          <w:sz w:val="24"/>
          <w:szCs w:val="24"/>
        </w:rPr>
        <w:t xml:space="preserve">. </w:t>
      </w:r>
    </w:p>
    <w:p>
      <w:pPr>
        <w:pStyle w:val="Kolorowalistaakcent11"/>
        <w:widowControl w:val="false"/>
        <w:numPr>
          <w:ilvl w:val="0"/>
          <w:numId w:val="0"/>
        </w:numPr>
        <w:suppressAutoHyphens w:val="true"/>
        <w:spacing w:lineRule="auto" w:line="276"/>
        <w:ind w:left="0" w:hanging="0"/>
        <w:outlineLvl w:val="3"/>
        <w:rPr>
          <w:rFonts w:ascii="Times New Roman" w:hAnsi="Times New Roman"/>
        </w:rPr>
      </w:pPr>
      <w:r>
        <w:rPr>
          <w:rFonts w:ascii="Times New Roman" w:hAnsi="Times New Roman"/>
          <w:b/>
          <w:bCs/>
          <w:sz w:val="24"/>
          <w:szCs w:val="24"/>
        </w:rPr>
        <w:t xml:space="preserve">21.2. </w:t>
      </w:r>
      <w:r>
        <w:rPr>
          <w:rFonts w:ascii="Times New Roman" w:hAnsi="Times New Roman"/>
          <w:sz w:val="24"/>
          <w:szCs w:val="24"/>
        </w:rPr>
        <w:t>Zamawiający przewiduje możliwości wprowadzenia zmian do zawartej umowy, na podstawie art. 454-455 ustawy oraz postanowień Projektu Umowy – zał.2 do SWZ.</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pPr>
            <w:r>
              <w:rPr/>
              <w:t>Rozdział 22</w:t>
            </w:r>
          </w:p>
          <w:p>
            <w:pPr>
              <w:pStyle w:val="Normal"/>
              <w:widowControl w:val="false"/>
              <w:spacing w:lineRule="auto" w:line="276"/>
              <w:jc w:val="center"/>
              <w:rPr>
                <w:b/>
                <w:bCs/>
              </w:rPr>
            </w:pPr>
            <w:r>
              <w:rPr>
                <w:b/>
                <w:bCs/>
              </w:rPr>
              <w:t>OCHRONA DANYCH OSOBOWYCH</w:t>
            </w:r>
          </w:p>
        </w:tc>
      </w:tr>
    </w:tbl>
    <w:p>
      <w:pPr>
        <w:pStyle w:val="Normal"/>
        <w:spacing w:lineRule="auto" w:line="276"/>
        <w:rPr/>
      </w:pPr>
      <w:r>
        <w:rPr/>
      </w:r>
    </w:p>
    <w:p>
      <w:pPr>
        <w:pStyle w:val="Normal"/>
        <w:spacing w:lineRule="auto" w:line="276"/>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dalej „RODO”, Zamawiający informuje, że: </w:t>
      </w:r>
    </w:p>
    <w:p>
      <w:pPr>
        <w:pStyle w:val="Normal"/>
        <w:numPr>
          <w:ilvl w:val="0"/>
          <w:numId w:val="14"/>
        </w:numPr>
        <w:spacing w:lineRule="auto" w:line="276"/>
        <w:jc w:val="both"/>
        <w:rPr/>
      </w:pPr>
      <w:r>
        <w:rPr>
          <w:lang w:eastAsia="pl-PL"/>
        </w:rPr>
        <w:t>Jest administratorem danych osobowych Wykonawcy oraz osób, których dane Wykonawca przekazał w niniejszym postępowaniu</w:t>
      </w:r>
      <w:r>
        <w:rPr/>
        <w:t>;</w:t>
      </w:r>
    </w:p>
    <w:p>
      <w:pPr>
        <w:pStyle w:val="Normal"/>
        <w:numPr>
          <w:ilvl w:val="0"/>
          <w:numId w:val="14"/>
        </w:numPr>
        <w:spacing w:lineRule="auto" w:line="276"/>
        <w:jc w:val="both"/>
        <w:rPr/>
      </w:pPr>
      <w:r>
        <w:rPr>
          <w:lang w:eastAsia="pl-PL"/>
        </w:rPr>
        <w:t xml:space="preserve">dane osobowe Wykonawcy przetwarzane będą na podstawie art. 6 ust. 1 lit. c RODO w celu </w:t>
      </w:r>
      <w:r>
        <w:rPr/>
        <w:t xml:space="preserve">związanym z postępowaniem o udzielenie zamówienia publicznego </w:t>
        <w:br/>
        <w:t xml:space="preserve">na zadanie pn.: WA.271.8.2023.AM </w:t>
      </w:r>
      <w:r>
        <w:rPr>
          <w:lang w:val="pl-PL"/>
        </w:rPr>
        <w:t>„Dostawa i montaż  instalacji fotowoltaicznej do zasilania obiektów Miejskiego Ośrodka Sportu i Rekreacji we Włodawie” w ramach zadania inwestycyjnego „Budowa instalacji fotowoltaicznej do zasilania obiektów Miejskiego Ośrodka Sportu i Rekreacji we Włodawie</w:t>
      </w:r>
      <w:r>
        <w:rPr>
          <w:lang w:val="pl-PL" w:eastAsia="ar-SA"/>
        </w:rPr>
        <w:t>”,</w:t>
      </w:r>
      <w:r>
        <w:rPr/>
        <w:t xml:space="preserve"> prowadzonym</w:t>
        <w:br/>
        <w:t>w trybie zamówienia publicznego zgodnie z ustawą Prawo zamówień publicznych – procedura podstawowa;</w:t>
      </w:r>
    </w:p>
    <w:p>
      <w:pPr>
        <w:pStyle w:val="Normal"/>
        <w:numPr>
          <w:ilvl w:val="0"/>
          <w:numId w:val="14"/>
        </w:numPr>
        <w:spacing w:lineRule="auto" w:line="276"/>
        <w:jc w:val="both"/>
        <w:rPr/>
      </w:pPr>
      <w:r>
        <w:rPr>
          <w:lang w:eastAsia="pl-PL"/>
        </w:rPr>
        <w:t xml:space="preserve">odbiorcami danych osobowych Wykonawcy będą osoby lub podmioty, którym udostępniona zostanie dokumentacja postępowania w oparciu o art. 18 oraz art. </w:t>
      </w:r>
      <w:r>
        <w:rPr>
          <w:lang w:val="pl-PL" w:eastAsia="pl-PL" w:bidi="ar-SA"/>
        </w:rPr>
        <w:t>71-75</w:t>
      </w:r>
      <w:r>
        <w:rPr>
          <w:lang w:eastAsia="pl-PL"/>
        </w:rPr>
        <w:t xml:space="preserve"> ustawy z dnia </w:t>
      </w:r>
      <w:r>
        <w:rPr>
          <w:lang w:val="pl-PL" w:eastAsia="pl-PL" w:bidi="ar-SA"/>
        </w:rPr>
        <w:t>11 września 2019</w:t>
      </w:r>
      <w:r>
        <w:rPr>
          <w:lang w:eastAsia="pl-PL"/>
        </w:rPr>
        <w:t xml:space="preserve"> r. – Prawo zamówień publicznych </w:t>
        <w:br/>
        <w:t>(Dz. U. z 2022 r. poz. 1</w:t>
      </w:r>
      <w:r>
        <w:rPr>
          <w:lang w:val="pl-PL" w:eastAsia="pl-PL" w:bidi="ar-SA"/>
        </w:rPr>
        <w:t>710</w:t>
      </w:r>
      <w:r>
        <w:rPr>
          <w:lang w:eastAsia="pl-PL"/>
        </w:rPr>
        <w:t xml:space="preserve">), dalej „ustawa Pzp”;  </w:t>
      </w:r>
    </w:p>
    <w:p>
      <w:pPr>
        <w:pStyle w:val="Normal"/>
        <w:numPr>
          <w:ilvl w:val="0"/>
          <w:numId w:val="14"/>
        </w:numPr>
        <w:spacing w:lineRule="auto" w:line="276"/>
        <w:jc w:val="both"/>
        <w:rPr/>
      </w:pPr>
      <w:r>
        <w:rPr/>
        <w:t>dane osobowe Wykonawcy będą przechowywane, zgodnie z art. 78 ustawy Pzp, przez okres 4 lat od dnia zakończenia postępowania o udzielenie zamówienia, a jeżeli czas trwania umowy przekracza 4 lata, okres przechowywania obejmuje cały czas trwania umowy;</w:t>
      </w:r>
    </w:p>
    <w:p>
      <w:pPr>
        <w:pStyle w:val="Normal"/>
        <w:numPr>
          <w:ilvl w:val="0"/>
          <w:numId w:val="14"/>
        </w:numPr>
        <w:spacing w:lineRule="auto" w:line="276"/>
        <w:jc w:val="both"/>
        <w:rPr/>
      </w:pPr>
      <w:r>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Normal"/>
        <w:numPr>
          <w:ilvl w:val="0"/>
          <w:numId w:val="14"/>
        </w:numPr>
        <w:spacing w:lineRule="auto" w:line="276"/>
        <w:jc w:val="both"/>
        <w:rPr/>
      </w:pPr>
      <w:r>
        <w:rPr/>
        <w:t>w odniesieniu do danych osobowych Wykonawcy decyzje nie będą podejmowane</w:t>
        <w:br/>
        <w:t>w sposób zautomatyzowany, stosowanie do art. 22 RODO;</w:t>
      </w:r>
    </w:p>
    <w:p>
      <w:pPr>
        <w:pStyle w:val="Normal"/>
        <w:numPr>
          <w:ilvl w:val="0"/>
          <w:numId w:val="14"/>
        </w:numPr>
        <w:spacing w:lineRule="auto" w:line="276"/>
        <w:jc w:val="both"/>
        <w:rPr/>
      </w:pPr>
      <w:r>
        <w:rPr/>
        <w:t>Wykonawca posiada:</w:t>
      </w:r>
    </w:p>
    <w:p>
      <w:pPr>
        <w:pStyle w:val="Normal"/>
        <w:numPr>
          <w:ilvl w:val="0"/>
          <w:numId w:val="12"/>
        </w:numPr>
        <w:spacing w:lineRule="auto" w:line="276"/>
        <w:jc w:val="both"/>
        <w:rPr/>
      </w:pPr>
      <w:r>
        <w:rPr/>
        <w:t>na podstawie art. 15 RODO prawo dostępu do danych osobowych dotyczących Wykonawcy;</w:t>
      </w:r>
    </w:p>
    <w:p>
      <w:pPr>
        <w:pStyle w:val="Normal"/>
        <w:numPr>
          <w:ilvl w:val="0"/>
          <w:numId w:val="12"/>
        </w:numPr>
        <w:spacing w:lineRule="auto" w:line="276"/>
        <w:rPr/>
      </w:pPr>
      <w:r>
        <w:rPr>
          <w:lang w:eastAsia="pl-PL"/>
        </w:rPr>
        <w:t xml:space="preserve">na podstawie art. 16 RODO prawo do sprostowania danych osobowych, o ile ich zmiana nie skutkuje zmianą </w:t>
      </w:r>
      <w:r>
        <w:rPr/>
        <w:t xml:space="preserve">wyniku postępowania o udzielenie zamówienia </w:t>
        <w:br/>
        <w:t>publicznego ani zmianą postanowień umowy w zakresie niezgodnym z ustawą Pzp oraz nie narusza integralności protokołu oraz jego załączników</w:t>
      </w:r>
      <w:r>
        <w:rPr>
          <w:lang w:eastAsia="pl-PL"/>
        </w:rPr>
        <w:t>;</w:t>
      </w:r>
    </w:p>
    <w:p>
      <w:pPr>
        <w:pStyle w:val="Normal"/>
        <w:numPr>
          <w:ilvl w:val="0"/>
          <w:numId w:val="12"/>
        </w:numPr>
        <w:spacing w:lineRule="auto" w:line="276"/>
        <w:rPr/>
      </w:pPr>
      <w:r>
        <w:rPr/>
        <w:t xml:space="preserve">na podstawie art. 18 RODO prawo żądania od administratora ograniczenia przetwarzania danych osobowych z zastrzeżeniem przypadków, o których mowa w art. 18 ust. 2 RODO;  </w:t>
      </w:r>
    </w:p>
    <w:p>
      <w:pPr>
        <w:pStyle w:val="Normal"/>
        <w:numPr>
          <w:ilvl w:val="0"/>
          <w:numId w:val="12"/>
        </w:numPr>
        <w:spacing w:lineRule="auto" w:line="276"/>
        <w:rPr/>
      </w:pPr>
      <w:r>
        <w:rPr/>
        <w:t>prawo do wniesienia skargi do Prezesa Urzędu Ochrony Danych Osobowych, gdy Wykonawca uzna, że przetwarzanie jego danych osobowych narusza przepisy RODO;</w:t>
      </w:r>
    </w:p>
    <w:p>
      <w:pPr>
        <w:pStyle w:val="Normal"/>
        <w:numPr>
          <w:ilvl w:val="0"/>
          <w:numId w:val="14"/>
        </w:numPr>
        <w:spacing w:lineRule="auto" w:line="276"/>
        <w:rPr/>
      </w:pPr>
      <w:r>
        <w:rPr/>
        <w:t>Wykonawcy nie przysługuje:</w:t>
      </w:r>
    </w:p>
    <w:p>
      <w:pPr>
        <w:pStyle w:val="Normal"/>
        <w:numPr>
          <w:ilvl w:val="0"/>
          <w:numId w:val="13"/>
        </w:numPr>
        <w:spacing w:lineRule="auto" w:line="276"/>
        <w:rPr/>
      </w:pPr>
      <w:r>
        <w:rPr/>
        <w:t>w związku z art. 17 ust. 3 lit. b, d lub e RODO prawo do usunięcia danych osobowych;</w:t>
      </w:r>
    </w:p>
    <w:p>
      <w:pPr>
        <w:pStyle w:val="Normal"/>
        <w:numPr>
          <w:ilvl w:val="0"/>
          <w:numId w:val="13"/>
        </w:numPr>
        <w:spacing w:lineRule="auto" w:line="276"/>
        <w:rPr/>
      </w:pPr>
      <w:r>
        <w:rPr/>
        <w:t>prawo do przenoszenia danych osobowych, o którym mowa w art. 20 RODO;</w:t>
      </w:r>
    </w:p>
    <w:p>
      <w:pPr>
        <w:pStyle w:val="Normal"/>
        <w:numPr>
          <w:ilvl w:val="0"/>
          <w:numId w:val="13"/>
        </w:numPr>
        <w:spacing w:lineRule="auto" w:line="276"/>
        <w:rPr/>
      </w:pPr>
      <w:r>
        <w:rPr/>
        <w:t xml:space="preserve">na podstawie art. 21 RODO prawo sprzeciwu, wobec przetwarzania danych osobowych, gdyż podstawą prawną przetwarzania danych osobowych Wykonawcy jest art. 6 ust. 1 lit. c RODO. </w:t>
      </w:r>
    </w:p>
    <w:p>
      <w:pPr>
        <w:pStyle w:val="Normal"/>
        <w:spacing w:lineRule="auto" w:line="276"/>
        <w:jc w:val="both"/>
        <w:rPr/>
      </w:pPr>
      <w:r>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Normal"/>
        <w:spacing w:lineRule="auto" w:line="276"/>
        <w:jc w:val="both"/>
        <w:rPr/>
      </w:pPr>
      <w:r>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pPr>
        <w:pStyle w:val="Normal"/>
        <w:spacing w:lineRule="auto" w:line="276"/>
        <w:jc w:val="both"/>
        <w:rPr/>
      </w:pPr>
      <w:r>
        <w:rPr/>
        <w:t>Wystąpienie z żądaniem, o którym mowa w art. 18 ust. 1 rozporządzenia 2016/679, nie ogranicza przetwarzania danych osobowych do czasu zakończenia postępowania  o udzielenie zamówienia publicznego lub konkursu.</w:t>
      </w:r>
    </w:p>
    <w:p>
      <w:pPr>
        <w:pStyle w:val="Normal"/>
        <w:spacing w:lineRule="auto" w:line="276"/>
        <w:jc w:val="both"/>
        <w:rPr/>
      </w:pPr>
      <w: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jc w:val="both"/>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23</w:t>
            </w:r>
          </w:p>
          <w:p>
            <w:pPr>
              <w:pStyle w:val="Normal"/>
              <w:widowControl w:val="false"/>
              <w:spacing w:lineRule="auto" w:line="276"/>
              <w:jc w:val="center"/>
              <w:rPr>
                <w:b/>
                <w:bCs/>
              </w:rPr>
            </w:pPr>
            <w:r>
              <w:rPr>
                <w:b/>
                <w:bCs/>
              </w:rPr>
              <w:t>POUCZENIE O ŚRODKACH OCHRONY PRAWNEJ</w:t>
            </w:r>
          </w:p>
        </w:tc>
      </w:tr>
    </w:tbl>
    <w:p>
      <w:pPr>
        <w:pStyle w:val="Normal"/>
        <w:spacing w:lineRule="auto" w:line="276"/>
        <w:jc w:val="both"/>
        <w:rPr/>
      </w:pPr>
      <w:r>
        <w:rPr/>
      </w:r>
    </w:p>
    <w:p>
      <w:pPr>
        <w:pStyle w:val="Normal"/>
        <w:widowControl/>
        <w:numPr>
          <w:ilvl w:val="1"/>
          <w:numId w:val="20"/>
        </w:numPr>
        <w:suppressAutoHyphens w:val="true"/>
        <w:bidi w:val="0"/>
        <w:spacing w:lineRule="auto" w:line="276" w:before="0" w:after="0"/>
        <w:ind w:left="0" w:right="0" w:hanging="0"/>
        <w:jc w:val="both"/>
        <w:rPr/>
      </w:pPr>
      <w:r>
        <w:rPr/>
        <w:t>Środki ochrony prawnej przewidziane są w dziale IX ustawy.</w:t>
      </w:r>
    </w:p>
    <w:p>
      <w:pPr>
        <w:pStyle w:val="Normal"/>
        <w:widowControl/>
        <w:numPr>
          <w:ilvl w:val="1"/>
          <w:numId w:val="20"/>
        </w:numPr>
        <w:suppressAutoHyphens w:val="true"/>
        <w:bidi w:val="0"/>
        <w:spacing w:lineRule="auto" w:line="276" w:before="0" w:after="0"/>
        <w:ind w:left="0" w:right="0" w:hanging="0"/>
        <w:jc w:val="both"/>
        <w:rPr/>
      </w:pPr>
      <w:r>
        <w:rPr/>
        <w:t>Środkami ochrony prawnej są odwołanie i skarga do sądu.</w:t>
      </w:r>
    </w:p>
    <w:p>
      <w:pPr>
        <w:pStyle w:val="Normal"/>
        <w:widowControl/>
        <w:numPr>
          <w:ilvl w:val="1"/>
          <w:numId w:val="20"/>
        </w:numPr>
        <w:suppressAutoHyphens w:val="true"/>
        <w:bidi w:val="0"/>
        <w:spacing w:lineRule="auto" w:line="276" w:before="0" w:after="0"/>
        <w:ind w:left="0" w:right="0" w:hanging="0"/>
        <w:jc w:val="both"/>
        <w:rPr/>
      </w:pPr>
      <w:r>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w:t>
        <w:br/>
        <w:t>i Średnich Przedsiębiorców.</w:t>
      </w:r>
    </w:p>
    <w:p>
      <w:pPr>
        <w:pStyle w:val="Normal"/>
        <w:widowControl/>
        <w:numPr>
          <w:ilvl w:val="1"/>
          <w:numId w:val="20"/>
        </w:numPr>
        <w:suppressAutoHyphens w:val="true"/>
        <w:bidi w:val="0"/>
        <w:spacing w:lineRule="auto" w:line="276" w:before="0" w:after="0"/>
        <w:ind w:left="0" w:right="0" w:hanging="0"/>
        <w:jc w:val="both"/>
        <w:rPr/>
      </w:pPr>
      <w:r>
        <w:rPr/>
        <w:t>Odwołanie przysługuje na:</w:t>
      </w:r>
    </w:p>
    <w:p>
      <w:pPr>
        <w:pStyle w:val="Normal"/>
        <w:spacing w:lineRule="auto" w:line="276"/>
        <w:jc w:val="both"/>
        <w:rPr/>
      </w:pPr>
      <w:r>
        <w:rPr/>
        <w:t>1) niezgodną z przepisami ustawy czynność zamawiającego, podjętą w postępowaniu</w:t>
        <w:br/>
        <w:t>o udzielenie zamówienia, w tym na projektowane postanowienie umowy;</w:t>
      </w:r>
    </w:p>
    <w:p>
      <w:pPr>
        <w:pStyle w:val="Normal"/>
        <w:spacing w:lineRule="auto" w:line="276"/>
        <w:jc w:val="both"/>
        <w:rPr/>
      </w:pPr>
      <w:r>
        <w:rPr/>
        <w:t>2) zaniechanie czynności w postępowaniu o udzielenie zamówienia, do której zamawiający był obowiązany na podstawie ustawy;</w:t>
      </w:r>
    </w:p>
    <w:p>
      <w:pPr>
        <w:pStyle w:val="Normal"/>
        <w:spacing w:lineRule="auto" w:line="276"/>
        <w:jc w:val="both"/>
        <w:rPr/>
      </w:pPr>
      <w:r>
        <w:rPr/>
        <w:t>3) zaniechanie przeprowadzenia postępowania o udzielenie zamówienia lub zorganizowania konkursu na podstawie ustawy, mimo że zamawiający był do tego obowiązany.</w:t>
      </w:r>
    </w:p>
    <w:p>
      <w:pPr>
        <w:pStyle w:val="Normal"/>
        <w:spacing w:lineRule="auto" w:line="276"/>
        <w:jc w:val="both"/>
        <w:rPr/>
      </w:pPr>
      <w:r>
        <w:rPr>
          <w:b/>
          <w:bCs/>
        </w:rPr>
        <w:t xml:space="preserve">23.5. </w:t>
      </w:r>
      <w:r>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Normal"/>
        <w:spacing w:lineRule="auto" w:line="276"/>
        <w:jc w:val="both"/>
        <w:rPr/>
      </w:pPr>
      <w:r>
        <w:rPr>
          <w:b/>
          <w:bCs/>
        </w:rPr>
        <w:t xml:space="preserve">23.6. </w:t>
      </w:r>
      <w:r>
        <w:rPr/>
        <w:t xml:space="preserve">Terminy wnoszenia odwołań </w:t>
      </w:r>
    </w:p>
    <w:p>
      <w:pPr>
        <w:pStyle w:val="Normal"/>
        <w:spacing w:lineRule="auto" w:line="276"/>
        <w:jc w:val="both"/>
        <w:rPr/>
      </w:pPr>
      <w:r>
        <w:rPr/>
        <w:t>1) Odwołanie wnosi się w terminie:</w:t>
      </w:r>
    </w:p>
    <w:p>
      <w:pPr>
        <w:pStyle w:val="Normal"/>
        <w:spacing w:lineRule="auto" w:line="276"/>
        <w:jc w:val="both"/>
        <w:rPr/>
      </w:pPr>
      <w:r>
        <w:rPr/>
        <w:t>a) 5 dni od dnia przekazania informacji o czynności zamawiającego stanowiącej podstawę jego wniesienia, jeżeli informacja została przekazana przy użyciu środków komunikacji elektronicznej,</w:t>
      </w:r>
    </w:p>
    <w:p>
      <w:pPr>
        <w:pStyle w:val="Normal"/>
        <w:spacing w:lineRule="auto" w:line="276"/>
        <w:jc w:val="both"/>
        <w:rPr/>
      </w:pPr>
      <w:r>
        <w:rPr/>
        <w:t>b) 10 dni od dnia przekazania informacji o czynności zamawiającego stanowiącej podstawę jego wniesienia, jeżeli informacja została przekazana w sposób inny niż określony w lit. a.</w:t>
      </w:r>
    </w:p>
    <w:p>
      <w:pPr>
        <w:pStyle w:val="Normal"/>
        <w:spacing w:lineRule="auto" w:line="276"/>
        <w:jc w:val="both"/>
        <w:rPr/>
      </w:pPr>
      <w:r>
        <w:rPr/>
        <w:t>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pPr>
        <w:pStyle w:val="Normal"/>
        <w:spacing w:lineRule="auto" w:line="276"/>
        <w:jc w:val="both"/>
        <w:rPr/>
      </w:pPr>
      <w:r>
        <w:rPr/>
        <w:t>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pPr>
        <w:pStyle w:val="Normal"/>
        <w:spacing w:lineRule="auto" w:line="276"/>
        <w:jc w:val="both"/>
        <w:rPr/>
      </w:pPr>
      <w:r>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pStyle w:val="Normal"/>
        <w:spacing w:lineRule="auto" w:line="276"/>
        <w:jc w:val="both"/>
        <w:rPr/>
      </w:pPr>
      <w:r>
        <w:rPr/>
        <w:t>1) 15 dni od dnia zamieszczenia w Biuletynie Zamówień Publicznych ogłoszenia o wyniku postępowania</w:t>
      </w:r>
    </w:p>
    <w:p>
      <w:pPr>
        <w:pStyle w:val="Normal"/>
        <w:spacing w:lineRule="auto" w:line="276"/>
        <w:jc w:val="both"/>
        <w:rPr/>
      </w:pPr>
      <w:r>
        <w:rPr/>
        <w:t>3) miesiąca od dnia zawarcia umowy, jeżeli zamawiający:</w:t>
      </w:r>
    </w:p>
    <w:p>
      <w:pPr>
        <w:pStyle w:val="Normal"/>
        <w:spacing w:lineRule="auto" w:line="276"/>
        <w:jc w:val="both"/>
        <w:rPr/>
      </w:pPr>
      <w:r>
        <w:rPr/>
        <w:t>a) nie zamieścił w Biuletynie Zamówień Publicznych ogłoszenia o wyniku postępowania albo</w:t>
      </w:r>
    </w:p>
    <w:p>
      <w:pPr>
        <w:pStyle w:val="Normal"/>
        <w:spacing w:lineRule="auto" w:line="276"/>
        <w:jc w:val="both"/>
        <w:rPr/>
      </w:pPr>
      <w:r>
        <w:rPr/>
        <w:t>b) zamieścił w Biuletynie Zamówień Publicznych ogłoszenie o wyniku postępowania, które nie zawiera uzasadnienia udzielenia zamówienia w trybie negocjacji bez ogłoszenia albo zamówienia z wolnej ręki.</w:t>
      </w:r>
    </w:p>
    <w:p>
      <w:pPr>
        <w:pStyle w:val="Normal"/>
        <w:spacing w:lineRule="auto" w:line="276"/>
        <w:jc w:val="both"/>
        <w:rPr/>
      </w:pPr>
      <w:r>
        <w:rPr>
          <w:b/>
          <w:bCs/>
        </w:rPr>
        <w:t xml:space="preserve">23.7. </w:t>
      </w:r>
      <w:r>
        <w:rPr/>
        <w:t>Odwołanie zawiera:</w:t>
      </w:r>
    </w:p>
    <w:p>
      <w:pPr>
        <w:pStyle w:val="Normal"/>
        <w:spacing w:lineRule="auto" w:line="276"/>
        <w:jc w:val="both"/>
        <w:rPr/>
      </w:pPr>
      <w:r>
        <w:rPr/>
        <w:t>1) imię i nazwisko albo nazwę, miejsce zamieszkania albo siedzibę, numer telefonu oraz adres poczty elektronicznej odwołującego oraz imię i nazwisko przedstawiciela (przedstawicieli);</w:t>
      </w:r>
    </w:p>
    <w:p>
      <w:pPr>
        <w:pStyle w:val="Normal"/>
        <w:spacing w:lineRule="auto" w:line="276"/>
        <w:jc w:val="both"/>
        <w:rPr/>
      </w:pPr>
      <w:r>
        <w:rPr/>
        <w:t>2) nazwę i siedzibę zamawiającego, numer telefonu oraz adres poczty elektronicznej zamawiającego;</w:t>
      </w:r>
    </w:p>
    <w:p>
      <w:pPr>
        <w:pStyle w:val="Normal"/>
        <w:spacing w:lineRule="auto" w:line="276"/>
        <w:jc w:val="both"/>
        <w:rPr/>
      </w:pPr>
      <w:r>
        <w:rPr/>
        <w:t>3) numer Powszechnego Elektronicznego Systemu Ewidencji Ludności (PESEL) lub NIP odwołującego będącego osobą fizyczną, jeżeli jest on obowiązany do jego posiadania albo posiada go nie mając takiego obowiązku;</w:t>
      </w:r>
    </w:p>
    <w:p>
      <w:pPr>
        <w:pStyle w:val="Normal"/>
        <w:spacing w:lineRule="auto" w:line="276"/>
        <w:jc w:val="both"/>
        <w:rPr/>
      </w:pPr>
      <w:r>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pPr>
        <w:pStyle w:val="Normal"/>
        <w:spacing w:lineRule="auto" w:line="276"/>
        <w:jc w:val="both"/>
        <w:rPr/>
      </w:pPr>
      <w:r>
        <w:rPr/>
        <w:t>5) określenie przedmiotu zamówienia;</w:t>
      </w:r>
    </w:p>
    <w:p>
      <w:pPr>
        <w:pStyle w:val="Normal"/>
        <w:spacing w:lineRule="auto" w:line="276"/>
        <w:jc w:val="both"/>
        <w:rPr/>
      </w:pPr>
      <w:r>
        <w:rPr/>
        <w:t>6) wskazanie numeru ogłoszenia w przypadku zamieszczenia w Biuletynie Zamówień Publicznych albo publikacji w Dzienniku Urzędowym Unii Europejskiej;</w:t>
      </w:r>
    </w:p>
    <w:p>
      <w:pPr>
        <w:pStyle w:val="Normal"/>
        <w:spacing w:lineRule="auto" w:line="276"/>
        <w:jc w:val="both"/>
        <w:rPr/>
      </w:pPr>
      <w:r>
        <w:rPr/>
        <w:t>7) wskazanie czynności lub zaniechania czynności zamawiającego, której zarzuca się niezgodność z przepisami ustawy, lub wskazanie zaniechania przeprowadzenia postępowania o udzielenie zamówienia lub zorganizowania konkursu na podstawie ustawy;</w:t>
      </w:r>
    </w:p>
    <w:p>
      <w:pPr>
        <w:pStyle w:val="Normal"/>
        <w:spacing w:lineRule="auto" w:line="276"/>
        <w:jc w:val="both"/>
        <w:rPr/>
      </w:pPr>
      <w:r>
        <w:rPr/>
        <w:t>8) zwięzłe przedstawienie zarzutów;</w:t>
      </w:r>
    </w:p>
    <w:p>
      <w:pPr>
        <w:pStyle w:val="Normal"/>
        <w:spacing w:lineRule="auto" w:line="276"/>
        <w:jc w:val="both"/>
        <w:rPr/>
      </w:pPr>
      <w:r>
        <w:rPr/>
        <w:t>9) żądanie co do sposobu rozstrzygnięcia odwołania;</w:t>
      </w:r>
    </w:p>
    <w:p>
      <w:pPr>
        <w:pStyle w:val="Normal"/>
        <w:spacing w:lineRule="auto" w:line="276"/>
        <w:jc w:val="both"/>
        <w:rPr/>
      </w:pPr>
      <w:r>
        <w:rPr/>
        <w:t>10) wskazanie okoliczności faktycznych i prawnych uzasadniających wniesienie odwołania oraz dowodów na poparcie przytoczonych okoliczności;</w:t>
      </w:r>
    </w:p>
    <w:p>
      <w:pPr>
        <w:pStyle w:val="Normal"/>
        <w:spacing w:lineRule="auto" w:line="276"/>
        <w:jc w:val="both"/>
        <w:rPr/>
      </w:pPr>
      <w:r>
        <w:rPr/>
        <w:t>11) podpis odwołującego albo jego przedstawiciela lub przedstawicieli;</w:t>
      </w:r>
    </w:p>
    <w:p>
      <w:pPr>
        <w:pStyle w:val="Normal"/>
        <w:spacing w:lineRule="auto" w:line="276"/>
        <w:jc w:val="both"/>
        <w:rPr/>
      </w:pPr>
      <w:r>
        <w:rPr/>
        <w:t>12) wykaz załączników.</w:t>
      </w:r>
    </w:p>
    <w:p>
      <w:pPr>
        <w:pStyle w:val="Normal"/>
        <w:spacing w:lineRule="auto" w:line="276"/>
        <w:jc w:val="both"/>
        <w:rPr/>
      </w:pPr>
      <w:r>
        <w:rPr/>
        <w:t>Do odwołania dołącza się:</w:t>
      </w:r>
    </w:p>
    <w:p>
      <w:pPr>
        <w:pStyle w:val="Normal"/>
        <w:spacing w:lineRule="auto" w:line="276"/>
        <w:jc w:val="both"/>
        <w:rPr/>
      </w:pPr>
      <w:r>
        <w:rPr/>
        <w:t>1) dowód uiszczenia wpisu od odwołania w wymaganej wysokości;</w:t>
      </w:r>
    </w:p>
    <w:p>
      <w:pPr>
        <w:pStyle w:val="Normal"/>
        <w:spacing w:lineRule="auto" w:line="276"/>
        <w:jc w:val="both"/>
        <w:rPr/>
      </w:pPr>
      <w:r>
        <w:rPr/>
        <w:t>2) dowód przekazania odpowiednio odwołania albo jego kopii zamawiającemu;</w:t>
      </w:r>
    </w:p>
    <w:p>
      <w:pPr>
        <w:pStyle w:val="Normal"/>
        <w:spacing w:lineRule="auto" w:line="276"/>
        <w:jc w:val="both"/>
        <w:rPr/>
      </w:pPr>
      <w:r>
        <w:rPr/>
        <w:t>3) dokument potwierdzający umocowanie do reprezentowania odwołującego.</w:t>
      </w:r>
    </w:p>
    <w:p>
      <w:pPr>
        <w:pStyle w:val="Normal"/>
        <w:spacing w:lineRule="auto" w:line="276"/>
        <w:jc w:val="both"/>
        <w:rPr/>
      </w:pPr>
      <w:r>
        <w:rPr>
          <w:b/>
          <w:bCs/>
        </w:rPr>
        <w:t>23.8.</w:t>
      </w:r>
      <w:r>
        <w:rPr/>
        <w:t xml:space="preserve"> Na orzeczenie Izby stronom oraz uczestnikom postępowania odwoławczego przysługuje skarga do sądu. Skargę wnosi się do Sądu Okręgowego w Warszawie - sądu zamówień publicznych.</w:t>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24</w:t>
            </w:r>
          </w:p>
          <w:p>
            <w:pPr>
              <w:pStyle w:val="Normal"/>
              <w:widowControl w:val="false"/>
              <w:spacing w:lineRule="auto" w:line="276"/>
              <w:jc w:val="center"/>
              <w:rPr>
                <w:b/>
                <w:bCs/>
              </w:rPr>
            </w:pPr>
            <w:r>
              <w:rPr>
                <w:b/>
                <w:bCs/>
              </w:rPr>
              <w:t>KLAUZULA ZATRUDNIENIA</w:t>
            </w:r>
          </w:p>
        </w:tc>
      </w:tr>
    </w:tbl>
    <w:p>
      <w:pPr>
        <w:pStyle w:val="Normal"/>
        <w:spacing w:lineRule="auto" w:line="276"/>
        <w:rPr/>
      </w:pPr>
      <w:r>
        <w:rPr/>
      </w:r>
    </w:p>
    <w:p>
      <w:pPr>
        <w:pStyle w:val="Kolorowalistaakcent11"/>
        <w:widowControl w:val="false"/>
        <w:numPr>
          <w:ilvl w:val="0"/>
          <w:numId w:val="0"/>
        </w:numPr>
        <w:shd w:val="clear" w:color="auto" w:fill="FFFFFF"/>
        <w:suppressAutoHyphens w:val="true"/>
        <w:spacing w:lineRule="auto" w:line="276"/>
        <w:ind w:left="0" w:hanging="0"/>
        <w:outlineLvl w:val="3"/>
        <w:rPr/>
      </w:pPr>
      <w:r>
        <w:rPr>
          <w:rFonts w:ascii="Cambria" w:hAnsi="Cambria" w:asciiTheme="majorHAnsi" w:hAnsiTheme="majorHAnsi"/>
          <w:b/>
          <w:bCs/>
          <w:color w:val="000000"/>
          <w:sz w:val="24"/>
          <w:szCs w:val="24"/>
        </w:rPr>
        <w:t xml:space="preserve">24.1. </w:t>
      </w:r>
      <w:r>
        <w:rPr>
          <w:rFonts w:ascii="Cambria" w:hAnsi="Cambria" w:asciiTheme="majorHAnsi" w:hAnsiTheme="majorHAnsi"/>
          <w:color w:val="000000"/>
          <w:sz w:val="24"/>
          <w:szCs w:val="24"/>
        </w:rPr>
        <w:t>Zamawiający stosownie do art. 95 ust. 1 ustawy Pzp, określa obowiązek zatrudnienia na podstawie umowy o pracę osób wykonujących następujące czynności</w:t>
        <w:br/>
        <w:t>w zakresie realizacji zamówienia:</w:t>
      </w:r>
    </w:p>
    <w:p>
      <w:pPr>
        <w:pStyle w:val="Kolorowalistaakcent11"/>
        <w:widowControl w:val="false"/>
        <w:numPr>
          <w:ilvl w:val="0"/>
          <w:numId w:val="0"/>
        </w:numPr>
        <w:shd w:val="clear" w:color="auto" w:fill="FFFFFF"/>
        <w:suppressAutoHyphens w:val="true"/>
        <w:spacing w:lineRule="auto" w:line="276"/>
        <w:ind w:left="0" w:hanging="0"/>
        <w:jc w:val="left"/>
        <w:outlineLvl w:val="3"/>
        <w:rPr>
          <w:highlight w:val="none"/>
          <w:shd w:fill="auto" w:val="clear"/>
        </w:rPr>
      </w:pPr>
      <w:r>
        <w:rPr>
          <w:rFonts w:ascii="Cambria" w:hAnsi="Cambria" w:asciiTheme="majorHAnsi" w:hAnsiTheme="majorHAnsi"/>
          <w:color w:val="000000"/>
          <w:sz w:val="24"/>
          <w:szCs w:val="24"/>
          <w:shd w:fill="auto" w:val="clear"/>
        </w:rPr>
        <w:t xml:space="preserve">- </w:t>
      </w:r>
      <w:r>
        <w:rPr>
          <w:rFonts w:eastAsia="Arial;Arial Narrow" w:cs="Arial" w:ascii="Cambria" w:hAnsi="Cambria"/>
          <w:b/>
          <w:bCs/>
          <w:color w:val="000000"/>
          <w:sz w:val="24"/>
          <w:szCs w:val="24"/>
          <w:shd w:fill="auto" w:val="clear"/>
        </w:rPr>
        <w:t>wykonywanie prac fizycznych przy realizacji robót budowlanych i instalacyjnych w szczególności:</w:t>
      </w:r>
    </w:p>
    <w:p>
      <w:pPr>
        <w:pStyle w:val="Normal"/>
        <w:widowControl/>
        <w:suppressAutoHyphens w:val="false"/>
        <w:spacing w:lineRule="auto" w:line="276" w:before="0" w:after="0"/>
        <w:ind w:hanging="0"/>
        <w:contextualSpacing/>
        <w:textAlignment w:val="auto"/>
        <w:rPr>
          <w:highlight w:val="none"/>
          <w:shd w:fill="auto" w:val="clear"/>
        </w:rPr>
      </w:pPr>
      <w:r>
        <w:rPr>
          <w:rFonts w:ascii="Cambria" w:hAnsi="Cambria"/>
          <w:b w:val="false"/>
          <w:bCs w:val="false"/>
          <w:color w:val="000000"/>
          <w:sz w:val="24"/>
          <w:szCs w:val="24"/>
          <w:shd w:fill="auto" w:val="clear"/>
        </w:rPr>
        <w:t xml:space="preserve">a) </w:t>
      </w:r>
      <w:r>
        <w:rPr>
          <w:rFonts w:eastAsia="Cambria" w:cs="Arial" w:ascii="Cambria;serif" w:hAnsi="Cambria;serif"/>
          <w:b w:val="false"/>
          <w:bCs w:val="false"/>
          <w:color w:val="000000"/>
          <w:sz w:val="24"/>
          <w:szCs w:val="24"/>
          <w:shd w:fill="auto" w:val="clear"/>
          <w:lang w:val="pl-PL"/>
        </w:rPr>
        <w:t xml:space="preserve">czynności polegające na wykonaniu robót </w:t>
      </w:r>
      <w:r>
        <w:rPr>
          <w:rFonts w:eastAsia="Cambria" w:cs="Arial" w:ascii="Cambria;serif" w:hAnsi="Cambria;serif"/>
          <w:b w:val="false"/>
          <w:bCs w:val="false"/>
          <w:color w:val="000000"/>
          <w:kern w:val="0"/>
          <w:sz w:val="24"/>
          <w:szCs w:val="24"/>
          <w:shd w:fill="auto" w:val="clear"/>
          <w:lang w:val="pl-PL" w:eastAsia="pl-PL" w:bidi="ar-SA"/>
        </w:rPr>
        <w:t>ogólnobudowlanych</w:t>
      </w:r>
      <w:r>
        <w:rPr>
          <w:rFonts w:eastAsia="Cambria" w:cs="Arial" w:ascii="Cambria;serif" w:hAnsi="Cambria;serif"/>
          <w:b w:val="false"/>
          <w:bCs w:val="false"/>
          <w:color w:val="000000"/>
          <w:sz w:val="24"/>
          <w:szCs w:val="24"/>
          <w:shd w:fill="auto" w:val="clear"/>
          <w:lang w:val="pl-PL"/>
        </w:rPr>
        <w:t xml:space="preserve">, </w:t>
      </w:r>
    </w:p>
    <w:p>
      <w:pPr>
        <w:pStyle w:val="Tretekstu"/>
        <w:spacing w:lineRule="auto" w:line="276" w:before="0" w:after="0"/>
        <w:ind w:right="0" w:hanging="0"/>
        <w:rPr>
          <w:highlight w:val="none"/>
          <w:shd w:fill="auto" w:val="clear"/>
        </w:rPr>
      </w:pPr>
      <w:r>
        <w:rPr>
          <w:rFonts w:ascii="Cambria;serif" w:hAnsi="Cambria;serif"/>
          <w:b w:val="false"/>
          <w:bCs w:val="false"/>
          <w:color w:val="000000"/>
          <w:sz w:val="24"/>
          <w:shd w:fill="auto" w:val="clear"/>
        </w:rPr>
        <w:t xml:space="preserve">b) czynności polegające na wykonaniu robót </w:t>
      </w:r>
      <w:r>
        <w:rPr>
          <w:rFonts w:eastAsia="Calibri" w:cs="Times New Roman" w:ascii="Cambria;serif" w:hAnsi="Cambria;serif"/>
          <w:b w:val="false"/>
          <w:bCs w:val="false"/>
          <w:color w:val="000000"/>
          <w:kern w:val="0"/>
          <w:sz w:val="24"/>
          <w:szCs w:val="20"/>
          <w:shd w:fill="auto" w:val="clear"/>
          <w:lang w:val="pl-PL" w:eastAsia="pl-PL" w:bidi="ar-SA"/>
        </w:rPr>
        <w:t>elektrycznych</w:t>
      </w:r>
      <w:r>
        <w:rPr>
          <w:rFonts w:ascii="Cambria;serif" w:hAnsi="Cambria;serif"/>
          <w:b w:val="false"/>
          <w:bCs w:val="false"/>
          <w:color w:val="000000"/>
          <w:sz w:val="24"/>
          <w:shd w:fill="auto" w:val="clear"/>
        </w:rPr>
        <w:t xml:space="preserve">, </w:t>
      </w:r>
    </w:p>
    <w:p>
      <w:pPr>
        <w:pStyle w:val="Kolorowalistaakcent11"/>
        <w:widowControl w:val="false"/>
        <w:numPr>
          <w:ilvl w:val="0"/>
          <w:numId w:val="0"/>
        </w:numPr>
        <w:shd w:val="clear" w:color="auto" w:fill="FFFFFF"/>
        <w:suppressAutoHyphens w:val="true"/>
        <w:spacing w:lineRule="auto" w:line="276"/>
        <w:ind w:left="0" w:hanging="0"/>
        <w:outlineLvl w:val="3"/>
        <w:rPr>
          <w:highlight w:val="none"/>
          <w:shd w:fill="auto" w:val="clear"/>
        </w:rPr>
      </w:pPr>
      <w:r>
        <w:rPr>
          <w:rFonts w:ascii="Cambria" w:hAnsi="Cambria" w:asciiTheme="majorHAnsi" w:hAnsiTheme="majorHAnsi"/>
          <w:color w:val="000000"/>
          <w:sz w:val="24"/>
          <w:szCs w:val="24"/>
          <w:shd w:fill="auto" w:val="clear"/>
        </w:rPr>
        <w:t xml:space="preserve">(obowiązek ten nie dotyczy sytuacji, gdy prace te będą wykonywane samodzielnie            i osobiście przez osoby fizyczne prowadzące działalność gospodarczą w postaci tzw. samozatrudnienia, jako podwykonawcy). </w:t>
      </w:r>
    </w:p>
    <w:p>
      <w:pPr>
        <w:pStyle w:val="Kolorowalistaakcent11"/>
        <w:widowControl w:val="false"/>
        <w:numPr>
          <w:ilvl w:val="0"/>
          <w:numId w:val="0"/>
        </w:numPr>
        <w:shd w:val="clear" w:color="auto" w:fill="FFFFFF"/>
        <w:suppressAutoHyphens w:val="true"/>
        <w:bidi w:val="0"/>
        <w:spacing w:lineRule="auto" w:line="276" w:before="20" w:after="40"/>
        <w:ind w:left="0" w:right="0" w:hanging="0"/>
        <w:contextualSpacing/>
        <w:jc w:val="both"/>
        <w:outlineLvl w:val="3"/>
        <w:rPr>
          <w:rFonts w:ascii="Cambria" w:hAnsi="Cambria" w:asciiTheme="majorHAnsi" w:hAnsiTheme="majorHAnsi"/>
          <w:highlight w:val="none"/>
          <w:shd w:fill="FFFF00" w:val="clear"/>
        </w:rPr>
      </w:pPr>
      <w:r>
        <w:rPr>
          <w:rFonts w:ascii="Cambria" w:hAnsi="Cambria" w:asciiTheme="majorHAnsi" w:hAnsiTheme="majorHAnsi"/>
          <w:b/>
          <w:bCs/>
          <w:color w:val="000000"/>
          <w:sz w:val="24"/>
          <w:szCs w:val="24"/>
          <w:shd w:fill="auto" w:val="clear"/>
        </w:rPr>
        <w:t xml:space="preserve">24.2. </w:t>
      </w:r>
      <w:r>
        <w:rPr>
          <w:rFonts w:ascii="Cambria" w:hAnsi="Cambria" w:asciiTheme="majorHAnsi" w:hAnsiTheme="majorHAnsi"/>
          <w:color w:val="000000"/>
          <w:sz w:val="24"/>
          <w:szCs w:val="24"/>
          <w:shd w:fill="auto" w:val="clear"/>
        </w:rPr>
        <w:t xml:space="preserve">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eastAsia="SimSun" w:cs="Times New Roman" w:ascii="Cambria" w:hAnsi="Cambria"/>
          <w:color w:val="000000"/>
          <w:kern w:val="0"/>
          <w:sz w:val="24"/>
          <w:szCs w:val="24"/>
          <w:shd w:fill="auto" w:val="clear"/>
          <w:lang w:val="pl-PL" w:eastAsia="zh-CN" w:bidi="ar-SA"/>
        </w:rPr>
        <w:t>16</w:t>
      </w:r>
      <w:r>
        <w:rPr>
          <w:rFonts w:ascii="Cambria" w:hAnsi="Cambria" w:asciiTheme="majorHAnsi" w:hAnsiTheme="majorHAnsi"/>
          <w:color w:val="000000"/>
          <w:sz w:val="24"/>
          <w:szCs w:val="24"/>
          <w:shd w:fill="auto" w:val="clear"/>
        </w:rPr>
        <w:t xml:space="preserve"> Projektu Umowy.</w:t>
      </w:r>
    </w:p>
    <w:p>
      <w:pPr>
        <w:pStyle w:val="Normal"/>
        <w:spacing w:lineRule="auto" w:line="276"/>
        <w:rPr/>
      </w:pPr>
      <w:r>
        <w:rPr/>
      </w:r>
    </w:p>
    <w:p>
      <w:pPr>
        <w:pStyle w:val="Normal"/>
        <w:spacing w:lineRule="auto" w:line="276"/>
        <w:rPr/>
      </w:pPr>
      <w:r>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rHeight w:val="507" w:hRule="atLeast"/>
        </w:trPr>
        <w:tc>
          <w:tcPr>
            <w:tcW w:w="9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
          </w:p>
          <w:p>
            <w:pPr>
              <w:pStyle w:val="Normal"/>
              <w:widowControl w:val="false"/>
              <w:spacing w:lineRule="auto" w:line="276"/>
              <w:jc w:val="center"/>
              <w:rPr/>
            </w:pPr>
            <w:r>
              <w:rPr/>
              <w:t>Rozdział 25</w:t>
            </w:r>
          </w:p>
          <w:p>
            <w:pPr>
              <w:pStyle w:val="Normal"/>
              <w:widowControl w:val="false"/>
              <w:spacing w:lineRule="auto" w:line="276"/>
              <w:jc w:val="center"/>
              <w:rPr>
                <w:b/>
                <w:bCs/>
              </w:rPr>
            </w:pPr>
            <w:r>
              <w:rPr>
                <w:b/>
                <w:bCs/>
              </w:rPr>
              <w:t>INFORMACJE DODATKOWE</w:t>
            </w:r>
          </w:p>
        </w:tc>
      </w:tr>
    </w:tbl>
    <w:p>
      <w:pPr>
        <w:pStyle w:val="Normal"/>
        <w:spacing w:lineRule="auto" w:line="276"/>
        <w:rPr/>
      </w:pPr>
      <w:r>
        <w:rPr/>
        <w:t>Zamawiający:</w:t>
      </w:r>
    </w:p>
    <w:p>
      <w:pPr>
        <w:pStyle w:val="Normal"/>
        <w:numPr>
          <w:ilvl w:val="0"/>
          <w:numId w:val="6"/>
        </w:numPr>
        <w:spacing w:lineRule="auto" w:line="276"/>
        <w:rPr/>
      </w:pPr>
      <w:r>
        <w:rPr/>
        <w:t>nie przewiduje możliwości składania ofert wariantowych</w:t>
      </w:r>
    </w:p>
    <w:p>
      <w:pPr>
        <w:pStyle w:val="Normal"/>
        <w:numPr>
          <w:ilvl w:val="0"/>
          <w:numId w:val="6"/>
        </w:numPr>
        <w:spacing w:lineRule="auto" w:line="276"/>
        <w:rPr/>
      </w:pPr>
      <w:r>
        <w:rPr/>
        <w:t>nie przewiduje wymagań wskazanych w art. 96 ust. 2 pkt 2 ustawy</w:t>
      </w:r>
    </w:p>
    <w:p>
      <w:pPr>
        <w:pStyle w:val="Normal"/>
        <w:numPr>
          <w:ilvl w:val="0"/>
          <w:numId w:val="6"/>
        </w:numPr>
        <w:spacing w:lineRule="auto" w:line="276"/>
        <w:rPr/>
      </w:pPr>
      <w:r>
        <w:rPr/>
        <w:t>nie przewiduje wymagań wskazanych w art. 94 ustawy</w:t>
      </w:r>
    </w:p>
    <w:p>
      <w:pPr>
        <w:pStyle w:val="Normal"/>
        <w:numPr>
          <w:ilvl w:val="0"/>
          <w:numId w:val="6"/>
        </w:numPr>
        <w:spacing w:lineRule="auto" w:line="276"/>
        <w:rPr/>
      </w:pPr>
      <w:r>
        <w:rPr/>
        <w:t>nie przewiduje zamówień wskazanych w art. 214 ust. 1 pkt 7 i 8 ustawy</w:t>
      </w:r>
    </w:p>
    <w:p>
      <w:pPr>
        <w:pStyle w:val="Normal"/>
        <w:numPr>
          <w:ilvl w:val="0"/>
          <w:numId w:val="6"/>
        </w:numPr>
        <w:spacing w:lineRule="auto" w:line="276"/>
        <w:rPr/>
      </w:pPr>
      <w:r>
        <w:rPr/>
        <w:t>nie przewiduje rozliczeń w walutach obcych</w:t>
      </w:r>
    </w:p>
    <w:p>
      <w:pPr>
        <w:pStyle w:val="Normal"/>
        <w:numPr>
          <w:ilvl w:val="0"/>
          <w:numId w:val="6"/>
        </w:numPr>
        <w:spacing w:lineRule="auto" w:line="276"/>
        <w:rPr/>
      </w:pPr>
      <w:r>
        <w:rPr/>
        <w:t>nie przewiduje zwrotu kosztów udziału w postępowaniu</w:t>
      </w:r>
    </w:p>
    <w:p>
      <w:pPr>
        <w:pStyle w:val="Normal"/>
        <w:numPr>
          <w:ilvl w:val="0"/>
          <w:numId w:val="6"/>
        </w:numPr>
        <w:spacing w:lineRule="auto" w:line="276"/>
        <w:rPr/>
      </w:pPr>
      <w:r>
        <w:rPr/>
        <w:t>nie zastrzega obowiązku osobistego wykonania przez wykonawcę kluczowych zadań</w:t>
      </w:r>
    </w:p>
    <w:p>
      <w:pPr>
        <w:pStyle w:val="Normal"/>
        <w:numPr>
          <w:ilvl w:val="0"/>
          <w:numId w:val="6"/>
        </w:numPr>
        <w:spacing w:lineRule="auto" w:line="276"/>
        <w:rPr/>
      </w:pPr>
      <w:r>
        <w:rPr/>
        <w:t>nie przewiduje zawarcia umowy ramowej</w:t>
      </w:r>
    </w:p>
    <w:p>
      <w:pPr>
        <w:pStyle w:val="Normal"/>
        <w:numPr>
          <w:ilvl w:val="0"/>
          <w:numId w:val="6"/>
        </w:numPr>
        <w:spacing w:lineRule="auto" w:line="276"/>
        <w:rPr/>
      </w:pPr>
      <w:r>
        <w:rPr/>
        <w:t xml:space="preserve">nie przewiduje wyboru najkorzystniejszej oferty z wykorzystaniem aukcji elektronicznej </w:t>
      </w:r>
    </w:p>
    <w:p>
      <w:pPr>
        <w:pStyle w:val="Normal"/>
        <w:numPr>
          <w:ilvl w:val="0"/>
          <w:numId w:val="6"/>
        </w:numPr>
        <w:spacing w:lineRule="auto" w:line="276"/>
        <w:rPr/>
      </w:pPr>
      <w:r>
        <w:rPr/>
        <w:t xml:space="preserve">nie przewiduje wymogu lub możliwości złożenia oferty w postaci katalogów elektronicznych lub dołączenia do oferty katalogów elektronicznych </w:t>
      </w:r>
    </w:p>
    <w:p>
      <w:pPr>
        <w:pStyle w:val="Normal"/>
        <w:spacing w:lineRule="auto" w:line="276"/>
        <w:rPr/>
      </w:pPr>
      <w:r>
        <w:rPr/>
      </w:r>
    </w:p>
    <w:p>
      <w:pPr>
        <w:pStyle w:val="Normal"/>
        <w:spacing w:lineRule="auto" w:line="276"/>
        <w:rPr/>
      </w:pPr>
      <w: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t>Rozdział 26</w:t>
            </w:r>
          </w:p>
          <w:p>
            <w:pPr>
              <w:pStyle w:val="Normal"/>
              <w:widowControl w:val="false"/>
              <w:spacing w:lineRule="auto" w:line="276"/>
              <w:jc w:val="center"/>
              <w:rPr>
                <w:b/>
                <w:bCs/>
              </w:rPr>
            </w:pPr>
            <w:r>
              <w:rPr>
                <w:b/>
                <w:bCs/>
              </w:rPr>
              <w:t>ZAŁĄCZNIKI DO SWZ</w:t>
            </w:r>
          </w:p>
        </w:tc>
      </w:tr>
    </w:tbl>
    <w:p>
      <w:pPr>
        <w:pStyle w:val="Normal"/>
        <w:spacing w:lineRule="auto" w:line="276"/>
        <w:rPr/>
      </w:pPr>
      <w:r>
        <w:rPr/>
      </w:r>
    </w:p>
    <w:p>
      <w:pPr>
        <w:pStyle w:val="Normal"/>
        <w:spacing w:lineRule="auto" w:line="276"/>
        <w:rPr/>
      </w:pPr>
      <w:r>
        <w:rPr/>
      </w:r>
    </w:p>
    <w:p>
      <w:pPr>
        <w:pStyle w:val="Normal"/>
        <w:spacing w:lineRule="auto" w:line="276"/>
        <w:rPr/>
      </w:pPr>
      <w:r>
        <w:rPr/>
        <w:t>Integralną częścią SWZ są załączniki:</w:t>
      </w:r>
      <w:bookmarkStart w:id="5" w:name="_Hlk59429758"/>
      <w:bookmarkEnd w:id="5"/>
    </w:p>
    <w:p>
      <w:pPr>
        <w:pStyle w:val="Normal"/>
        <w:spacing w:lineRule="auto" w:line="276"/>
        <w:rPr/>
      </w:pPr>
      <w:r>
        <w:rPr/>
        <w:t xml:space="preserve">Załącznik Nr 1– </w:t>
      </w:r>
      <w:r>
        <w:rPr>
          <w:lang w:val="pl-PL" w:eastAsia="pl-PL" w:bidi="ar-SA"/>
        </w:rPr>
        <w:t>S</w:t>
      </w:r>
      <w:r>
        <w:rPr/>
        <w:t>zczegółowy opis przedmiotu zamówienia.</w:t>
      </w:r>
    </w:p>
    <w:p>
      <w:pPr>
        <w:pStyle w:val="Normal"/>
        <w:spacing w:lineRule="auto" w:line="276"/>
        <w:rPr/>
      </w:pPr>
      <w:r>
        <w:rPr/>
        <w:t>Załącznik Nr 2 –Wzór/projekt umowy.</w:t>
      </w:r>
    </w:p>
    <w:p>
      <w:pPr>
        <w:pStyle w:val="Normal"/>
        <w:spacing w:lineRule="auto" w:line="276"/>
        <w:rPr/>
      </w:pPr>
      <w:r>
        <w:rPr/>
        <w:t>Załącznik Nr 3 – Wzór Formularza ofertowego – wraz z ofertą.</w:t>
      </w:r>
    </w:p>
    <w:p>
      <w:pPr>
        <w:pStyle w:val="Normal"/>
        <w:spacing w:lineRule="auto" w:line="276"/>
        <w:rPr/>
      </w:pPr>
      <w:r>
        <w:rPr/>
        <w:t>Załącznik Nr 4 – Wzór oświadczenia o braku podstaw do wykluczenia – wraz z ofertą.</w:t>
      </w:r>
    </w:p>
    <w:p>
      <w:pPr>
        <w:pStyle w:val="Normal"/>
        <w:spacing w:lineRule="auto" w:line="276"/>
        <w:rPr/>
      </w:pPr>
      <w:r>
        <w:rPr/>
        <w:t>Załącznik Nr 5 –Wzór oświadczenia o spełnianiu warunków udziału w postępowaniu – wraz</w:t>
        <w:br/>
        <w:t>z ofertą.</w:t>
      </w:r>
    </w:p>
    <w:p>
      <w:pPr>
        <w:pStyle w:val="Normal"/>
        <w:spacing w:lineRule="auto" w:line="276"/>
        <w:rPr/>
      </w:pPr>
      <w:r>
        <w:rPr/>
        <w:t xml:space="preserve">Załącznik Nr 6 – Wzór </w:t>
      </w:r>
      <w:r>
        <w:rPr>
          <w:lang w:val="pl-PL" w:eastAsia="zh-CN" w:bidi="hi-IN"/>
        </w:rPr>
        <w:t>oświadczenia wykonawców wspólnie ubiegających się o udzielenie zamówienia – jeżeli dotyczy – razem z ofertą.</w:t>
      </w:r>
    </w:p>
    <w:p>
      <w:pPr>
        <w:pStyle w:val="Normal"/>
        <w:spacing w:lineRule="auto" w:line="276"/>
        <w:rPr/>
      </w:pPr>
      <w:r>
        <w:rPr/>
        <w:t xml:space="preserve">Załącznik Nr 7 – </w:t>
      </w:r>
      <w:r>
        <w:rPr>
          <w:lang w:val="pl-PL" w:eastAsia="pl-PL" w:bidi="ar-SA"/>
        </w:rPr>
        <w:t xml:space="preserve">Zobowiązanie podmiotu trzeciego – jeżeli dotyczy - </w:t>
      </w:r>
      <w:r>
        <w:rPr>
          <w:lang w:val="pl-PL" w:eastAsia="zh-CN" w:bidi="hi-IN"/>
        </w:rPr>
        <w:t>razem z ofertą.</w:t>
      </w:r>
    </w:p>
    <w:p>
      <w:pPr>
        <w:pStyle w:val="Normal"/>
        <w:spacing w:lineRule="auto" w:line="276"/>
        <w:rPr/>
      </w:pPr>
      <w:r>
        <w:rPr/>
        <w:t xml:space="preserve">Załącznik Nr 8 – Wzór wykazu </w:t>
      </w:r>
      <w:r>
        <w:rPr>
          <w:lang w:val="pl-PL" w:eastAsia="pl-PL" w:bidi="ar-SA"/>
        </w:rPr>
        <w:t xml:space="preserve">dostaw </w:t>
      </w:r>
      <w:r>
        <w:rPr/>
        <w:t>– składany po otwarciu ofert tylko na wezwanie zamawiającego  zgodnie z art. 274 ust. 1 ustawy Pzp.</w:t>
      </w:r>
    </w:p>
    <w:p>
      <w:pPr>
        <w:pStyle w:val="Normal"/>
        <w:spacing w:lineRule="auto" w:line="276"/>
        <w:rPr/>
      </w:pPr>
      <w:r>
        <w:rPr/>
        <w:t>Załącznik Nr 9 –  Wzór wykazu osób – składany po otwarciu ofert tylko na wezwanie    zamawiającego  zgodnie z art. 274 ust. 1 ustawy Pzp.</w:t>
      </w:r>
    </w:p>
    <w:p>
      <w:pPr>
        <w:pStyle w:val="Normal"/>
        <w:spacing w:lineRule="auto" w:line="276"/>
        <w:rPr/>
      </w:pPr>
      <w:r>
        <w:rPr/>
      </w:r>
    </w:p>
    <w:sectPr>
      <w:headerReference w:type="default" r:id="rId40"/>
      <w:headerReference w:type="first" r:id="rId41"/>
      <w:footerReference w:type="default" r:id="rId42"/>
      <w:footerReference w:type="first" r:id="rId43"/>
      <w:type w:val="nextPage"/>
      <w:pgSz w:w="11906" w:h="16838"/>
      <w:pgMar w:left="1417" w:right="1417" w:gutter="0" w:header="327" w:top="1417" w:footer="1261" w:bottom="1417"/>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Cambria">
    <w:charset w:val="ee"/>
    <w:family w:val="roman"/>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roman"/>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Helvetica Neue">
    <w:charset w:val="ee"/>
    <w:family w:val="roman"/>
    <w:pitch w:val="variable"/>
  </w:font>
  <w:font w:name="Cambria">
    <w:altName w:val="serif"/>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1</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40</w:t>
    </w:r>
    <w:r>
      <w:rPr>
        <w:sz w:val="20"/>
        <w:b/>
        <w:bdr w:val="single" w:sz="4" w:space="0" w:color="000000"/>
        <w:rFonts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40</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40</w:t>
    </w:r>
    <w:r>
      <w:rPr>
        <w:sz w:val="20"/>
        <w:b/>
        <w:bdr w:val="single" w:sz="4" w:space="0" w:color="000000"/>
        <w:rFonts w:ascii="Cambria" w:hAnsi="Cambria"/>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both"/>
      <w:rPr>
        <w:rFonts w:ascii="Times New Roman" w:hAnsi="Times New Roman"/>
        <w:sz w:val="18"/>
        <w:szCs w:val="18"/>
      </w:rPr>
    </w:pPr>
    <w:r>
      <w:rPr>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right"/>
      <w:rPr>
        <w:rFonts w:ascii="Cambria" w:hAnsi="Cambria"/>
        <w:bCs/>
        <w:color w:val="000000"/>
        <w:kern w:val="0"/>
        <w:sz w:val="17"/>
        <w:szCs w:val="17"/>
        <w:lang w:bidi="ar-SA"/>
      </w:rPr>
    </w:pPr>
    <w:r>
      <w:rPr>
        <w:rFonts w:ascii="Cambria" w:hAnsi="Cambria"/>
        <w:bCs/>
        <w:color w:val="000000"/>
        <w:kern w:val="0"/>
        <w:sz w:val="17"/>
        <w:szCs w:val="17"/>
        <w:lang w:bidi="ar-SA"/>
      </w:rPr>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sz w:val="17"/>
        <w:szCs w:val="17"/>
      </w:rPr>
    </w:r>
  </w:p>
  <w:p>
    <w:pPr>
      <w:pStyle w:val="Normal"/>
      <w:widowControl w:val="false"/>
      <w:tabs>
        <w:tab w:val="clear" w:pos="720"/>
        <w:tab w:val="center" w:pos="7655" w:leader="none"/>
        <w:tab w:val="right" w:pos="9072" w:leader="none"/>
      </w:tabs>
      <w:spacing w:lineRule="auto" w:line="240" w:before="0" w:after="0"/>
      <w:jc w:val="center"/>
      <w:rPr>
        <w:rFonts w:ascii="Calibri" w:hAnsi="Calibri" w:eastAsia="Ubuntu" w:cs="Calibri"/>
        <w:i/>
        <w:i/>
        <w:sz w:val="20"/>
        <w:szCs w:val="20"/>
      </w:rPr>
    </w:pPr>
    <w:r>
      <w:rPr>
        <w:rFonts w:eastAsia="Ubuntu" w:cs="Calibri" w:ascii="Calibri" w:hAnsi="Calibri"/>
        <w:i/>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cs="Times New Roman"/>
      </w:rPr>
    </w:lvl>
    <w:lvl w:ilvl="1">
      <w:start w:val="1"/>
      <w:numFmt w:val="decimal"/>
      <w:lvlText w:val="%1.%2."/>
      <w:lvlJc w:val="left"/>
      <w:pPr>
        <w:tabs>
          <w:tab w:val="num" w:pos="0"/>
        </w:tabs>
        <w:ind w:left="432" w:hanging="432"/>
      </w:pPr>
      <w:rPr>
        <w:sz w:val="24"/>
        <w:i w:val="false"/>
        <w:b/>
        <w:szCs w:val="24"/>
        <w:rFonts w:ascii="Cambria" w:hAnsi="Cambria" w:cs="Arial"/>
        <w:color w:val="auto"/>
      </w:rPr>
    </w:lvl>
    <w:lvl w:ilvl="2">
      <w:start w:val="1"/>
      <w:numFmt w:val="decimal"/>
      <w:lvlText w:val="%3)"/>
      <w:lvlJc w:val="left"/>
      <w:pPr>
        <w:tabs>
          <w:tab w:val="num" w:pos="0"/>
        </w:tabs>
        <w:ind w:left="2773" w:hanging="504"/>
      </w:pPr>
      <w:rPr>
        <w:sz w:val="24"/>
        <w:b/>
        <w:szCs w:val="24"/>
        <w:rFonts w:ascii="Cambria" w:hAnsi="Cambria" w:cs="Arial"/>
      </w:rPr>
    </w:lvl>
    <w:lvl w:ilvl="3">
      <w:start w:val="1"/>
      <w:numFmt w:val="decimal"/>
      <w:lvlText w:val="%1.%2.%3.%4."/>
      <w:lvlJc w:val="left"/>
      <w:pPr>
        <w:tabs>
          <w:tab w:val="num" w:pos="0"/>
        </w:tabs>
        <w:ind w:left="1728" w:hanging="648"/>
      </w:pPr>
      <w:rPr>
        <w:b w:val="false"/>
        <w:rFonts w:cs="Times New Roman"/>
      </w:rPr>
    </w:lvl>
    <w:lvl w:ilvl="4">
      <w:start w:val="1"/>
      <w:numFmt w:val="decimal"/>
      <w:lvlText w:val="%1.%2.%3.%4.%5."/>
      <w:lvlJc w:val="left"/>
      <w:pPr>
        <w:tabs>
          <w:tab w:val="num" w:pos="0"/>
        </w:tabs>
        <w:ind w:left="2232" w:hanging="792"/>
      </w:pPr>
      <w:rPr>
        <w:b/>
        <w:rFonts w:cs="Times New Roman"/>
      </w:rPr>
    </w:lvl>
    <w:lvl w:ilvl="5">
      <w:start w:val="1"/>
      <w:numFmt w:val="decimal"/>
      <w:lvlText w:val="%1.%2.%3.%4.%5.%6."/>
      <w:lvlJc w:val="left"/>
      <w:pPr>
        <w:tabs>
          <w:tab w:val="num" w:pos="0"/>
        </w:tabs>
        <w:ind w:left="2736" w:hanging="936"/>
      </w:pPr>
      <w:rPr>
        <w:b/>
        <w:rFonts w:cs="Times New Roman"/>
      </w:rPr>
    </w:lvl>
    <w:lvl w:ilvl="6">
      <w:start w:val="1"/>
      <w:numFmt w:val="decimal"/>
      <w:lvlText w:val="%1.%2.%3.%4.%5.%6.%7."/>
      <w:lvlJc w:val="left"/>
      <w:pPr>
        <w:tabs>
          <w:tab w:val="num" w:pos="0"/>
        </w:tabs>
        <w:ind w:left="3240" w:hanging="1080"/>
      </w:pPr>
      <w:rPr>
        <w:b/>
        <w:rFonts w:cs="Times New Roman"/>
      </w:rPr>
    </w:lvl>
    <w:lvl w:ilvl="7">
      <w:start w:val="1"/>
      <w:numFmt w:val="decimal"/>
      <w:lvlText w:val="%1.%2.%3.%4.%5.%6.%7.%8."/>
      <w:lvlJc w:val="left"/>
      <w:pPr>
        <w:tabs>
          <w:tab w:val="num" w:pos="0"/>
        </w:tabs>
        <w:ind w:left="3744" w:hanging="1224"/>
      </w:pPr>
      <w:rPr>
        <w:b/>
        <w:rFonts w:cs="Times New Roman"/>
      </w:rPr>
    </w:lvl>
    <w:lvl w:ilvl="8">
      <w:start w:val="1"/>
      <w:numFmt w:val="decimal"/>
      <w:lvlText w:val="%1.%2.%3.%4.%5.%6.%7.%8.%9."/>
      <w:lvlJc w:val="left"/>
      <w:pPr>
        <w:tabs>
          <w:tab w:val="num" w:pos="0"/>
        </w:tabs>
        <w:ind w:left="4320" w:hanging="1440"/>
      </w:pPr>
      <w:rPr>
        <w:b/>
        <w:rFonts w:cs="Times New Roman"/>
      </w:rPr>
    </w:lvl>
  </w:abstractNum>
  <w:abstractNum w:abstractNumId="2">
    <w:lvl w:ilvl="0">
      <w:start w:val="11"/>
      <w:numFmt w:val="decimal"/>
      <w:lvlText w:val="%1."/>
      <w:lvlJc w:val="left"/>
      <w:pPr>
        <w:tabs>
          <w:tab w:val="num" w:pos="0"/>
        </w:tabs>
        <w:ind w:left="360" w:hanging="360"/>
      </w:pPr>
      <w:rPr>
        <w:sz w:val="10"/>
        <w:b/>
        <w:rFonts w:ascii="Cambria" w:hAnsi="Cambria" w:cs="Times New Roman"/>
      </w:rPr>
    </w:lvl>
    <w:lvl w:ilvl="1">
      <w:start w:val="1"/>
      <w:numFmt w:val="decimal"/>
      <w:lvlText w:val="%1.%2."/>
      <w:lvlJc w:val="left"/>
      <w:pPr>
        <w:tabs>
          <w:tab w:val="num" w:pos="0"/>
        </w:tabs>
        <w:ind w:left="360" w:hanging="360"/>
      </w:pPr>
      <w:rPr>
        <w:sz w:val="10"/>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lvl w:ilvl="0">
      <w:start w:val="1"/>
      <w:numFmt w:val="decimal"/>
      <w:lvlText w:val="%1)"/>
      <w:lvlJc w:val="left"/>
      <w:pPr>
        <w:tabs>
          <w:tab w:val="num" w:pos="0"/>
        </w:tabs>
        <w:ind w:left="1060" w:hanging="360"/>
      </w:pPr>
      <w:rPr>
        <w:b w:val="false"/>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lvl w:ilvl="0">
      <w:start w:val="1"/>
      <w:numFmt w:val="decimal"/>
      <w:lvlText w:val="%1)"/>
      <w:lvlJc w:val="left"/>
      <w:pPr>
        <w:tabs>
          <w:tab w:val="num" w:pos="0"/>
        </w:tabs>
        <w:ind w:left="1060" w:hanging="360"/>
      </w:pPr>
      <w:rPr>
        <w:b/>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lvl w:ilvl="0">
      <w:start w:val="1"/>
      <w:numFmt w:val="lowerLetter"/>
      <w:lvlText w:val="%1)"/>
      <w:lvlJc w:val="left"/>
      <w:pPr>
        <w:tabs>
          <w:tab w:val="num" w:pos="0"/>
        </w:tabs>
        <w:ind w:left="720" w:hanging="360"/>
      </w:pPr>
      <w:rPr>
        <w:rFonts w:ascii="Cambria" w:hAnsi="Cambria" w:eastAsia="Times New Roman"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i w:val="false"/>
        <w:b/>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sz w:val="24"/>
        <w:b/>
        <w:szCs w:val="24"/>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lvl w:ilvl="0">
      <w:start w:val="10"/>
      <w:numFmt w:val="decimal"/>
      <w:lvlText w:val="%1."/>
      <w:lvlJc w:val="left"/>
      <w:pPr>
        <w:tabs>
          <w:tab w:val="num" w:pos="0"/>
        </w:tabs>
        <w:ind w:left="495" w:hanging="495"/>
      </w:pPr>
      <w:r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rPr/>
    </w:lvl>
    <w:lvl w:ilvl="3">
      <w:start w:val="1"/>
      <w:numFmt w:val="decimal"/>
      <w:lvlText w:val="%1.%2.%3.%4."/>
      <w:lvlJc w:val="left"/>
      <w:pPr>
        <w:tabs>
          <w:tab w:val="num" w:pos="0"/>
        </w:tabs>
        <w:ind w:left="3240" w:hanging="1080"/>
      </w:pPr>
      <w:rPr/>
    </w:lvl>
    <w:lvl w:ilvl="4">
      <w:start w:val="1"/>
      <w:numFmt w:val="decimal"/>
      <w:lvlText w:val="%1.%2.%3.%4.%5."/>
      <w:lvlJc w:val="left"/>
      <w:pPr>
        <w:tabs>
          <w:tab w:val="num" w:pos="0"/>
        </w:tabs>
        <w:ind w:left="3960" w:hanging="1080"/>
      </w:pPr>
      <w:rPr/>
    </w:lvl>
    <w:lvl w:ilvl="5">
      <w:start w:val="1"/>
      <w:numFmt w:val="decimal"/>
      <w:lvlText w:val="%1.%2.%3.%4.%5.%6."/>
      <w:lvlJc w:val="left"/>
      <w:pPr>
        <w:tabs>
          <w:tab w:val="num" w:pos="0"/>
        </w:tabs>
        <w:ind w:left="5040" w:hanging="1440"/>
      </w:pPr>
      <w:rPr/>
    </w:lvl>
    <w:lvl w:ilvl="6">
      <w:start w:val="1"/>
      <w:numFmt w:val="decimal"/>
      <w:lvlText w:val="%1.%2.%3.%4.%5.%6.%7."/>
      <w:lvlJc w:val="left"/>
      <w:pPr>
        <w:tabs>
          <w:tab w:val="num" w:pos="0"/>
        </w:tabs>
        <w:ind w:left="5760" w:hanging="1440"/>
      </w:pPr>
      <w:rPr/>
    </w:lvl>
    <w:lvl w:ilvl="7">
      <w:start w:val="1"/>
      <w:numFmt w:val="decimal"/>
      <w:lvlText w:val="%1.%2.%3.%4.%5.%6.%7.%8."/>
      <w:lvlJc w:val="left"/>
      <w:pPr>
        <w:tabs>
          <w:tab w:val="num" w:pos="0"/>
        </w:tabs>
        <w:ind w:left="6840" w:hanging="1800"/>
      </w:pPr>
      <w:rPr/>
    </w:lvl>
    <w:lvl w:ilvl="8">
      <w:start w:val="1"/>
      <w:numFmt w:val="decimal"/>
      <w:lvlText w:val="%1.%2.%3.%4.%5.%6.%7.%8.%9."/>
      <w:lvlJc w:val="left"/>
      <w:pPr>
        <w:tabs>
          <w:tab w:val="num" w:pos="0"/>
        </w:tabs>
        <w:ind w:left="7560" w:hanging="1800"/>
      </w:pPr>
      <w:rPr/>
    </w:lvl>
  </w:abstractNum>
  <w:abstractNum w:abstractNumId="11">
    <w:lvl w:ilvl="0">
      <w:start w:val="16"/>
      <w:numFmt w:val="decimal"/>
      <w:lvlText w:val="%1."/>
      <w:lvlJc w:val="left"/>
      <w:pPr>
        <w:tabs>
          <w:tab w:val="num" w:pos="0"/>
        </w:tabs>
        <w:ind w:left="495" w:hanging="495"/>
      </w:pPr>
      <w:rPr/>
    </w:lvl>
    <w:lvl w:ilvl="1">
      <w:start w:val="1"/>
      <w:numFmt w:val="decimal"/>
      <w:lvlText w:val="%1.%2."/>
      <w:lvlJc w:val="left"/>
      <w:pPr>
        <w:tabs>
          <w:tab w:val="num" w:pos="0"/>
        </w:tabs>
        <w:ind w:left="720" w:hanging="720"/>
      </w:pPr>
      <w:rPr>
        <w:sz w:val="24"/>
        <w:b/>
        <w:szCs w:val="24"/>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3">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lvl w:ilvl="0">
      <w:start w:val="1"/>
      <w:numFmt w:val="decimal"/>
      <w:lvlText w:val="%1)"/>
      <w:lvlJc w:val="left"/>
      <w:pPr>
        <w:tabs>
          <w:tab w:val="num" w:pos="0"/>
        </w:tabs>
        <w:ind w:left="786" w:hanging="360"/>
      </w:pPr>
      <w:rPr>
        <w:i w:val="false"/>
        <w:color w:val="auto"/>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b/>
        <w:bCs/>
        <w:rFonts w:cs="Times New Roman"/>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17">
    <w:lvl w:ilvl="0">
      <w:start w:val="1"/>
      <w:numFmt w:val="lowerLetter"/>
      <w:lvlText w:val="%1)"/>
      <w:lvlJc w:val="left"/>
      <w:pPr>
        <w:tabs>
          <w:tab w:val="num" w:pos="0"/>
        </w:tabs>
        <w:ind w:left="1353" w:hanging="360"/>
      </w:pPr>
      <w:rPr/>
    </w:lvl>
    <w:lvl w:ilvl="1">
      <w:start w:val="1"/>
      <w:numFmt w:val="lowerLetter"/>
      <w:lvlText w:val="%2."/>
      <w:lvlJc w:val="left"/>
      <w:pPr>
        <w:tabs>
          <w:tab w:val="num" w:pos="0"/>
        </w:tabs>
        <w:ind w:left="2073" w:hanging="360"/>
      </w:pPr>
      <w:rPr/>
    </w:lvl>
    <w:lvl w:ilvl="2">
      <w:start w:val="1"/>
      <w:numFmt w:val="lowerRoman"/>
      <w:lvlText w:val="%3."/>
      <w:lvlJc w:val="right"/>
      <w:pPr>
        <w:tabs>
          <w:tab w:val="num" w:pos="0"/>
        </w:tabs>
        <w:ind w:left="2793" w:hanging="180"/>
      </w:pPr>
      <w:rPr/>
    </w:lvl>
    <w:lvl w:ilvl="3">
      <w:start w:val="1"/>
      <w:numFmt w:val="decimal"/>
      <w:lvlText w:val="%4."/>
      <w:lvlJc w:val="left"/>
      <w:pPr>
        <w:tabs>
          <w:tab w:val="num" w:pos="0"/>
        </w:tabs>
        <w:ind w:left="3513" w:hanging="360"/>
      </w:pPr>
      <w:rPr/>
    </w:lvl>
    <w:lvl w:ilvl="4">
      <w:start w:val="1"/>
      <w:numFmt w:val="lowerLetter"/>
      <w:lvlText w:val="%5."/>
      <w:lvlJc w:val="left"/>
      <w:pPr>
        <w:tabs>
          <w:tab w:val="num" w:pos="0"/>
        </w:tabs>
        <w:ind w:left="4233" w:hanging="360"/>
      </w:pPr>
      <w:rPr/>
    </w:lvl>
    <w:lvl w:ilvl="5">
      <w:start w:val="1"/>
      <w:numFmt w:val="lowerRoman"/>
      <w:lvlText w:val="%6."/>
      <w:lvlJc w:val="right"/>
      <w:pPr>
        <w:tabs>
          <w:tab w:val="num" w:pos="0"/>
        </w:tabs>
        <w:ind w:left="4953" w:hanging="180"/>
      </w:pPr>
      <w:rPr/>
    </w:lvl>
    <w:lvl w:ilvl="6">
      <w:start w:val="1"/>
      <w:numFmt w:val="decimal"/>
      <w:lvlText w:val="%7."/>
      <w:lvlJc w:val="left"/>
      <w:pPr>
        <w:tabs>
          <w:tab w:val="num" w:pos="0"/>
        </w:tabs>
        <w:ind w:left="5673" w:hanging="360"/>
      </w:pPr>
      <w:rPr/>
    </w:lvl>
    <w:lvl w:ilvl="7">
      <w:start w:val="1"/>
      <w:numFmt w:val="lowerLetter"/>
      <w:lvlText w:val="%8."/>
      <w:lvlJc w:val="left"/>
      <w:pPr>
        <w:tabs>
          <w:tab w:val="num" w:pos="0"/>
        </w:tabs>
        <w:ind w:left="6393" w:hanging="360"/>
      </w:pPr>
      <w:rPr/>
    </w:lvl>
    <w:lvl w:ilvl="8">
      <w:start w:val="1"/>
      <w:numFmt w:val="lowerRoman"/>
      <w:lvlText w:val="%9."/>
      <w:lvlJc w:val="right"/>
      <w:pPr>
        <w:tabs>
          <w:tab w:val="num" w:pos="0"/>
        </w:tabs>
        <w:ind w:left="7113" w:hanging="180"/>
      </w:pPr>
      <w:rPr/>
    </w:lvl>
  </w:abstractNum>
  <w:abstractNum w:abstractNumId="18">
    <w:lvl w:ilvl="0">
      <w:start w:val="17"/>
      <w:numFmt w:val="decimal"/>
      <w:lvlText w:val="%1"/>
      <w:lvlJc w:val="left"/>
      <w:pPr>
        <w:tabs>
          <w:tab w:val="num" w:pos="0"/>
        </w:tabs>
        <w:ind w:left="444" w:hanging="444"/>
      </w:pPr>
      <w:r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rPr/>
    </w:lvl>
    <w:lvl w:ilvl="3">
      <w:start w:val="1"/>
      <w:numFmt w:val="decimal"/>
      <w:lvlText w:val="%1.%2.%3.%4"/>
      <w:lvlJc w:val="left"/>
      <w:pPr>
        <w:tabs>
          <w:tab w:val="num" w:pos="0"/>
        </w:tabs>
        <w:ind w:left="2355" w:hanging="1080"/>
      </w:pPr>
      <w:rPr/>
    </w:lvl>
    <w:lvl w:ilvl="4">
      <w:start w:val="1"/>
      <w:numFmt w:val="decimal"/>
      <w:lvlText w:val="%1.%2.%3.%4.%5"/>
      <w:lvlJc w:val="left"/>
      <w:pPr>
        <w:tabs>
          <w:tab w:val="num" w:pos="0"/>
        </w:tabs>
        <w:ind w:left="2780" w:hanging="1080"/>
      </w:pPr>
      <w:rPr/>
    </w:lvl>
    <w:lvl w:ilvl="5">
      <w:start w:val="1"/>
      <w:numFmt w:val="decimal"/>
      <w:lvlText w:val="%1.%2.%3.%4.%5.%6"/>
      <w:lvlJc w:val="left"/>
      <w:pPr>
        <w:tabs>
          <w:tab w:val="num" w:pos="0"/>
        </w:tabs>
        <w:ind w:left="3565" w:hanging="1440"/>
      </w:pPr>
      <w:rPr/>
    </w:lvl>
    <w:lvl w:ilvl="6">
      <w:start w:val="1"/>
      <w:numFmt w:val="decimal"/>
      <w:lvlText w:val="%1.%2.%3.%4.%5.%6.%7"/>
      <w:lvlJc w:val="left"/>
      <w:pPr>
        <w:tabs>
          <w:tab w:val="num" w:pos="0"/>
        </w:tabs>
        <w:ind w:left="3990" w:hanging="1440"/>
      </w:pPr>
      <w:rPr/>
    </w:lvl>
    <w:lvl w:ilvl="7">
      <w:start w:val="1"/>
      <w:numFmt w:val="decimal"/>
      <w:lvlText w:val="%1.%2.%3.%4.%5.%6.%7.%8"/>
      <w:lvlJc w:val="left"/>
      <w:pPr>
        <w:tabs>
          <w:tab w:val="num" w:pos="0"/>
        </w:tabs>
        <w:ind w:left="4775" w:hanging="1800"/>
      </w:pPr>
      <w:rPr/>
    </w:lvl>
    <w:lvl w:ilvl="8">
      <w:start w:val="1"/>
      <w:numFmt w:val="decimal"/>
      <w:lvlText w:val="%1.%2.%3.%4.%5.%6.%7.%8.%9"/>
      <w:lvlJc w:val="left"/>
      <w:pPr>
        <w:tabs>
          <w:tab w:val="num" w:pos="0"/>
        </w:tabs>
        <w:ind w:left="5200" w:hanging="1800"/>
      </w:pPr>
      <w:rPr/>
    </w:lvl>
  </w:abstractNum>
  <w:abstractNum w:abstractNumId="19">
    <w:lvl w:ilvl="0">
      <w:start w:val="19"/>
      <w:numFmt w:val="decimal"/>
      <w:lvlText w:val="%1"/>
      <w:lvlJc w:val="left"/>
      <w:pPr>
        <w:tabs>
          <w:tab w:val="num" w:pos="0"/>
        </w:tabs>
        <w:ind w:left="444" w:hanging="444"/>
      </w:pPr>
      <w:r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0">
    <w:lvl w:ilvl="0">
      <w:start w:val="23"/>
      <w:numFmt w:val="decimal"/>
      <w:lvlText w:val="%1"/>
      <w:lvlJc w:val="left"/>
      <w:pPr>
        <w:tabs>
          <w:tab w:val="num" w:pos="0"/>
        </w:tabs>
        <w:ind w:left="444" w:hanging="444"/>
      </w:pPr>
      <w:r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rPr/>
    </w:lvl>
    <w:lvl w:ilvl="3">
      <w:start w:val="1"/>
      <w:numFmt w:val="decimal"/>
      <w:lvlText w:val="%1.%2.%3.%4"/>
      <w:lvlJc w:val="left"/>
      <w:pPr>
        <w:tabs>
          <w:tab w:val="num" w:pos="0"/>
        </w:tabs>
        <w:ind w:left="3240" w:hanging="1080"/>
      </w:pPr>
      <w:rPr/>
    </w:lvl>
    <w:lvl w:ilvl="4">
      <w:start w:val="1"/>
      <w:numFmt w:val="decimal"/>
      <w:lvlText w:val="%1.%2.%3.%4.%5"/>
      <w:lvlJc w:val="left"/>
      <w:pPr>
        <w:tabs>
          <w:tab w:val="num" w:pos="0"/>
        </w:tabs>
        <w:ind w:left="3960" w:hanging="1080"/>
      </w:pPr>
      <w:rPr/>
    </w:lvl>
    <w:lvl w:ilvl="5">
      <w:start w:val="1"/>
      <w:numFmt w:val="decimal"/>
      <w:lvlText w:val="%1.%2.%3.%4.%5.%6"/>
      <w:lvlJc w:val="left"/>
      <w:pPr>
        <w:tabs>
          <w:tab w:val="num" w:pos="0"/>
        </w:tabs>
        <w:ind w:left="5040" w:hanging="1440"/>
      </w:pPr>
      <w:rPr/>
    </w:lvl>
    <w:lvl w:ilvl="6">
      <w:start w:val="1"/>
      <w:numFmt w:val="decimal"/>
      <w:lvlText w:val="%1.%2.%3.%4.%5.%6.%7"/>
      <w:lvlJc w:val="left"/>
      <w:pPr>
        <w:tabs>
          <w:tab w:val="num" w:pos="0"/>
        </w:tabs>
        <w:ind w:left="5760" w:hanging="1440"/>
      </w:pPr>
      <w:rPr/>
    </w:lvl>
    <w:lvl w:ilvl="7">
      <w:start w:val="1"/>
      <w:numFmt w:val="decimal"/>
      <w:lvlText w:val="%1.%2.%3.%4.%5.%6.%7.%8"/>
      <w:lvlJc w:val="left"/>
      <w:pPr>
        <w:tabs>
          <w:tab w:val="num" w:pos="0"/>
        </w:tabs>
        <w:ind w:left="6840" w:hanging="1800"/>
      </w:pPr>
      <w:rPr/>
    </w:lvl>
    <w:lvl w:ilvl="8">
      <w:start w:val="1"/>
      <w:numFmt w:val="decimal"/>
      <w:lvlText w:val="%1.%2.%3.%4.%5.%6.%7.%8.%9"/>
      <w:lvlJc w:val="left"/>
      <w:pPr>
        <w:tabs>
          <w:tab w:val="num" w:pos="0"/>
        </w:tabs>
        <w:ind w:left="7560" w:hanging="1800"/>
      </w:pPr>
      <w:rPr/>
    </w:lvl>
  </w:abstractNum>
  <w:abstractNum w:abstractNumId="21">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22">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hAnsi="Cambria" w:eastAsia="Times New Roman"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3">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hAnsi="Cambria" w:eastAsia="Times New Roman"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1"/>
    <w:lvlOverride w:ilvl="0"/>
    <w:lvlOverride w:ilvl="1">
      <w:startOverride w:val="1"/>
    </w:lvlOverride>
  </w:num>
  <w:num w:numId="26">
    <w:abstractNumId w:val="22"/>
    <w:lvlOverride w:ilvl="0"/>
    <w:lvlOverride w:ilvl="1"/>
    <w:lvlOverride w:ilvl="2">
      <w:startOverride w:val="1"/>
    </w:lvlOverride>
  </w:num>
  <w:num w:numId="27">
    <w:abstractNumId w:val="2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0"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semiHidden="1" w:unhideWhenUsed="1"/>
    <w:lsdException w:name="List Number 3" w:locked="1" w:semiHidden="1" w:unhideWhenUsed="1"/>
    <w:lsdException w:name="List Number 4" w:locked="1" w:semiHidden="1" w:unhideWhenUsed="1"/>
    <w:lsdException w:name="List Number 5" w:locked="1" w:uiPriority="0"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2b0"/>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9"/>
    <w:qFormat/>
    <w:rsid w:val="00b15eff"/>
    <w:pPr>
      <w:keepNext w:val="true"/>
      <w:spacing w:before="240" w:after="60"/>
      <w:outlineLvl w:val="0"/>
    </w:pPr>
    <w:rPr>
      <w:rFonts w:ascii="Arial" w:hAnsi="Arial" w:eastAsia="Calibri"/>
      <w:b/>
      <w:kern w:val="2"/>
      <w:sz w:val="32"/>
      <w:szCs w:val="20"/>
    </w:rPr>
  </w:style>
  <w:style w:type="character" w:styleId="DefaultParagraphFont" w:default="1">
    <w:name w:val="Default Paragraph Font"/>
    <w:uiPriority w:val="1"/>
    <w:semiHidden/>
    <w:unhideWhenUsed/>
    <w:qFormat/>
    <w:rPr/>
  </w:style>
  <w:style w:type="character" w:styleId="Nagwek1Znak" w:customStyle="1">
    <w:name w:val="Nagłówek 1 Znak"/>
    <w:uiPriority w:val="99"/>
    <w:qFormat/>
    <w:locked/>
    <w:rsid w:val="00b15eff"/>
    <w:rPr>
      <w:rFonts w:ascii="Arial" w:hAnsi="Arial" w:cs="Times New Roman"/>
      <w:b/>
      <w:kern w:val="2"/>
      <w:sz w:val="32"/>
      <w:lang w:eastAsia="pl-PL"/>
    </w:rPr>
  </w:style>
  <w:style w:type="character" w:styleId="NagwekZnak" w:customStyle="1">
    <w:name w:val="Nagłówek Znak"/>
    <w:link w:val="Nagwek"/>
    <w:uiPriority w:val="99"/>
    <w:qFormat/>
    <w:locked/>
    <w:rsid w:val="00811203"/>
    <w:rPr>
      <w:rFonts w:ascii="Times New Roman" w:hAnsi="Times New Roman" w:cs="Times New Roman"/>
      <w:sz w:val="24"/>
      <w:lang w:eastAsia="pl-PL"/>
    </w:rPr>
  </w:style>
  <w:style w:type="character" w:styleId="StopkaZnak" w:customStyle="1">
    <w:name w:val="Stopka Znak"/>
    <w:uiPriority w:val="99"/>
    <w:qFormat/>
    <w:locked/>
    <w:rsid w:val="00811203"/>
    <w:rPr>
      <w:rFonts w:ascii="Times New Roman" w:hAnsi="Times New Roman" w:cs="Times New Roman"/>
      <w:sz w:val="24"/>
      <w:lang w:eastAsia="pl-PL"/>
    </w:rPr>
  </w:style>
  <w:style w:type="character" w:styleId="Kolorowalistaakcent1Znak" w:customStyle="1">
    <w:name w:val="Kolorowa lista — akcent 1 Znak"/>
    <w:link w:val="Kolorowalistaakcent11"/>
    <w:uiPriority w:val="99"/>
    <w:qFormat/>
    <w:locked/>
    <w:rsid w:val="00811203"/>
    <w:rPr>
      <w:rFonts w:ascii="Calibri" w:hAnsi="Calibri" w:eastAsia="SimSun"/>
      <w:sz w:val="20"/>
      <w:lang w:eastAsia="zh-CN"/>
    </w:rPr>
  </w:style>
  <w:style w:type="character" w:styleId="Czeinternetowe">
    <w:name w:val="Hyperlink"/>
    <w:uiPriority w:val="99"/>
    <w:rsid w:val="00811203"/>
    <w:rPr>
      <w:rFonts w:cs="Times New Roman"/>
      <w:color w:val="0000FF"/>
      <w:u w:val="single"/>
    </w:rPr>
  </w:style>
  <w:style w:type="character" w:styleId="FontStyle33" w:customStyle="1">
    <w:name w:val="Font Style33"/>
    <w:uiPriority w:val="99"/>
    <w:qFormat/>
    <w:rsid w:val="00811203"/>
    <w:rPr>
      <w:rFonts w:ascii="Times New Roman" w:hAnsi="Times New Roman"/>
      <w:sz w:val="22"/>
    </w:rPr>
  </w:style>
  <w:style w:type="character" w:styleId="Odwiedzoneczeinternetowe">
    <w:name w:val="FollowedHyperlink"/>
    <w:uiPriority w:val="99"/>
    <w:semiHidden/>
    <w:rsid w:val="000c0949"/>
    <w:rPr>
      <w:rFonts w:cs="Times New Roman"/>
      <w:color w:val="954F72"/>
      <w:u w:val="single"/>
    </w:rPr>
  </w:style>
  <w:style w:type="character" w:styleId="TekstpodstawowyZnak" w:customStyle="1">
    <w:name w:val="Tekst podstawowy Znak"/>
    <w:uiPriority w:val="99"/>
    <w:qFormat/>
    <w:locked/>
    <w:rsid w:val="00c52280"/>
    <w:rPr>
      <w:rFonts w:ascii="Times New Roman" w:hAnsi="Times New Roman" w:cs="Times New Roman"/>
      <w:b/>
      <w:sz w:val="20"/>
      <w:lang w:eastAsia="pl-PL"/>
    </w:rPr>
  </w:style>
  <w:style w:type="character" w:styleId="Listanumerowana3Znak" w:customStyle="1">
    <w:name w:val="Lista numerowana 3 Znak"/>
    <w:uiPriority w:val="99"/>
    <w:qFormat/>
    <w:locked/>
    <w:rsid w:val="00253817"/>
    <w:rPr>
      <w:rFonts w:ascii="Times" w:hAnsi="Times" w:eastAsia="Times New Roman"/>
    </w:rPr>
  </w:style>
  <w:style w:type="character" w:styleId="TekstdymkaZnak" w:customStyle="1">
    <w:name w:val="Tekst dymka Znak"/>
    <w:uiPriority w:val="99"/>
    <w:semiHidden/>
    <w:qFormat/>
    <w:locked/>
    <w:rsid w:val="006d7ef9"/>
    <w:rPr>
      <w:rFonts w:ascii="Tahoma" w:hAnsi="Tahoma" w:cs="Times New Roman"/>
      <w:sz w:val="16"/>
      <w:lang w:eastAsia="pl-PL"/>
    </w:rPr>
  </w:style>
  <w:style w:type="character" w:styleId="Annotationreference">
    <w:name w:val="annotation reference"/>
    <w:uiPriority w:val="99"/>
    <w:semiHidden/>
    <w:qFormat/>
    <w:rsid w:val="006d7ef9"/>
    <w:rPr>
      <w:rFonts w:cs="Times New Roman"/>
      <w:sz w:val="16"/>
    </w:rPr>
  </w:style>
  <w:style w:type="character" w:styleId="TekstkomentarzaZnak" w:customStyle="1">
    <w:name w:val="Tekst komentarza Znak"/>
    <w:uiPriority w:val="99"/>
    <w:qFormat/>
    <w:locked/>
    <w:rsid w:val="006d7ef9"/>
    <w:rPr>
      <w:rFonts w:ascii="Times New Roman" w:hAnsi="Times New Roman" w:cs="Times New Roman"/>
      <w:sz w:val="20"/>
      <w:lang w:eastAsia="pl-PL"/>
    </w:rPr>
  </w:style>
  <w:style w:type="character" w:styleId="TematkomentarzaZnak" w:customStyle="1">
    <w:name w:val="Temat komentarza Znak"/>
    <w:uiPriority w:val="99"/>
    <w:semiHidden/>
    <w:qFormat/>
    <w:locked/>
    <w:rsid w:val="006d7ef9"/>
    <w:rPr>
      <w:rFonts w:ascii="Times New Roman" w:hAnsi="Times New Roman" w:cs="Times New Roman"/>
      <w:b/>
      <w:sz w:val="20"/>
      <w:lang w:eastAsia="pl-PL"/>
    </w:rPr>
  </w:style>
  <w:style w:type="character" w:styleId="Alb" w:customStyle="1">
    <w:name w:val="a_lb"/>
    <w:qFormat/>
    <w:rsid w:val="00df069e"/>
    <w:rPr>
      <w:rFonts w:cs="Times New Roman"/>
    </w:rPr>
  </w:style>
  <w:style w:type="character" w:styleId="TekstprzypisudolnegoZnak" w:customStyle="1">
    <w:name w:val="Tekst przypisu dolnego Znak"/>
    <w:uiPriority w:val="99"/>
    <w:qFormat/>
    <w:locked/>
    <w:rsid w:val="002049f1"/>
    <w:rPr>
      <w:rFonts w:ascii="Times New Roman" w:hAnsi="Times New Roman" w:cs="Times New Roman"/>
      <w:sz w:val="20"/>
      <w:lang w:eastAsia="pl-PL"/>
    </w:rPr>
  </w:style>
  <w:style w:type="character" w:styleId="Znakiprzypiswdolnych">
    <w:name w:val="Znaki przypisów dolnych"/>
    <w:qFormat/>
    <w:rPr>
      <w:rFonts w:cs="Times New Roman"/>
      <w:vertAlign w:val="superscript"/>
    </w:rPr>
  </w:style>
  <w:style w:type="character" w:styleId="Zakotwiczenieprzypisudolnego">
    <w:name w:val="Footnote Reference"/>
    <w:rPr>
      <w:rFonts w:cs="Times New Roman"/>
      <w:vertAlign w:val="superscript"/>
    </w:rPr>
  </w:style>
  <w:style w:type="character" w:styleId="FootnoteCharacters">
    <w:name w:val="Footnote Characters"/>
    <w:uiPriority w:val="99"/>
    <w:qFormat/>
    <w:rsid w:val="002049f1"/>
    <w:rPr>
      <w:rFonts w:cs="Times New Roman"/>
      <w:vertAlign w:val="superscript"/>
    </w:rPr>
  </w:style>
  <w:style w:type="character" w:styleId="ZwykytekstZnak" w:customStyle="1">
    <w:name w:val="Zwykły tekst Znak"/>
    <w:qFormat/>
    <w:locked/>
    <w:rsid w:val="005a34e2"/>
    <w:rPr>
      <w:rFonts w:ascii="Courier New" w:hAnsi="Courier New" w:eastAsia="MS Mincho" w:cs="Times New Roman"/>
      <w:sz w:val="20"/>
      <w:lang w:eastAsia="pl-PL"/>
    </w:rPr>
  </w:style>
  <w:style w:type="character" w:styleId="TytuZnak" w:customStyle="1">
    <w:name w:val="Tytuł Znak"/>
    <w:uiPriority w:val="99"/>
    <w:qFormat/>
    <w:locked/>
    <w:rsid w:val="00d63857"/>
    <w:rPr>
      <w:rFonts w:ascii="Calibri Light" w:hAnsi="Calibri Light" w:cs="Times New Roman"/>
      <w:spacing w:val="-10"/>
      <w:kern w:val="2"/>
      <w:sz w:val="56"/>
      <w:lang w:eastAsia="pl-PL"/>
    </w:rPr>
  </w:style>
  <w:style w:type="character" w:styleId="Teksttreci" w:customStyle="1">
    <w:name w:val="Tekst treści_"/>
    <w:uiPriority w:val="99"/>
    <w:qFormat/>
    <w:locked/>
    <w:rsid w:val="003a1f7d"/>
    <w:rPr>
      <w:sz w:val="19"/>
      <w:shd w:fill="FFFFFF" w:val="clear"/>
    </w:rPr>
  </w:style>
  <w:style w:type="character" w:styleId="TeksttreciPogrubienie6" w:customStyle="1">
    <w:name w:val="Tekst treści + Pogrubienie6"/>
    <w:uiPriority w:val="99"/>
    <w:qFormat/>
    <w:rsid w:val="003a1f7d"/>
    <w:rPr>
      <w:b/>
      <w:spacing w:val="0"/>
      <w:sz w:val="19"/>
      <w:shd w:fill="FFFFFF" w:val="clear"/>
    </w:rPr>
  </w:style>
  <w:style w:type="character" w:styleId="Teksttreci1" w:customStyle="1">
    <w:name w:val="Tekst treści"/>
    <w:uiPriority w:val="99"/>
    <w:qFormat/>
    <w:rsid w:val="00041821"/>
    <w:rPr>
      <w:rFonts w:ascii="Arial Unicode MS" w:hAnsi="Arial Unicode MS" w:eastAsia="Arial Unicode MS"/>
      <w:spacing w:val="0"/>
      <w:sz w:val="19"/>
      <w:shd w:fill="FFFFFF" w:val="clear"/>
    </w:rPr>
  </w:style>
  <w:style w:type="character" w:styleId="H2" w:customStyle="1">
    <w:name w:val="h2"/>
    <w:uiPriority w:val="99"/>
    <w:qFormat/>
    <w:rsid w:val="00041821"/>
    <w:rPr>
      <w:rFonts w:cs="Times New Roman"/>
    </w:rPr>
  </w:style>
  <w:style w:type="character" w:styleId="TekstprzypisukocowegoZnak" w:customStyle="1">
    <w:name w:val="Tekst przypisu końcowego Znak"/>
    <w:uiPriority w:val="99"/>
    <w:semiHidden/>
    <w:qFormat/>
    <w:locked/>
    <w:rsid w:val="00822d8b"/>
    <w:rPr>
      <w:rFonts w:ascii="Times New Roman" w:hAnsi="Times New Roman" w:cs="Times New Roman"/>
      <w:sz w:val="20"/>
      <w:lang w:eastAsia="pl-PL"/>
    </w:rPr>
  </w:style>
  <w:style w:type="character" w:styleId="Znakiprzypiswkocowych">
    <w:name w:val="Znaki przypisów końcowych"/>
    <w:qFormat/>
    <w:rPr>
      <w:rFonts w:cs="Times New Roman"/>
      <w:vertAlign w:val="superscript"/>
    </w:rPr>
  </w:style>
  <w:style w:type="character" w:styleId="Zakotwiczenieprzypisukocowego">
    <w:name w:val="Endnote Reference"/>
    <w:rPr>
      <w:rFonts w:cs="Times New Roman"/>
      <w:vertAlign w:val="superscript"/>
    </w:rPr>
  </w:style>
  <w:style w:type="character" w:styleId="EndnoteCharacters">
    <w:name w:val="Endnote Characters"/>
    <w:uiPriority w:val="99"/>
    <w:semiHidden/>
    <w:qFormat/>
    <w:rsid w:val="00822d8b"/>
    <w:rPr>
      <w:rFonts w:cs="Times New Roman"/>
      <w:vertAlign w:val="superscript"/>
    </w:rPr>
  </w:style>
  <w:style w:type="character" w:styleId="Strong">
    <w:name w:val="Strong"/>
    <w:qFormat/>
    <w:rsid w:val="002b431e"/>
    <w:rPr>
      <w:rFonts w:cs="Times New Roman"/>
      <w:b/>
    </w:rPr>
  </w:style>
  <w:style w:type="character" w:styleId="Tekstpodstawowy2Znak" w:customStyle="1">
    <w:name w:val="Tekst podstawowy 2 Znak"/>
    <w:uiPriority w:val="99"/>
    <w:semiHidden/>
    <w:qFormat/>
    <w:locked/>
    <w:rsid w:val="006a1749"/>
    <w:rPr>
      <w:rFonts w:ascii="Times New Roman" w:hAnsi="Times New Roman" w:cs="Times New Roman"/>
      <w:sz w:val="24"/>
      <w:szCs w:val="24"/>
    </w:rPr>
  </w:style>
  <w:style w:type="character" w:styleId="M5968006951817061090size" w:customStyle="1">
    <w:name w:val="m5968006951817061090size"/>
    <w:uiPriority w:val="99"/>
    <w:qFormat/>
    <w:rsid w:val="00a55fbc"/>
    <w:rPr>
      <w:rFonts w:cs="Times New Roman"/>
    </w:rPr>
  </w:style>
  <w:style w:type="character" w:styleId="M5968006951817061090font" w:customStyle="1">
    <w:name w:val="m5968006951817061090font"/>
    <w:uiPriority w:val="99"/>
    <w:qFormat/>
    <w:rsid w:val="00a55fbc"/>
    <w:rPr>
      <w:rFonts w:cs="Times New Roman"/>
    </w:rPr>
  </w:style>
  <w:style w:type="character" w:styleId="PodtytuZnak" w:customStyle="1">
    <w:name w:val="Podtytuł Znak"/>
    <w:uiPriority w:val="11"/>
    <w:qFormat/>
    <w:rsid w:val="000367b8"/>
    <w:rPr>
      <w:rFonts w:ascii="Cambria" w:hAnsi="Cambria" w:eastAsia="Times New Roman" w:cs="Times New Roman"/>
      <w:sz w:val="24"/>
      <w:szCs w:val="24"/>
    </w:rPr>
  </w:style>
  <w:style w:type="character" w:styleId="BezodstpwZnak" w:customStyle="1">
    <w:name w:val="Bez odstępów Znak"/>
    <w:uiPriority w:val="99"/>
    <w:qFormat/>
    <w:locked/>
    <w:rsid w:val="00e36b2a"/>
    <w:rPr>
      <w:rFonts w:eastAsia="Times New Roman"/>
      <w:sz w:val="22"/>
      <w:szCs w:val="22"/>
    </w:rPr>
  </w:style>
  <w:style w:type="character" w:styleId="Apple-converted-space" w:customStyle="1">
    <w:name w:val="apple-converted-space"/>
    <w:basedOn w:val="DefaultParagraphFont"/>
    <w:qFormat/>
    <w:rsid w:val="003d522d"/>
    <w:rPr/>
  </w:style>
  <w:style w:type="character" w:styleId="Apple-tab-span" w:customStyle="1">
    <w:name w:val="apple-tab-span"/>
    <w:basedOn w:val="DefaultParagraphFont"/>
    <w:qFormat/>
    <w:rsid w:val="00e61782"/>
    <w:rPr/>
  </w:style>
  <w:style w:type="character" w:styleId="S1" w:customStyle="1">
    <w:name w:val="s1"/>
    <w:basedOn w:val="DefaultParagraphFont"/>
    <w:qFormat/>
    <w:rsid w:val="00e61782"/>
    <w:rPr>
      <w:u w:val="single"/>
    </w:rPr>
  </w:style>
  <w:style w:type="character" w:styleId="Nierozpoznanawzmianka1" w:customStyle="1">
    <w:name w:val="Nierozpoznana wzmianka1"/>
    <w:basedOn w:val="DefaultParagraphFont"/>
    <w:uiPriority w:val="99"/>
    <w:qFormat/>
    <w:rsid w:val="00f1511c"/>
    <w:rPr>
      <w:color w:val="605E5C"/>
      <w:shd w:fill="E1DFDD" w:val="clear"/>
    </w:rPr>
  </w:style>
  <w:style w:type="character" w:styleId="Nierozpoznanawzmianka2" w:customStyle="1">
    <w:name w:val="Nierozpoznana wzmianka2"/>
    <w:basedOn w:val="DefaultParagraphFont"/>
    <w:uiPriority w:val="99"/>
    <w:qFormat/>
    <w:rsid w:val="003a29be"/>
    <w:rPr>
      <w:color w:val="605E5C"/>
      <w:shd w:fill="E1DFDD" w:val="clear"/>
    </w:rPr>
  </w:style>
  <w:style w:type="character" w:styleId="Wyrnienie">
    <w:name w:val="Emphasis"/>
    <w:basedOn w:val="DefaultParagraphFont"/>
    <w:uiPriority w:val="20"/>
    <w:qFormat/>
    <w:locked/>
    <w:rsid w:val="00433ca9"/>
    <w:rPr>
      <w:i/>
      <w:iCs/>
    </w:rPr>
  </w:style>
  <w:style w:type="character" w:styleId="Nierozpoznanawzmianka3" w:customStyle="1">
    <w:name w:val="Nierozpoznana wzmianka3"/>
    <w:basedOn w:val="DefaultParagraphFont"/>
    <w:uiPriority w:val="99"/>
    <w:semiHidden/>
    <w:unhideWhenUsed/>
    <w:qFormat/>
    <w:rsid w:val="00a30c5c"/>
    <w:rPr>
      <w:color w:val="605E5C"/>
      <w:shd w:fill="E1DFDD" w:val="clear"/>
    </w:rPr>
  </w:style>
  <w:style w:type="character" w:styleId="ListParagraphChar" w:customStyle="1">
    <w:name w:val="List Paragraph Char"/>
    <w:qFormat/>
    <w:locked/>
    <w:rsid w:val="00520a18"/>
    <w:rPr>
      <w:lang w:eastAsia="en-US"/>
    </w:rPr>
  </w:style>
  <w:style w:type="character" w:styleId="Domylnaczcionkaakapitu1" w:customStyle="1">
    <w:name w:val="Domyślna czcionka akapitu1"/>
    <w:qFormat/>
    <w:rsid w:val="001c3c6e"/>
    <w:rPr/>
  </w:style>
  <w:style w:type="character" w:styleId="Domylnaczcionkaakapitu2" w:customStyle="1">
    <w:name w:val="Domyślna czcionka akapitu2"/>
    <w:qFormat/>
    <w:rsid w:val="001c3c6e"/>
    <w:rPr/>
  </w:style>
  <w:style w:type="character" w:styleId="Fn-ref" w:customStyle="1">
    <w:name w:val="fn-ref"/>
    <w:basedOn w:val="DefaultParagraphFont"/>
    <w:qFormat/>
    <w:rsid w:val="00cc0e33"/>
    <w:rPr/>
  </w:style>
  <w:style w:type="character" w:styleId="Alb-s" w:customStyle="1">
    <w:name w:val="a_lb-s"/>
    <w:basedOn w:val="DefaultParagraphFont"/>
    <w:qFormat/>
    <w:rsid w:val="006a1c25"/>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Znakinumeracji">
    <w:name w:val="Znaki numeracji"/>
    <w:qFormat/>
    <w:rPr>
      <w:b w:val="false"/>
      <w:bCs w:val="false"/>
    </w:rPr>
  </w:style>
  <w:style w:type="character" w:styleId="WW8Num52z0">
    <w:name w:val="WW8Num52z0"/>
    <w:qFormat/>
    <w:rPr>
      <w:rFonts w:ascii="Cambria" w:hAnsi="Cambria" w:cs="Cambria"/>
      <w:b w:val="false"/>
      <w:bCs w:val="false"/>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c52280"/>
    <w:pPr/>
    <w:rPr>
      <w:rFonts w:eastAsia="Calibri"/>
      <w:b/>
      <w:sz w:val="20"/>
      <w:szCs w:val="20"/>
    </w:rPr>
  </w:style>
  <w:style w:type="paragraph" w:styleId="Lista">
    <w:name w:val="List"/>
    <w:basedOn w:val="Normal"/>
    <w:uiPriority w:val="99"/>
    <w:semiHidden/>
    <w:unhideWhenUsed/>
    <w:locked/>
    <w:rsid w:val="00b27802"/>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rsid w:val="00811203"/>
    <w:pPr>
      <w:tabs>
        <w:tab w:val="clear" w:pos="720"/>
        <w:tab w:val="center" w:pos="4536" w:leader="none"/>
        <w:tab w:val="right" w:pos="9072" w:leader="none"/>
      </w:tabs>
    </w:pPr>
    <w:rPr>
      <w:rFonts w:eastAsia="Calibri"/>
      <w:szCs w:val="20"/>
    </w:rPr>
  </w:style>
  <w:style w:type="paragraph" w:styleId="Stopka">
    <w:name w:val="Footer"/>
    <w:basedOn w:val="Normal"/>
    <w:link w:val="StopkaZnak"/>
    <w:uiPriority w:val="99"/>
    <w:rsid w:val="00811203"/>
    <w:pPr>
      <w:tabs>
        <w:tab w:val="clear" w:pos="720"/>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uiPriority w:val="99"/>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uiPriority w:val="99"/>
    <w:qFormat/>
    <w:rsid w:val="00811203"/>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NoSpacing">
    <w:name w:val="No Spacing"/>
    <w:link w:val="BezodstpwZnak"/>
    <w:uiPriority w:val="1"/>
    <w:qFormat/>
    <w:rsid w:val="00811203"/>
    <w:pPr>
      <w:widowControl/>
      <w:suppressAutoHyphens w:val="true"/>
      <w:bidi w:val="0"/>
      <w:spacing w:before="0" w:after="0"/>
      <w:jc w:val="left"/>
    </w:pPr>
    <w:rPr>
      <w:rFonts w:ascii="Calibri" w:hAnsi="Calibri" w:eastAsia="Times New Roman" w:cs="Times New Roman"/>
      <w:color w:val="auto"/>
      <w:kern w:val="0"/>
      <w:sz w:val="22"/>
      <w:szCs w:val="22"/>
      <w:lang w:val="pl-PL" w:eastAsia="pl-PL" w:bidi="ar-SA"/>
    </w:rPr>
  </w:style>
  <w:style w:type="paragraph" w:styleId="NormalWeb">
    <w:name w:val="Normal (Web)"/>
    <w:basedOn w:val="Normal"/>
    <w:uiPriority w:val="99"/>
    <w:qFormat/>
    <w:rsid w:val="00811203"/>
    <w:pPr/>
    <w:rPr>
      <w:rFonts w:eastAsia="Calibri"/>
    </w:rPr>
  </w:style>
  <w:style w:type="paragraph" w:styleId="Teksttreci2" w:customStyle="1">
    <w:name w:val="Tekst treści (2)"/>
    <w:basedOn w:val="Normal"/>
    <w:uiPriority w:val="99"/>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uiPriority w:val="99"/>
    <w:qFormat/>
    <w:rsid w:val="00811203"/>
    <w:pPr>
      <w:spacing w:lineRule="auto" w:line="360"/>
      <w:ind w:left="284" w:hanging="284"/>
    </w:pPr>
    <w:rPr>
      <w:szCs w:val="20"/>
    </w:rPr>
  </w:style>
  <w:style w:type="paragraph" w:styleId="Teksttreci5" w:customStyle="1">
    <w:name w:val="Tekst treści (5)"/>
    <w:basedOn w:val="Normal"/>
    <w:uiPriority w:val="99"/>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uiPriority w:val="99"/>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numPr>
        <w:ilvl w:val="0"/>
        <w:numId w:val="2"/>
      </w:numPr>
      <w:tabs>
        <w:tab w:val="clear" w:pos="720"/>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numPr>
        <w:ilvl w:val="0"/>
        <w:numId w:val="2"/>
      </w:numPr>
      <w:spacing w:lineRule="auto" w:line="288"/>
      <w:ind w:left="992" w:hanging="567"/>
      <w:jc w:val="both"/>
    </w:pPr>
    <w:rPr>
      <w:rFonts w:ascii="Times" w:hAnsi="Times"/>
      <w:sz w:val="22"/>
    </w:rPr>
  </w:style>
  <w:style w:type="paragraph" w:styleId="ListNumber3">
    <w:name w:val="List Number 3"/>
    <w:basedOn w:val="Normal"/>
    <w:link w:val="Listanumerowana3Znak"/>
    <w:uiPriority w:val="99"/>
    <w:qFormat/>
    <w:rsid w:val="00253817"/>
    <w:pPr>
      <w:numPr>
        <w:ilvl w:val="0"/>
        <w:numId w:val="3"/>
      </w:numPr>
      <w:tabs>
        <w:tab w:val="clear" w:pos="720"/>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uiPriority w:val="99"/>
    <w:qFormat/>
    <w:rsid w:val="00253817"/>
    <w:pPr>
      <w:numPr>
        <w:ilvl w:val="0"/>
        <w:numId w:val="4"/>
      </w:numPr>
      <w:ind w:left="2552" w:hanging="851"/>
    </w:pPr>
    <w:rPr/>
  </w:style>
  <w:style w:type="paragraph" w:styleId="ListNumber5">
    <w:name w:val="List Number 5"/>
    <w:basedOn w:val="Normal"/>
    <w:qFormat/>
    <w:rsid w:val="00253817"/>
    <w:pPr>
      <w:numPr>
        <w:ilvl w:val="0"/>
        <w:numId w:val="2"/>
      </w:numPr>
      <w:tabs>
        <w:tab w:val="clear" w:pos="720"/>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qFormat/>
    <w:rsid w:val="006d7ef9"/>
    <w:pPr/>
    <w:rPr>
      <w:rFonts w:ascii="Tahoma" w:hAnsi="Tahoma" w:eastAsia="Calibri"/>
      <w:sz w:val="16"/>
      <w:szCs w:val="20"/>
    </w:rPr>
  </w:style>
  <w:style w:type="paragraph" w:styleId="Annotationtext">
    <w:name w:val="annotation text"/>
    <w:basedOn w:val="Normal"/>
    <w:link w:val="TekstkomentarzaZnak"/>
    <w:uiPriority w:val="99"/>
    <w:qFormat/>
    <w:rsid w:val="006d7ef9"/>
    <w:pPr/>
    <w:rPr>
      <w:rFonts w:eastAsia="Calibri"/>
      <w:sz w:val="20"/>
      <w:szCs w:val="20"/>
    </w:rPr>
  </w:style>
  <w:style w:type="paragraph" w:styleId="Annotationsubject">
    <w:name w:val="annotation subject"/>
    <w:basedOn w:val="Annotationtext"/>
    <w:next w:val="Annotationtext"/>
    <w:link w:val="TematkomentarzaZnak"/>
    <w:uiPriority w:val="99"/>
    <w:semiHidden/>
    <w:qFormat/>
    <w:rsid w:val="006d7ef9"/>
    <w:pPr/>
    <w:rPr>
      <w:b/>
    </w:rPr>
  </w:style>
  <w:style w:type="paragraph" w:styleId="Normaltableau" w:customStyle="1">
    <w:name w:val="normal_tableau"/>
    <w:basedOn w:val="Normal"/>
    <w:uiPriority w:val="99"/>
    <w:qFormat/>
    <w:rsid w:val="00272dcc"/>
    <w:pPr>
      <w:spacing w:before="120" w:after="120"/>
      <w:jc w:val="both"/>
    </w:pPr>
    <w:rPr>
      <w:rFonts w:ascii="Optima" w:hAnsi="Optima"/>
      <w:sz w:val="22"/>
      <w:szCs w:val="22"/>
      <w:lang w:val="en-GB"/>
    </w:rPr>
  </w:style>
  <w:style w:type="paragraph" w:styleId="Przypisdolny">
    <w:name w:val="Footnote Text"/>
    <w:basedOn w:val="Normal"/>
    <w:link w:val="TekstprzypisudolnegoZnak"/>
    <w:uiPriority w:val="99"/>
    <w:rsid w:val="002049f1"/>
    <w:pPr/>
    <w:rPr>
      <w:rFonts w:eastAsia="Calibri"/>
      <w:sz w:val="20"/>
      <w:szCs w:val="20"/>
    </w:rPr>
  </w:style>
  <w:style w:type="paragraph" w:styleId="PlainText">
    <w:name w:val="Plain Text"/>
    <w:basedOn w:val="Normal"/>
    <w:link w:val="ZwykytekstZnak"/>
    <w:qFormat/>
    <w:rsid w:val="005a34e2"/>
    <w:pPr/>
    <w:rPr>
      <w:rFonts w:ascii="Courier New" w:hAnsi="Courier New" w:eastAsia="MS Mincho"/>
      <w:sz w:val="20"/>
      <w:szCs w:val="20"/>
    </w:rPr>
  </w:style>
  <w:style w:type="paragraph" w:styleId="Standard" w:customStyle="1">
    <w:name w:val="Standard"/>
    <w:qFormat/>
    <w:rsid w:val="003f6f44"/>
    <w:pPr>
      <w:widowControl w:val="false"/>
      <w:suppressAutoHyphens w:val="true"/>
      <w:bidi w:val="0"/>
      <w:spacing w:before="0" w:after="0"/>
      <w:jc w:val="left"/>
      <w:textAlignment w:val="baseline"/>
    </w:pPr>
    <w:rPr>
      <w:rFonts w:ascii="Times New Roman" w:hAnsi="Times New Roman" w:eastAsia="Calibri" w:cs="Tahoma"/>
      <w:color w:val="auto"/>
      <w:kern w:val="2"/>
      <w:sz w:val="24"/>
      <w:szCs w:val="24"/>
      <w:lang w:val="en-US" w:eastAsia="en-US" w:bidi="ar-SA"/>
    </w:rPr>
  </w:style>
  <w:style w:type="paragraph" w:styleId="Tekstpodstawowywcity21" w:customStyle="1">
    <w:name w:val="Tekst podstawowy wcięty 21"/>
    <w:basedOn w:val="Normal"/>
    <w:uiPriority w:val="99"/>
    <w:qFormat/>
    <w:rsid w:val="00d213b7"/>
    <w:pPr>
      <w:widowControl w:val="false"/>
      <w:ind w:left="3686" w:hanging="1843"/>
      <w:jc w:val="both"/>
    </w:pPr>
    <w:rPr>
      <w:szCs w:val="20"/>
    </w:rPr>
  </w:style>
  <w:style w:type="paragraph" w:styleId="Tytu">
    <w:name w:val="Title"/>
    <w:basedOn w:val="Normal"/>
    <w:next w:val="Normal"/>
    <w:link w:val="TytuZnak"/>
    <w:uiPriority w:val="99"/>
    <w:qFormat/>
    <w:rsid w:val="00d63857"/>
    <w:pPr>
      <w:spacing w:before="0" w:after="0"/>
      <w:contextualSpacing/>
    </w:pPr>
    <w:rPr>
      <w:rFonts w:ascii="Calibri Light" w:hAnsi="Calibri Light" w:eastAsia="Calibri"/>
      <w:spacing w:val="-10"/>
      <w:kern w:val="2"/>
      <w:sz w:val="56"/>
      <w:szCs w:val="20"/>
    </w:rPr>
  </w:style>
  <w:style w:type="paragraph" w:styleId="Teksttreci11" w:customStyle="1">
    <w:name w:val="Tekst treści1"/>
    <w:basedOn w:val="Normal"/>
    <w:link w:val="Teksttreci"/>
    <w:uiPriority w:val="99"/>
    <w:qFormat/>
    <w:rsid w:val="003a1f7d"/>
    <w:pPr>
      <w:shd w:val="clear" w:color="auto" w:fill="FFFFFF"/>
      <w:spacing w:lineRule="atLeast" w:line="240" w:before="240" w:after="120"/>
      <w:ind w:hanging="1340"/>
      <w:jc w:val="center"/>
    </w:pPr>
    <w:rPr>
      <w:rFonts w:ascii="Calibri" w:hAnsi="Calibri" w:eastAsia="Calibri"/>
      <w:sz w:val="19"/>
      <w:szCs w:val="20"/>
    </w:rPr>
  </w:style>
  <w:style w:type="paragraph" w:styleId="Przypiskocowy">
    <w:name w:val="Endnote Text"/>
    <w:basedOn w:val="Normal"/>
    <w:link w:val="TekstprzypisukocowegoZnak"/>
    <w:uiPriority w:val="99"/>
    <w:semiHidden/>
    <w:rsid w:val="00822d8b"/>
    <w:pPr/>
    <w:rPr>
      <w:rFonts w:eastAsia="Calibri"/>
      <w:sz w:val="20"/>
      <w:szCs w:val="20"/>
    </w:rPr>
  </w:style>
  <w:style w:type="paragraph" w:styleId="Text-justify" w:customStyle="1">
    <w:name w:val="text-justify"/>
    <w:basedOn w:val="Normal"/>
    <w:qFormat/>
    <w:rsid w:val="008437b4"/>
    <w:pPr>
      <w:spacing w:beforeAutospacing="1" w:afterAutospacing="1"/>
    </w:pPr>
    <w:rPr/>
  </w:style>
  <w:style w:type="paragraph" w:styleId="Kolorowecieniowanieakcent11" w:customStyle="1">
    <w:name w:val="Kolorowe cieniowanie — akcent 11"/>
    <w:uiPriority w:val="99"/>
    <w:semiHidden/>
    <w:qFormat/>
    <w:rsid w:val="00b77862"/>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uiPriority w:val="99"/>
    <w:qFormat/>
    <w:rsid w:val="00467345"/>
    <w:pPr>
      <w:spacing w:lineRule="auto" w:line="252" w:before="20" w:after="40"/>
      <w:ind w:left="720" w:hanging="0"/>
      <w:contextualSpacing/>
      <w:jc w:val="both"/>
    </w:pPr>
    <w:rPr>
      <w:rFonts w:ascii="Calibri" w:hAnsi="Calibri" w:eastAsia="SimSun"/>
      <w:sz w:val="20"/>
      <w:szCs w:val="20"/>
      <w:lang w:eastAsia="zh-CN"/>
    </w:rPr>
  </w:style>
  <w:style w:type="paragraph" w:styleId="BodyText2">
    <w:name w:val="Body Text 2"/>
    <w:basedOn w:val="Normal"/>
    <w:link w:val="Tekstpodstawowy2Znak"/>
    <w:uiPriority w:val="99"/>
    <w:semiHidden/>
    <w:qFormat/>
    <w:rsid w:val="006a1749"/>
    <w:pPr>
      <w:spacing w:lineRule="auto" w:line="480" w:before="0" w:after="120"/>
    </w:pPr>
    <w:rPr>
      <w:rFonts w:eastAsia="Calibri"/>
    </w:rPr>
  </w:style>
  <w:style w:type="paragraph" w:styleId="M5968006951817061090kolorowalistaakcent11" w:customStyle="1">
    <w:name w:val="m5968006951817061090kolorowalistaakcent11"/>
    <w:basedOn w:val="Normal"/>
    <w:uiPriority w:val="99"/>
    <w:qFormat/>
    <w:rsid w:val="00a55fbc"/>
    <w:pPr>
      <w:spacing w:beforeAutospacing="1" w:afterAutospacing="1"/>
    </w:pPr>
    <w:rPr>
      <w:rFonts w:eastAsia="Calibri"/>
    </w:rPr>
  </w:style>
  <w:style w:type="paragraph" w:styleId="Podtytu">
    <w:name w:val="Subtitle"/>
    <w:basedOn w:val="Normal"/>
    <w:next w:val="Normal"/>
    <w:link w:val="PodtytuZnak"/>
    <w:uiPriority w:val="11"/>
    <w:qFormat/>
    <w:locked/>
    <w:rsid w:val="000367b8"/>
    <w:pPr>
      <w:spacing w:before="0" w:after="60"/>
      <w:jc w:val="center"/>
      <w:outlineLvl w:val="1"/>
    </w:pPr>
    <w:rPr>
      <w:rFonts w:ascii="Cambria" w:hAnsi="Cambria"/>
    </w:rPr>
  </w:style>
  <w:style w:type="paragraph" w:styleId="Ox-b171701408-msonormal" w:customStyle="1">
    <w:name w:val="ox-b171701408-msonormal"/>
    <w:basedOn w:val="Normal"/>
    <w:qFormat/>
    <w:rsid w:val="00aa50a6"/>
    <w:pPr>
      <w:spacing w:beforeAutospacing="1" w:afterAutospacing="1"/>
    </w:pPr>
    <w:rPr>
      <w:rFonts w:eastAsia="Calibri"/>
    </w:rPr>
  </w:style>
  <w:style w:type="paragraph" w:styleId="P1" w:customStyle="1">
    <w:name w:val="p1"/>
    <w:basedOn w:val="Normal"/>
    <w:qFormat/>
    <w:rsid w:val="003d522d"/>
    <w:pPr/>
    <w:rPr>
      <w:rFonts w:ascii="Helvetica" w:hAnsi="Helvetica" w:eastAsia="Calibri"/>
      <w:sz w:val="15"/>
      <w:szCs w:val="15"/>
    </w:rPr>
  </w:style>
  <w:style w:type="paragraph" w:styleId="P3" w:customStyle="1">
    <w:name w:val="p3"/>
    <w:basedOn w:val="Normal"/>
    <w:qFormat/>
    <w:rsid w:val="00e61782"/>
    <w:pPr>
      <w:jc w:val="both"/>
    </w:pPr>
    <w:rPr>
      <w:rFonts w:ascii="Helvetica Neue" w:hAnsi="Helvetica Neue" w:eastAsia="Calibri"/>
      <w:color w:val="454545"/>
      <w:sz w:val="18"/>
      <w:szCs w:val="18"/>
    </w:rPr>
  </w:style>
  <w:style w:type="paragraph" w:styleId="P2" w:customStyle="1">
    <w:name w:val="p2"/>
    <w:basedOn w:val="Normal"/>
    <w:qFormat/>
    <w:rsid w:val="004e0318"/>
    <w:pPr/>
    <w:rPr>
      <w:rFonts w:ascii="Helvetica Neue" w:hAnsi="Helvetica Neue" w:eastAsia="Calibri"/>
      <w:color w:val="454545"/>
      <w:sz w:val="18"/>
      <w:szCs w:val="18"/>
    </w:rPr>
  </w:style>
  <w:style w:type="paragraph" w:styleId="Ox-2f2e412c31-msolistparagraph" w:customStyle="1">
    <w:name w:val="ox-2f2e412c31-msolistparagraph"/>
    <w:basedOn w:val="Normal"/>
    <w:qFormat/>
    <w:rsid w:val="00ca2180"/>
    <w:pPr>
      <w:spacing w:beforeAutospacing="1" w:afterAutospacing="1"/>
    </w:pPr>
    <w:rPr>
      <w:rFonts w:eastAsia="Calibri" w:eastAsiaTheme="minorHAnsi"/>
    </w:rPr>
  </w:style>
  <w:style w:type="paragraph" w:styleId="Revision">
    <w:name w:val="Revision"/>
    <w:uiPriority w:val="99"/>
    <w:semiHidden/>
    <w:qFormat/>
    <w:rsid w:val="00be0e95"/>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Tekstpodstawowy1" w:customStyle="1">
    <w:name w:val="Tekst podstawowy1"/>
    <w:basedOn w:val="Normal"/>
    <w:uiPriority w:val="99"/>
    <w:semiHidden/>
    <w:qFormat/>
    <w:rsid w:val="00520a18"/>
    <w:pPr>
      <w:jc w:val="both"/>
    </w:pPr>
    <w:rPr>
      <w:rFonts w:ascii="Calibri" w:hAnsi="Calibri" w:eastAsia="Calibri"/>
      <w:sz w:val="20"/>
      <w:szCs w:val="20"/>
    </w:rPr>
  </w:style>
  <w:style w:type="paragraph" w:styleId="Normalny1" w:customStyle="1">
    <w:name w:val="Normalny1"/>
    <w:qFormat/>
    <w:rsid w:val="00b662e2"/>
    <w:pPr>
      <w:widowControl w:val="false"/>
      <w:suppressAutoHyphens w:val="true"/>
      <w:bidi w:val="0"/>
      <w:spacing w:before="0" w:after="0"/>
      <w:jc w:val="left"/>
    </w:pPr>
    <w:rPr>
      <w:rFonts w:ascii="Times New Roman" w:hAnsi="Times New Roman" w:eastAsia="Lucida Sans Unicode" w:cs="Arial"/>
      <w:color w:val="auto"/>
      <w:kern w:val="0"/>
      <w:sz w:val="24"/>
      <w:szCs w:val="24"/>
      <w:lang w:val="pl-PL" w:eastAsia="zh-CN" w:bidi="hi-IN"/>
    </w:rPr>
  </w:style>
  <w:style w:type="paragraph" w:styleId="Zawartoramki">
    <w:name w:val="Zawartość ramki"/>
    <w:basedOn w:val="Normal"/>
    <w:qFormat/>
    <w:pPr/>
    <w:rPr/>
  </w:style>
  <w:style w:type="paragraph" w:styleId="Kolorowecieniowanieakcent31">
    <w:name w:val="Kolorowe cieniowanie — akcent 31"/>
    <w:basedOn w:val="Normal"/>
    <w:qFormat/>
    <w:pPr>
      <w:spacing w:lineRule="auto" w:line="252" w:before="20" w:after="40"/>
      <w:ind w:left="720" w:hanging="0"/>
      <w:contextualSpacing/>
      <w:jc w:val="both"/>
    </w:pPr>
    <w:rPr>
      <w:rFonts w:ascii="Calibri" w:hAnsi="Calibri" w:eastAsia="SimSun;宋体" w:cs="Calibri"/>
      <w:sz w:val="20"/>
      <w:szCs w:val="20"/>
    </w:rPr>
  </w:style>
  <w:style w:type="paragraph" w:styleId="Domylne">
    <w:name w:val="Domyślne"/>
    <w:qFormat/>
    <w:pPr>
      <w:widowControl w:val="false"/>
      <w:suppressAutoHyphens w:val="true"/>
      <w:overflowPunct w:val="true"/>
      <w:bidi w:val="0"/>
      <w:spacing w:before="0" w:after="0"/>
      <w:jc w:val="left"/>
      <w:textAlignment w:val="baseline"/>
    </w:pPr>
    <w:rPr>
      <w:rFonts w:ascii="Times New Roman" w:hAnsi="Times New Roman" w:eastAsia="Arial" w:cs="Times New Roman"/>
      <w:color w:val="auto"/>
      <w:kern w:val="2"/>
      <w:sz w:val="20"/>
      <w:szCs w:val="20"/>
      <w:lang w:val="pl-PL" w:eastAsia="zh-CN" w:bidi="ar-SA"/>
    </w:rPr>
  </w:style>
  <w:style w:type="paragraph" w:styleId="Listanumerowana21">
    <w:name w:val="Lista numerowana 21"/>
    <w:basedOn w:val="Normal"/>
    <w:qFormat/>
    <w:pPr>
      <w:spacing w:lineRule="auto" w:line="288"/>
      <w:ind w:left="992" w:hanging="567"/>
      <w:jc w:val="both"/>
    </w:pPr>
    <w:rPr>
      <w:rFonts w:ascii="Times" w:hAnsi="Times" w:cs="Times"/>
      <w:sz w:val="22"/>
    </w:rPr>
  </w:style>
  <w:style w:type="paragraph" w:styleId="Normalny">
    <w:name w:val="Normalny"/>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9">
    <w:name w:val="CM9"/>
    <w:qFormat/>
    <w:pPr>
      <w:widowControl/>
      <w:suppressAutoHyphens w:val="true"/>
      <w:bidi w:val="0"/>
      <w:spacing w:lineRule="atLeast" w:line="323" w:before="0" w:after="0"/>
      <w:jc w:val="left"/>
    </w:pPr>
    <w:rPr>
      <w:rFonts w:ascii="Calibri" w:hAnsi="Calibri" w:eastAsia="Calibri" w:cs="Times New Roman"/>
      <w:color w:val="auto"/>
      <w:kern w:val="0"/>
      <w:sz w:val="20"/>
      <w:szCs w:val="20"/>
      <w:lang w:val="pl-PL" w:eastAsia="pl-PL" w:bidi="ar-SA"/>
    </w:rPr>
  </w:style>
  <w:style w:type="paragraph" w:styleId="CM5">
    <w:name w:val="CM5"/>
    <w:qFormat/>
    <w:pPr>
      <w:widowControl/>
      <w:suppressAutoHyphens w:val="true"/>
      <w:bidi w:val="0"/>
      <w:spacing w:lineRule="atLeast" w:line="326" w:before="0" w:after="0"/>
      <w:jc w:val="left"/>
    </w:pPr>
    <w:rPr>
      <w:rFonts w:ascii="Calibri" w:hAnsi="Calibri" w:eastAsia="Calibri" w:cs="Times New Roman"/>
      <w:color w:val="auto"/>
      <w:kern w:val="0"/>
      <w:sz w:val="20"/>
      <w:szCs w:val="20"/>
      <w:lang w:val="pl-PL" w:eastAsia="pl-PL" w:bidi="ar-SA"/>
    </w:rPr>
  </w:style>
  <w:style w:type="paragraph" w:styleId="CM12">
    <w:name w:val="CM12"/>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61">
    <w:name w:val="CM61"/>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numbering" w:styleId="NoList" w:default="1">
    <w:name w:val="No List"/>
    <w:uiPriority w:val="99"/>
    <w:semiHidden/>
    <w:unhideWhenUsed/>
    <w:qFormat/>
  </w:style>
  <w:style w:type="numbering" w:styleId="Zaimportowanystyl40" w:customStyle="1">
    <w:name w:val="Zaimportowany styl 4.0"/>
    <w:qFormat/>
    <w:rsid w:val="00fb651a"/>
  </w:style>
  <w:style w:type="numbering" w:styleId="Zaimportowanystyl2" w:customStyle="1">
    <w:name w:val="Zaimportowany styl 2"/>
    <w:qFormat/>
    <w:rsid w:val="00fb651a"/>
  </w:style>
  <w:style w:type="numbering" w:styleId="WW8Num2">
    <w:name w:val="WW8Num2"/>
    <w:qFormat/>
  </w:style>
  <w:style w:type="numbering" w:styleId="WW8Num52">
    <w:name w:val="WW8Num52"/>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info@wlodawa.eu" TargetMode="External"/><Relationship Id="rId5" Type="http://schemas.openxmlformats.org/officeDocument/2006/relationships/hyperlink" Target="http://www.wlodawa.eu/" TargetMode="External"/><Relationship Id="rId6" Type="http://schemas.openxmlformats.org/officeDocument/2006/relationships/hyperlink" Target="http://www.bip.wlodawa.eu/" TargetMode="External"/><Relationship Id="rId7" Type="http://schemas.openxmlformats.org/officeDocument/2006/relationships/hyperlink" Target="https://platformazakupowa.pl/pn/wlodawa" TargetMode="External"/><Relationship Id="rId8" Type="http://schemas.openxmlformats.org/officeDocument/2006/relationships/hyperlink" Target="https://platformazakupowa.pl/pn/wlodawa"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https://sip.lex.pl/akty-prawne/dzu-dziennik-ustaw/refundacja-lekow-srodkow-spozywczych-specjalnego-przeznaczenia-17712396/art-54"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_blank" TargetMode="External"/><Relationship Id="rId19" Type="http://schemas.openxmlformats.org/officeDocument/2006/relationships/hyperlink" Target="_blank" TargetMode="External"/><Relationship Id="rId20" Type="http://schemas.openxmlformats.org/officeDocument/2006/relationships/hyperlink" Target="_blank" TargetMode="External"/><Relationship Id="rId21" Type="http://schemas.openxmlformats.org/officeDocument/2006/relationships/hyperlink" Target="_blank" TargetMode="External"/><Relationship Id="rId22" Type="http://schemas.openxmlformats.org/officeDocument/2006/relationships/hyperlink" Target="_blank" TargetMode="External"/><Relationship Id="rId23" Type="http://schemas.openxmlformats.org/officeDocument/2006/relationships/hyperlink" Target="https://platformazakupowa.pl/pn/wlodawa" TargetMode="External"/><Relationship Id="rId24"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29" Type="http://schemas.openxmlformats.org/officeDocument/2006/relationships/hyperlink" Target="https://platformazakupowa.pl/pn/wlodawa" TargetMode="External"/><Relationship Id="rId30"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36" Type="http://schemas.openxmlformats.org/officeDocument/2006/relationships/hyperlink" Target="https://platformazakupowa.pl/pn/wlodawa" TargetMode="External"/><Relationship Id="rId37"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2.xml"/><Relationship Id="rId43" Type="http://schemas.openxmlformats.org/officeDocument/2006/relationships/footer" Target="footer3.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6476</TotalTime>
  <Application>LibreOffice/7.5.0.3$Windows_X86_64 LibreOffice_project/c21113d003cd3efa8c53188764377a8272d9d6de</Application>
  <AppVersion>15.0000</AppVersion>
  <Pages>40</Pages>
  <Words>13381</Words>
  <Characters>87823</Characters>
  <CharactersWithSpaces>100818</CharactersWithSpaces>
  <Paragraphs>575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2021-12-20T14:50:00Z</dcterms:created>
  <dc:creator>adm</dc:creator>
  <dc:description/>
  <dc:language>pl-PL</dc:language>
  <cp:lastModifiedBy/>
  <cp:lastPrinted>2023-05-17T11:51:22Z</cp:lastPrinted>
  <dcterms:modified xsi:type="dcterms:W3CDTF">2023-05-17T12:10:01Z</dcterms:modified>
  <cp:revision>313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