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 w:line="276" w:lineRule="auto"/>
        <w:ind w:left="117" w:right="0" w:hanging="10"/>
        <w:jc w:val="center"/>
        <w:rPr>
          <w:rFonts w:ascii="Verdana" w:hAnsi="Verdana"/>
          <w:b/>
          <w:sz w:val="18"/>
          <w:szCs w:val="18"/>
        </w:rPr>
      </w:pPr>
    </w:p>
    <w:p>
      <w:pPr>
        <w:spacing w:after="12" w:line="276" w:lineRule="auto"/>
        <w:ind w:left="117" w:right="0" w:hanging="10"/>
        <w:jc w:val="center"/>
        <w:rPr>
          <w:rFonts w:ascii="Verdana" w:hAnsi="Verdana"/>
          <w:b/>
          <w:sz w:val="18"/>
          <w:szCs w:val="18"/>
        </w:rPr>
      </w:pPr>
    </w:p>
    <w:p>
      <w:pPr>
        <w:spacing w:after="12" w:line="276" w:lineRule="auto"/>
        <w:ind w:left="117" w:right="0" w:hanging="10"/>
        <w:jc w:val="right"/>
        <w:rPr>
          <w:rFonts w:ascii="Arial" w:hAnsi="Arial" w:cs="Arial"/>
          <w:sz w:val="22"/>
          <w:szCs w:val="18"/>
        </w:rPr>
      </w:pPr>
      <w:r>
        <w:rPr>
          <w:rFonts w:ascii="Arial" w:hAnsi="Arial" w:cs="Arial"/>
          <w:sz w:val="22"/>
          <w:szCs w:val="18"/>
        </w:rPr>
        <w:t>ZAŁĄCZNIK NR 2 DO SWZ</w:t>
      </w:r>
    </w:p>
    <w:p>
      <w:pPr>
        <w:spacing w:after="12" w:line="276" w:lineRule="auto"/>
        <w:ind w:left="117" w:right="0" w:hanging="10"/>
        <w:jc w:val="center"/>
        <w:rPr>
          <w:rFonts w:ascii="Verdana" w:hAnsi="Verdana"/>
          <w:sz w:val="18"/>
          <w:szCs w:val="18"/>
        </w:rPr>
      </w:pPr>
      <w:r>
        <w:rPr>
          <w:rFonts w:ascii="Verdana" w:hAnsi="Verdana"/>
          <w:b/>
          <w:sz w:val="22"/>
          <w:szCs w:val="18"/>
        </w:rPr>
        <w:t>OPIS PRZEDMIOTU ZAMÓWIENIA</w:t>
      </w:r>
    </w:p>
    <w:p>
      <w:pPr>
        <w:spacing w:after="0" w:line="276" w:lineRule="auto"/>
        <w:ind w:left="83" w:right="0" w:firstLine="0"/>
        <w:jc w:val="center"/>
        <w:rPr>
          <w:rFonts w:ascii="Verdana" w:hAnsi="Verdana"/>
          <w:sz w:val="18"/>
          <w:szCs w:val="18"/>
        </w:rPr>
      </w:pPr>
    </w:p>
    <w:p>
      <w:pPr>
        <w:spacing w:after="0" w:line="276" w:lineRule="auto"/>
        <w:ind w:left="122" w:right="0" w:firstLine="0"/>
        <w:rPr>
          <w:rFonts w:ascii="Verdana" w:hAnsi="Verdana"/>
          <w:sz w:val="18"/>
          <w:szCs w:val="18"/>
        </w:rPr>
      </w:pPr>
      <w:r>
        <w:rPr>
          <w:rFonts w:ascii="Verdana" w:hAnsi="Verdana"/>
          <w:color w:val="00000A"/>
          <w:sz w:val="18"/>
          <w:szCs w:val="18"/>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pPr>
        <w:spacing w:after="16" w:line="276" w:lineRule="auto"/>
        <w:ind w:left="0" w:right="32" w:firstLine="122"/>
        <w:rPr>
          <w:rFonts w:ascii="Verdana" w:hAnsi="Verdana"/>
          <w:sz w:val="18"/>
          <w:szCs w:val="18"/>
        </w:rPr>
      </w:pPr>
      <w:r>
        <w:rPr>
          <w:rFonts w:ascii="Verdana" w:hAnsi="Verdana"/>
          <w:color w:val="00000A"/>
          <w:sz w:val="18"/>
          <w:szCs w:val="18"/>
        </w:rPr>
        <w:t xml:space="preserve">Strony ustalają następujące definicje: </w:t>
      </w:r>
    </w:p>
    <w:p>
      <w:pPr>
        <w:pStyle w:val="Akapitzlist"/>
        <w:numPr>
          <w:ilvl w:val="0"/>
          <w:numId w:val="2"/>
        </w:numPr>
        <w:spacing w:after="16" w:line="276" w:lineRule="auto"/>
        <w:ind w:right="32"/>
        <w:rPr>
          <w:rFonts w:ascii="Verdana" w:hAnsi="Verdana"/>
          <w:sz w:val="18"/>
          <w:szCs w:val="18"/>
        </w:rPr>
      </w:pPr>
      <w:r>
        <w:rPr>
          <w:rFonts w:ascii="Verdana" w:hAnsi="Verdana"/>
          <w:b/>
          <w:color w:val="00000A"/>
          <w:sz w:val="18"/>
          <w:szCs w:val="18"/>
        </w:rPr>
        <w:t>Zamawiający</w:t>
      </w:r>
      <w:r>
        <w:rPr>
          <w:rFonts w:ascii="Verdana" w:hAnsi="Verdana"/>
          <w:color w:val="00000A"/>
          <w:sz w:val="18"/>
          <w:szCs w:val="18"/>
        </w:rPr>
        <w:t xml:space="preserve"> – oznacza</w:t>
      </w:r>
      <w:r>
        <w:t xml:space="preserve"> </w:t>
      </w:r>
      <w:r>
        <w:rPr>
          <w:rFonts w:ascii="Verdana" w:hAnsi="Verdana"/>
          <w:sz w:val="18"/>
          <w:szCs w:val="18"/>
        </w:rPr>
        <w:t>Zespół Opieki Zdrowotnej w Brodnicy im. R. Czerwiakowskiego</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 xml:space="preserve">Wykonawca </w:t>
      </w:r>
      <w:r>
        <w:rPr>
          <w:rFonts w:ascii="Verdana" w:hAnsi="Verdana" w:cs="Verdana"/>
          <w:color w:val="00000A"/>
          <w:sz w:val="18"/>
          <w:szCs w:val="18"/>
        </w:rPr>
        <w:t>- podmiot, który ubiega się o udzielenie zamówienia, złożył ofertę albo zawarł umowę w sprawie zamówienia publicznego.</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 xml:space="preserve">Strony </w:t>
      </w:r>
      <w:r>
        <w:rPr>
          <w:rFonts w:ascii="Verdana" w:hAnsi="Verdana" w:cs="Verdana"/>
          <w:color w:val="00000A"/>
          <w:sz w:val="18"/>
          <w:szCs w:val="18"/>
        </w:rPr>
        <w:t>- podmioty bezpośrednio uczestniczące w umowie zawiązanej na podstawie rozstrzygnięcia podstępowania dotyczącego zamówienia publicznego.</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System informatyczny</w:t>
      </w:r>
      <w:r>
        <w:rPr>
          <w:rFonts w:ascii="Verdana" w:hAnsi="Verdana" w:cs="Verdana"/>
          <w:color w:val="00000A"/>
          <w:sz w:val="18"/>
          <w:szCs w:val="18"/>
        </w:rPr>
        <w:t xml:space="preserve"> - zbiór powiązanych ze sobą elementów, którego funkcją jest przetwarzanie danych przy użyciu techniki komputerowej. W skład systemu wchodzą najczęściej elementy: Sprzęt komputerowy, Oprogramowanie narzędziowe, Oprogramowanie dziedzinowe.</w:t>
      </w:r>
    </w:p>
    <w:p>
      <w:pPr>
        <w:widowControl w:val="0"/>
        <w:numPr>
          <w:ilvl w:val="0"/>
          <w:numId w:val="2"/>
        </w:numPr>
        <w:suppressAutoHyphens/>
        <w:overflowPunct w:val="0"/>
        <w:spacing w:after="0" w:line="276" w:lineRule="auto"/>
        <w:ind w:right="0"/>
        <w:contextualSpacing/>
        <w:rPr>
          <w:rFonts w:ascii="Verdana" w:hAnsi="Verdana" w:cs="Verdana"/>
          <w:b/>
          <w:color w:val="00000A"/>
          <w:sz w:val="18"/>
          <w:szCs w:val="18"/>
        </w:rPr>
      </w:pPr>
      <w:r>
        <w:rPr>
          <w:rFonts w:ascii="Verdana" w:hAnsi="Verdana" w:cs="Verdana"/>
          <w:b/>
          <w:color w:val="00000A"/>
          <w:sz w:val="18"/>
          <w:szCs w:val="18"/>
        </w:rPr>
        <w:t>Zintegrowany System Informatyczny</w:t>
      </w:r>
      <w:r>
        <w:rPr>
          <w:rFonts w:ascii="Verdana" w:hAnsi="Verdana" w:cs="Verdana"/>
          <w:color w:val="00000A"/>
          <w:sz w:val="18"/>
          <w:szCs w:val="18"/>
        </w:rPr>
        <w:t xml:space="preserve"> (zwany dalej </w:t>
      </w:r>
      <w:r>
        <w:rPr>
          <w:rFonts w:ascii="Verdana" w:hAnsi="Verdana" w:cs="Verdana"/>
          <w:b/>
          <w:bCs/>
          <w:color w:val="00000A"/>
          <w:sz w:val="18"/>
          <w:szCs w:val="18"/>
        </w:rPr>
        <w:t>Szpitalnym</w:t>
      </w:r>
      <w:r>
        <w:rPr>
          <w:rFonts w:ascii="Verdana" w:hAnsi="Verdana" w:cs="Verdana"/>
          <w:color w:val="00000A"/>
          <w:sz w:val="18"/>
          <w:szCs w:val="18"/>
        </w:rPr>
        <w:t xml:space="preserve"> </w:t>
      </w:r>
      <w:r>
        <w:rPr>
          <w:rFonts w:ascii="Verdana" w:hAnsi="Verdana" w:cs="Verdana"/>
          <w:b/>
          <w:color w:val="00000A"/>
          <w:sz w:val="18"/>
          <w:szCs w:val="18"/>
        </w:rPr>
        <w:t>System Informatyczny</w:t>
      </w:r>
      <w:r>
        <w:rPr>
          <w:rFonts w:ascii="Verdana" w:hAnsi="Verdana" w:cs="Verdana"/>
          <w:color w:val="00000A"/>
          <w:sz w:val="18"/>
          <w:szCs w:val="18"/>
        </w:rPr>
        <w:t xml:space="preserve"> </w:t>
      </w:r>
      <w:r>
        <w:rPr>
          <w:rFonts w:ascii="Verdana" w:hAnsi="Verdana" w:cs="Verdana"/>
          <w:b/>
          <w:color w:val="00000A"/>
          <w:sz w:val="18"/>
          <w:szCs w:val="18"/>
        </w:rPr>
        <w:t>SSI</w:t>
      </w:r>
      <w:r>
        <w:rPr>
          <w:rFonts w:ascii="Verdana" w:hAnsi="Verdana" w:cs="Verdana"/>
          <w:color w:val="00000A"/>
          <w:sz w:val="18"/>
          <w:szCs w:val="18"/>
        </w:rPr>
        <w:t xml:space="preserve"> lub </w:t>
      </w:r>
      <w:r>
        <w:rPr>
          <w:rFonts w:ascii="Verdana" w:hAnsi="Verdana" w:cs="Verdana"/>
          <w:b/>
          <w:color w:val="00000A"/>
          <w:sz w:val="18"/>
          <w:szCs w:val="18"/>
        </w:rPr>
        <w:t>Systemem</w:t>
      </w:r>
      <w:r>
        <w:rPr>
          <w:rFonts w:ascii="Verdana" w:hAnsi="Verdana" w:cs="Verdana"/>
          <w:color w:val="00000A"/>
          <w:sz w:val="18"/>
          <w:szCs w:val="18"/>
        </w:rPr>
        <w:t>) – system informatyczny wspomagający zarządzanie, w skład którego wchodzą zintegrowane systemy/moduły dziedzinowego oprogramowania aplikacyjnego (np. HIS, RIS, PACS, LIS itd.), działający na Sprzęcie Komputerowym z wykorzystaniem Oprogramowania Narzędziowego, udostępniający funkcjonalności opisane w dalszej części dokumentu.</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 xml:space="preserve">HIS- </w:t>
      </w:r>
      <w:r>
        <w:rPr>
          <w:rFonts w:ascii="Verdana" w:hAnsi="Verdana" w:cs="Verdana"/>
          <w:bCs/>
          <w:color w:val="00000A"/>
          <w:sz w:val="18"/>
          <w:szCs w:val="18"/>
        </w:rPr>
        <w:t>(</w:t>
      </w:r>
      <w:proofErr w:type="spellStart"/>
      <w:r>
        <w:rPr>
          <w:rFonts w:ascii="Verdana" w:hAnsi="Verdana" w:cs="Verdana"/>
          <w:bCs/>
          <w:color w:val="00000A"/>
          <w:sz w:val="18"/>
          <w:szCs w:val="18"/>
        </w:rPr>
        <w:t>Hospital</w:t>
      </w:r>
      <w:proofErr w:type="spellEnd"/>
      <w:r>
        <w:rPr>
          <w:rFonts w:ascii="Verdana" w:hAnsi="Verdana" w:cs="Verdana"/>
          <w:bCs/>
          <w:color w:val="00000A"/>
          <w:sz w:val="18"/>
          <w:szCs w:val="18"/>
        </w:rPr>
        <w:t xml:space="preserve"> Information System) dostarczane w ramach niniejszego postępowania oprogramowanie służące do rejestrowania, przechowywania, przetwarzania i udostępniania danych związanych z realizacją procesu diagnostyczno- terapeutycznego w Szpitalu.</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Umowa</w:t>
      </w:r>
      <w:r>
        <w:rPr>
          <w:rFonts w:ascii="Verdana" w:hAnsi="Verdana" w:cs="Verdana"/>
          <w:color w:val="00000A"/>
          <w:sz w:val="18"/>
          <w:szCs w:val="18"/>
        </w:rPr>
        <w:t xml:space="preserve"> – umowa zawarta w ramach realizacji OPZ.</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 xml:space="preserve">SWZ </w:t>
      </w:r>
      <w:r>
        <w:rPr>
          <w:rFonts w:ascii="Verdana" w:hAnsi="Verdana" w:cs="Verdana"/>
          <w:color w:val="00000A"/>
          <w:sz w:val="18"/>
          <w:szCs w:val="18"/>
        </w:rPr>
        <w:t>– Specyfikacja Warunków Zamówienia.</w:t>
      </w:r>
    </w:p>
    <w:p>
      <w:pPr>
        <w:widowControl w:val="0"/>
        <w:numPr>
          <w:ilvl w:val="0"/>
          <w:numId w:val="2"/>
        </w:numPr>
        <w:suppressAutoHyphens/>
        <w:overflowPunct w:val="0"/>
        <w:spacing w:after="0" w:line="276" w:lineRule="auto"/>
        <w:ind w:right="0"/>
        <w:contextualSpacing/>
        <w:rPr>
          <w:rFonts w:ascii="Verdana" w:hAnsi="Verdana"/>
          <w:sz w:val="18"/>
          <w:szCs w:val="18"/>
        </w:rPr>
      </w:pPr>
      <w:bookmarkStart w:id="0" w:name="_GoBack"/>
      <w:r>
        <w:rPr>
          <w:rFonts w:ascii="Verdana" w:hAnsi="Verdana" w:cs="Verdana"/>
          <w:b/>
          <w:color w:val="00000A"/>
          <w:sz w:val="18"/>
          <w:szCs w:val="18"/>
        </w:rPr>
        <w:t>Gwaranc</w:t>
      </w:r>
      <w:bookmarkEnd w:id="0"/>
      <w:r>
        <w:rPr>
          <w:rFonts w:ascii="Verdana" w:hAnsi="Verdana" w:cs="Verdana"/>
          <w:b/>
          <w:color w:val="00000A"/>
          <w:sz w:val="18"/>
          <w:szCs w:val="18"/>
        </w:rPr>
        <w:t>ja i Serwis Oprogramowania</w:t>
      </w:r>
      <w:r>
        <w:rPr>
          <w:rFonts w:ascii="Verdana" w:hAnsi="Verdana" w:cs="Verdana"/>
          <w:color w:val="00000A"/>
          <w:sz w:val="18"/>
          <w:szCs w:val="18"/>
        </w:rPr>
        <w:t xml:space="preserve"> – Oznacza całokształt świadczonych przez Wykonawcę usług (gwarancyjno-serwisowych) związanych z zapewnieniem poprawnej pracy SSI i pozostałych składników będących przedmiotem zamówienia, szczegółowo określone w SWZ oraz w projekcie umowy. </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Sprzęt Komputerowy</w:t>
      </w:r>
      <w:r>
        <w:rPr>
          <w:rFonts w:ascii="Verdana" w:hAnsi="Verdana" w:cs="Verdana"/>
          <w:color w:val="00000A"/>
          <w:sz w:val="18"/>
          <w:szCs w:val="18"/>
        </w:rPr>
        <w:t xml:space="preserve"> – zestaw komputerów (w tym stacje robocze, sprzęt serwerowy) i oprzyrządowania, na którym pracuje HIS.</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Stacja Robocza</w:t>
      </w:r>
      <w:r>
        <w:rPr>
          <w:rFonts w:ascii="Verdana" w:hAnsi="Verdana" w:cs="Verdana"/>
          <w:color w:val="00000A"/>
          <w:sz w:val="18"/>
          <w:szCs w:val="18"/>
        </w:rPr>
        <w:t xml:space="preserve">  -  oznacza komputer klasy PC lub/i terminal z monitorem, na którym pracuje HIS.</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Oprogramowanie Narzędziowe</w:t>
      </w:r>
      <w:r>
        <w:rPr>
          <w:rFonts w:ascii="Verdana" w:hAnsi="Verdana" w:cs="Verdana"/>
          <w:color w:val="00000A"/>
          <w:sz w:val="18"/>
          <w:szCs w:val="18"/>
        </w:rPr>
        <w:t xml:space="preserve"> – elementy oprogramowania zainstalowane na Sprzęcie Komputerowym, obejmujące w szczególności:</w:t>
      </w:r>
    </w:p>
    <w:p>
      <w:pPr>
        <w:pStyle w:val="Akapitzlist"/>
        <w:widowControl w:val="0"/>
        <w:numPr>
          <w:ilvl w:val="0"/>
          <w:numId w:val="3"/>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 xml:space="preserve">systemy operacyjne (np. Windows, LINUX, UNIX), </w:t>
      </w:r>
    </w:p>
    <w:p>
      <w:pPr>
        <w:pStyle w:val="Akapitzlist"/>
        <w:widowControl w:val="0"/>
        <w:numPr>
          <w:ilvl w:val="0"/>
          <w:numId w:val="3"/>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 xml:space="preserve">system zarządzania bazą danych (SZBD), zwane też oprogramowaniem bazodanowym (np. MSSQL, Oracle), </w:t>
      </w:r>
    </w:p>
    <w:p>
      <w:pPr>
        <w:pStyle w:val="Akapitzlist"/>
        <w:widowControl w:val="0"/>
        <w:numPr>
          <w:ilvl w:val="0"/>
          <w:numId w:val="3"/>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oprogramowanie służące do administracji i zarządzania Sprzętem Komputerowym, systemem operacyjnym i systemem zarządzania bazą danych,</w:t>
      </w:r>
    </w:p>
    <w:p>
      <w:pPr>
        <w:pStyle w:val="Akapitzlist"/>
        <w:widowControl w:val="0"/>
        <w:numPr>
          <w:ilvl w:val="0"/>
          <w:numId w:val="3"/>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 xml:space="preserve">oprogramowanie komunikacyjne umożliwiające podłączenie stacji dostępowych do serwera bazy; </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Instruktaże Administratora(ów)</w:t>
      </w:r>
      <w:r>
        <w:rPr>
          <w:rFonts w:ascii="Verdana" w:hAnsi="Verdana" w:cs="Verdana"/>
          <w:color w:val="00000A"/>
          <w:sz w:val="18"/>
          <w:szCs w:val="18"/>
        </w:rPr>
        <w:t xml:space="preserve"> – instruktaże użytkowników wskazanych przez Zamawiającego do pełnienia funkcji administratora HIS,</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 xml:space="preserve">Wdrożenie </w:t>
      </w:r>
      <w:r>
        <w:rPr>
          <w:rFonts w:ascii="Verdana" w:hAnsi="Verdana" w:cs="Verdana"/>
          <w:color w:val="00000A"/>
          <w:sz w:val="18"/>
          <w:szCs w:val="18"/>
        </w:rPr>
        <w:t xml:space="preserve">– etap cyklu życia systemu informatycznego, polegający na instalacji i dostosowaniu oprogramowania do wymagań Zamawiającego, a także migracji danych oraz testowaniu i uruchomieniu systemu informatycznego. Podstawowe etapy procesu wdrożenia: </w:t>
      </w:r>
    </w:p>
    <w:p>
      <w:pPr>
        <w:pStyle w:val="Akapitzlist"/>
        <w:widowControl w:val="0"/>
        <w:numPr>
          <w:ilvl w:val="0"/>
          <w:numId w:val="4"/>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Przygotowanie dokumentacji,</w:t>
      </w:r>
    </w:p>
    <w:p>
      <w:pPr>
        <w:pStyle w:val="Akapitzlist"/>
        <w:widowControl w:val="0"/>
        <w:numPr>
          <w:ilvl w:val="0"/>
          <w:numId w:val="4"/>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lastRenderedPageBreak/>
        <w:t>Przygotowanie i skonfigurowanie infrastruktury technicznej,</w:t>
      </w:r>
    </w:p>
    <w:p>
      <w:pPr>
        <w:pStyle w:val="Akapitzlist"/>
        <w:widowControl w:val="0"/>
        <w:numPr>
          <w:ilvl w:val="0"/>
          <w:numId w:val="4"/>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Zainstalowanie i skonfigurowanie systemu informatycznego do eksploatacji,</w:t>
      </w:r>
    </w:p>
    <w:p>
      <w:pPr>
        <w:pStyle w:val="Akapitzlist"/>
        <w:widowControl w:val="0"/>
        <w:numPr>
          <w:ilvl w:val="0"/>
          <w:numId w:val="4"/>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Testowanie systemu,</w:t>
      </w:r>
    </w:p>
    <w:p>
      <w:pPr>
        <w:pStyle w:val="Akapitzlist"/>
        <w:widowControl w:val="0"/>
        <w:numPr>
          <w:ilvl w:val="0"/>
          <w:numId w:val="4"/>
        </w:numPr>
        <w:suppressAutoHyphens/>
        <w:overflowPunct w:val="0"/>
        <w:spacing w:after="0" w:line="276" w:lineRule="auto"/>
        <w:ind w:right="0"/>
        <w:rPr>
          <w:rFonts w:ascii="Verdana" w:hAnsi="Verdana"/>
          <w:sz w:val="18"/>
          <w:szCs w:val="18"/>
        </w:rPr>
      </w:pPr>
      <w:r>
        <w:rPr>
          <w:rFonts w:ascii="Verdana" w:hAnsi="Verdana" w:cs="Verdana"/>
          <w:color w:val="00000A"/>
          <w:sz w:val="18"/>
          <w:szCs w:val="18"/>
        </w:rPr>
        <w:t>Uruchomienie produkcyjne systemu.</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bCs/>
          <w:color w:val="00000A"/>
          <w:sz w:val="18"/>
          <w:szCs w:val="18"/>
        </w:rPr>
        <w:t>Szczegółowym Harmonogramem Realizacji Zadania</w:t>
      </w:r>
      <w:r>
        <w:rPr>
          <w:rFonts w:ascii="Verdana" w:hAnsi="Verdana" w:cs="Verdana"/>
          <w:bCs/>
          <w:color w:val="00000A"/>
          <w:sz w:val="18"/>
          <w:szCs w:val="18"/>
        </w:rPr>
        <w:t xml:space="preserve"> </w:t>
      </w:r>
      <w:r>
        <w:rPr>
          <w:rFonts w:ascii="Verdana" w:hAnsi="Verdana" w:cs="Verdana"/>
          <w:color w:val="00000A"/>
          <w:sz w:val="18"/>
          <w:szCs w:val="18"/>
        </w:rPr>
        <w:t>– szczegółowy terminarz realizacji przedmiotu Umowy przygotowany przez Wykonawcę w terminie 14 dni roboczych od podpisania umowy, na podstawie terminów realizacji zamówienia ujętych w Umowie, i zaakceptowany przez Zamawiającego.</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Zadanie</w:t>
      </w:r>
      <w:r>
        <w:rPr>
          <w:rFonts w:ascii="Verdana" w:hAnsi="Verdana" w:cs="Verdana"/>
          <w:color w:val="00000A"/>
          <w:sz w:val="18"/>
          <w:szCs w:val="18"/>
        </w:rPr>
        <w:t xml:space="preserve">  –  przedmiot  zamówienia  (przedmiot  Umowy)  wynikający  łącznie  z  SWZ,  Oferty  Wykonawcy, Umowy.</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Etap</w:t>
      </w:r>
      <w:r>
        <w:rPr>
          <w:rFonts w:ascii="Verdana" w:hAnsi="Verdana" w:cs="Verdana"/>
          <w:color w:val="00000A"/>
          <w:sz w:val="18"/>
          <w:szCs w:val="18"/>
        </w:rPr>
        <w:t xml:space="preserve"> – główny element części Zadania, stanowiący funkcjonalną całość, podlegająca odrębnym odbiorom. Każdy Etap stanowi odrębną część (rozdział) niniejszego OPZ.</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Obszar</w:t>
      </w:r>
      <w:r>
        <w:rPr>
          <w:rFonts w:ascii="Verdana" w:hAnsi="Verdana" w:cs="Verdana"/>
          <w:color w:val="00000A"/>
          <w:sz w:val="18"/>
          <w:szCs w:val="18"/>
        </w:rPr>
        <w:t xml:space="preserve"> systemu – stanowiący funkcjonalną całość fragment HIS używany przy definiowaniu faz i Etapów (np. Obszar Oddział dla systemu HIS,). </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bCs/>
          <w:color w:val="00000A"/>
          <w:sz w:val="18"/>
          <w:szCs w:val="18"/>
        </w:rPr>
        <w:t>Elektroniczny System Zgłoszeń (ESZ)</w:t>
      </w:r>
      <w:r>
        <w:rPr>
          <w:rFonts w:ascii="Verdana" w:hAnsi="Verdana" w:cs="Verdana"/>
          <w:color w:val="00000A"/>
          <w:sz w:val="18"/>
          <w:szCs w:val="18"/>
        </w:rPr>
        <w:t xml:space="preserve"> – narzędzie posiadające interfejs WWW służące do rejestracji zgłoszeń (potencjalnych problemów, usterek) oraz kontroli ich cyklu życia (tzw. </w:t>
      </w:r>
      <w:proofErr w:type="spellStart"/>
      <w:r>
        <w:rPr>
          <w:rFonts w:ascii="Verdana" w:hAnsi="Verdana" w:cs="Verdana"/>
          <w:color w:val="00000A"/>
          <w:sz w:val="18"/>
          <w:szCs w:val="18"/>
        </w:rPr>
        <w:t>Issue</w:t>
      </w:r>
      <w:proofErr w:type="spellEnd"/>
      <w:r>
        <w:rPr>
          <w:rFonts w:ascii="Verdana" w:hAnsi="Verdana" w:cs="Verdana"/>
          <w:color w:val="00000A"/>
          <w:sz w:val="18"/>
          <w:szCs w:val="18"/>
        </w:rPr>
        <w:t xml:space="preserve"> </w:t>
      </w:r>
      <w:proofErr w:type="spellStart"/>
      <w:r>
        <w:rPr>
          <w:rFonts w:ascii="Verdana" w:hAnsi="Verdana" w:cs="Verdana"/>
          <w:color w:val="00000A"/>
          <w:sz w:val="18"/>
          <w:szCs w:val="18"/>
        </w:rPr>
        <w:t>Tracking</w:t>
      </w:r>
      <w:proofErr w:type="spellEnd"/>
      <w:r>
        <w:rPr>
          <w:rFonts w:ascii="Verdana" w:hAnsi="Verdana" w:cs="Verdana"/>
          <w:color w:val="00000A"/>
          <w:sz w:val="18"/>
          <w:szCs w:val="18"/>
        </w:rPr>
        <w:t xml:space="preserve"> System lub </w:t>
      </w:r>
      <w:proofErr w:type="spellStart"/>
      <w:r>
        <w:rPr>
          <w:rFonts w:ascii="Verdana" w:hAnsi="Verdana" w:cs="Verdana"/>
          <w:color w:val="00000A"/>
          <w:sz w:val="18"/>
          <w:szCs w:val="18"/>
        </w:rPr>
        <w:t>Defect</w:t>
      </w:r>
      <w:proofErr w:type="spellEnd"/>
      <w:r>
        <w:rPr>
          <w:rFonts w:ascii="Verdana" w:hAnsi="Verdana" w:cs="Verdana"/>
          <w:color w:val="00000A"/>
          <w:sz w:val="18"/>
          <w:szCs w:val="18"/>
        </w:rPr>
        <w:t xml:space="preserve"> </w:t>
      </w:r>
      <w:proofErr w:type="spellStart"/>
      <w:r>
        <w:rPr>
          <w:rFonts w:ascii="Verdana" w:hAnsi="Verdana" w:cs="Verdana"/>
          <w:color w:val="00000A"/>
          <w:sz w:val="18"/>
          <w:szCs w:val="18"/>
        </w:rPr>
        <w:t>Tracking</w:t>
      </w:r>
      <w:proofErr w:type="spellEnd"/>
      <w:r>
        <w:rPr>
          <w:rFonts w:ascii="Verdana" w:hAnsi="Verdana" w:cs="Verdana"/>
          <w:color w:val="00000A"/>
          <w:sz w:val="18"/>
          <w:szCs w:val="18"/>
        </w:rPr>
        <w:t xml:space="preserve"> System). System ESZ  udostępniony zostanie przez Wykonawcę dla Zamawiającego na czas realizacji przedmiotu zamówienia. </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Protokół Odbiorczy</w:t>
      </w:r>
      <w:r>
        <w:rPr>
          <w:rFonts w:ascii="Verdana" w:hAnsi="Verdana" w:cs="Verdana"/>
          <w:color w:val="00000A"/>
          <w:sz w:val="18"/>
          <w:szCs w:val="18"/>
        </w:rPr>
        <w:t xml:space="preserve"> – protokół przygotowany przez Wykonawcę, będący potwierdzeniem przyjęcia przez Zamawiającego wykonanych przez Wykonawcę prac będących przedmiotem poszczególnych Etapów lub Faz. </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Protokół Uzgodnień</w:t>
      </w:r>
      <w:r>
        <w:rPr>
          <w:rFonts w:ascii="Verdana" w:hAnsi="Verdana" w:cs="Verdana"/>
          <w:color w:val="00000A"/>
          <w:sz w:val="18"/>
          <w:szCs w:val="18"/>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 xml:space="preserve">Protokół Rozbieżności – </w:t>
      </w:r>
      <w:r>
        <w:rPr>
          <w:rFonts w:ascii="Verdana" w:hAnsi="Verdana" w:cs="Verdana"/>
          <w:color w:val="00000A"/>
          <w:sz w:val="18"/>
          <w:szCs w:val="18"/>
        </w:rPr>
        <w:t>dokument przygotowany przez Zamawiającego, zawierający precyzyjnie wyspecyfikowane przyczyny mające źródło w Systemie i wskazując nieprawidłowo działające funkcje Systemu, wraz z opisem tych nieprawidłowości, uniemożliwiające podpisanie Protokołu Odbiorczego.</w:t>
      </w:r>
    </w:p>
    <w:p>
      <w:pPr>
        <w:widowControl w:val="0"/>
        <w:numPr>
          <w:ilvl w:val="0"/>
          <w:numId w:val="2"/>
        </w:numPr>
        <w:suppressAutoHyphens/>
        <w:overflowPunct w:val="0"/>
        <w:spacing w:after="0" w:line="276" w:lineRule="auto"/>
        <w:ind w:right="0"/>
        <w:contextualSpacing/>
        <w:rPr>
          <w:rFonts w:ascii="Verdana" w:hAnsi="Verdana"/>
          <w:sz w:val="18"/>
          <w:szCs w:val="18"/>
        </w:rPr>
      </w:pPr>
      <w:r>
        <w:rPr>
          <w:rFonts w:ascii="Verdana" w:hAnsi="Verdana" w:cs="Verdana"/>
          <w:b/>
          <w:color w:val="00000A"/>
          <w:sz w:val="18"/>
          <w:szCs w:val="18"/>
        </w:rPr>
        <w:t>Dzień Roboczy</w:t>
      </w:r>
      <w:r>
        <w:rPr>
          <w:rFonts w:ascii="Verdana" w:hAnsi="Verdana" w:cs="Verdana"/>
          <w:color w:val="00000A"/>
          <w:sz w:val="18"/>
          <w:szCs w:val="18"/>
        </w:rPr>
        <w:t xml:space="preserve"> –  każdy dzień od poniedziałku do piątku z wyłączeniem sobót i dni ustawowo wolnych od pracy.</w:t>
      </w:r>
    </w:p>
    <w:p>
      <w:pPr>
        <w:spacing w:after="0" w:line="276" w:lineRule="auto"/>
        <w:ind w:left="122" w:right="0" w:firstLine="0"/>
        <w:jc w:val="left"/>
        <w:rPr>
          <w:rFonts w:ascii="Verdana" w:hAnsi="Verdana"/>
          <w:color w:val="00000A"/>
          <w:sz w:val="18"/>
          <w:szCs w:val="18"/>
        </w:rPr>
      </w:pPr>
      <w:r>
        <w:rPr>
          <w:rFonts w:ascii="Verdana" w:hAnsi="Verdana"/>
          <w:color w:val="00000A"/>
          <w:sz w:val="18"/>
          <w:szCs w:val="18"/>
        </w:rPr>
        <w:t xml:space="preserve"> </w:t>
      </w:r>
    </w:p>
    <w:p>
      <w:pPr>
        <w:spacing w:after="0" w:line="276" w:lineRule="auto"/>
        <w:ind w:left="122" w:right="0" w:firstLine="0"/>
        <w:jc w:val="left"/>
        <w:rPr>
          <w:rFonts w:ascii="Verdana" w:hAnsi="Verdana"/>
          <w:sz w:val="18"/>
          <w:szCs w:val="18"/>
        </w:rPr>
      </w:pPr>
    </w:p>
    <w:p>
      <w:pPr>
        <w:spacing w:after="0" w:line="276" w:lineRule="auto"/>
        <w:ind w:right="0"/>
        <w:jc w:val="left"/>
        <w:rPr>
          <w:rFonts w:ascii="Verdana" w:hAnsi="Verdana"/>
          <w:b/>
          <w:bCs/>
          <w:sz w:val="18"/>
          <w:szCs w:val="18"/>
          <w:u w:val="single"/>
        </w:rPr>
      </w:pPr>
      <w:r>
        <w:rPr>
          <w:rFonts w:ascii="Verdana" w:hAnsi="Verdana"/>
          <w:b/>
          <w:bCs/>
          <w:sz w:val="18"/>
          <w:szCs w:val="18"/>
          <w:u w:val="single"/>
        </w:rPr>
        <w:t xml:space="preserve">SZCZEGÓŁOWY OPIS PRZEDMIOTU ZAMÓWIENIA </w:t>
      </w:r>
    </w:p>
    <w:p>
      <w:pPr>
        <w:spacing w:after="0" w:line="276" w:lineRule="auto"/>
        <w:ind w:left="122" w:right="0" w:firstLine="0"/>
        <w:jc w:val="left"/>
        <w:rPr>
          <w:rFonts w:ascii="Verdana" w:hAnsi="Verdana"/>
          <w:sz w:val="18"/>
          <w:szCs w:val="18"/>
        </w:rPr>
      </w:pPr>
      <w:r>
        <w:rPr>
          <w:rFonts w:ascii="Verdana" w:hAnsi="Verdana"/>
          <w:color w:val="00000A"/>
          <w:sz w:val="18"/>
          <w:szCs w:val="18"/>
        </w:rPr>
        <w:t xml:space="preserve"> </w:t>
      </w:r>
    </w:p>
    <w:p>
      <w:pPr>
        <w:spacing w:after="22" w:line="276" w:lineRule="auto"/>
        <w:ind w:right="0"/>
        <w:jc w:val="left"/>
        <w:rPr>
          <w:rFonts w:ascii="Verdana" w:hAnsi="Verdana"/>
          <w:sz w:val="18"/>
          <w:szCs w:val="18"/>
        </w:rPr>
      </w:pPr>
      <w:r>
        <w:rPr>
          <w:rFonts w:ascii="Verdana" w:hAnsi="Verdana"/>
          <w:sz w:val="18"/>
          <w:szCs w:val="18"/>
        </w:rPr>
        <w:t>Przedmiot zamówienia składa z następujących etapów:</w:t>
      </w:r>
    </w:p>
    <w:p>
      <w:pPr>
        <w:pStyle w:val="Akapitzlist"/>
        <w:numPr>
          <w:ilvl w:val="0"/>
          <w:numId w:val="1"/>
        </w:numPr>
        <w:spacing w:line="276" w:lineRule="auto"/>
        <w:rPr>
          <w:rFonts w:ascii="Verdana" w:hAnsi="Verdana"/>
          <w:sz w:val="18"/>
          <w:szCs w:val="18"/>
        </w:rPr>
      </w:pPr>
      <w:r>
        <w:rPr>
          <w:rFonts w:ascii="Verdana" w:hAnsi="Verdana"/>
          <w:sz w:val="18"/>
          <w:szCs w:val="18"/>
        </w:rPr>
        <w:t>Rozbudowa infrastruktury sprzętowej wraz z dostawą oprogramowania</w:t>
      </w:r>
    </w:p>
    <w:p>
      <w:pPr>
        <w:pStyle w:val="Akapitzlist"/>
        <w:numPr>
          <w:ilvl w:val="0"/>
          <w:numId w:val="1"/>
        </w:numPr>
        <w:spacing w:after="0" w:line="276" w:lineRule="auto"/>
        <w:rPr>
          <w:rFonts w:ascii="Verdana" w:hAnsi="Verdana"/>
          <w:bCs/>
          <w:iCs/>
          <w:sz w:val="18"/>
          <w:szCs w:val="18"/>
        </w:rPr>
      </w:pPr>
      <w:r>
        <w:rPr>
          <w:rFonts w:ascii="Verdana" w:hAnsi="Verdana"/>
          <w:sz w:val="18"/>
          <w:szCs w:val="18"/>
        </w:rPr>
        <w:t xml:space="preserve">Rozbudowa posiadanego przez Zamawiającego systemu HIS </w:t>
      </w:r>
    </w:p>
    <w:p>
      <w:pPr>
        <w:spacing w:after="0" w:line="276" w:lineRule="auto"/>
        <w:ind w:firstLine="0"/>
        <w:rPr>
          <w:rFonts w:ascii="Verdana" w:hAnsi="Verdana"/>
          <w:bCs/>
          <w:iCs/>
          <w:sz w:val="18"/>
          <w:szCs w:val="18"/>
        </w:rPr>
      </w:pPr>
    </w:p>
    <w:p>
      <w:pPr>
        <w:spacing w:after="0" w:line="276" w:lineRule="auto"/>
        <w:ind w:firstLine="0"/>
        <w:rPr>
          <w:rFonts w:ascii="Verdana" w:hAnsi="Verdana"/>
          <w:bCs/>
          <w:iCs/>
          <w:sz w:val="18"/>
          <w:szCs w:val="18"/>
        </w:rPr>
      </w:pPr>
      <w:r>
        <w:rPr>
          <w:rFonts w:ascii="Verdana" w:hAnsi="Verdana"/>
          <w:bCs/>
          <w:iCs/>
          <w:sz w:val="18"/>
          <w:szCs w:val="18"/>
        </w:rPr>
        <w:t>Wymienione elementy będą dostarczone  w ramach zamówienia publicznego realizującego projekt o nazwie:</w:t>
      </w:r>
    </w:p>
    <w:p>
      <w:pPr>
        <w:spacing w:after="0" w:line="276" w:lineRule="auto"/>
        <w:ind w:firstLine="0"/>
        <w:rPr>
          <w:rFonts w:ascii="Verdana" w:hAnsi="Verdana"/>
          <w:bCs/>
          <w:iCs/>
          <w:sz w:val="18"/>
          <w:szCs w:val="18"/>
        </w:rPr>
      </w:pPr>
      <w:r>
        <w:rPr>
          <w:rFonts w:ascii="Verdana" w:hAnsi="Verdana"/>
          <w:bCs/>
          <w:iCs/>
          <w:sz w:val="18"/>
          <w:szCs w:val="18"/>
        </w:rPr>
        <w:t xml:space="preserve">Inwestycja modernizacji posiadanego systemu ZSI wraz z dostarczeniem oprogramowania systemowego i sprzętu modernizującego zasoby serwerowni oraz budowy sieci </w:t>
      </w:r>
      <w:proofErr w:type="spellStart"/>
      <w:r>
        <w:rPr>
          <w:rFonts w:ascii="Verdana" w:hAnsi="Verdana"/>
          <w:bCs/>
          <w:iCs/>
          <w:sz w:val="18"/>
          <w:szCs w:val="18"/>
        </w:rPr>
        <w:t>WiFi</w:t>
      </w:r>
      <w:proofErr w:type="spellEnd"/>
      <w:r>
        <w:rPr>
          <w:rFonts w:ascii="Verdana" w:hAnsi="Verdana"/>
          <w:bCs/>
          <w:iCs/>
          <w:sz w:val="18"/>
          <w:szCs w:val="18"/>
        </w:rPr>
        <w:t xml:space="preserve"> w ramach projektu: „Budowa kujawsko-pomorskiego systemu udostępniania elektronicznej dokumentacji medycznej – II etap” realizowanego w ramach Regionalnego Programu Operacyjnego Województwa Kujawsko-Pomorskiego na lata 2014-2020, Oś priorytetowa 2. Cyfrowy region, Działanie 2.1 Wysoka dostępność i jakość e-usług publicznych.</w:t>
      </w:r>
    </w:p>
    <w:p>
      <w:pPr>
        <w:spacing w:after="0" w:line="276" w:lineRule="auto"/>
        <w:ind w:left="122" w:right="0" w:firstLine="0"/>
        <w:jc w:val="left"/>
        <w:rPr>
          <w:rFonts w:ascii="Verdana" w:hAnsi="Verdana"/>
          <w:sz w:val="18"/>
          <w:szCs w:val="18"/>
        </w:rPr>
      </w:pPr>
    </w:p>
    <w:p>
      <w:pPr>
        <w:spacing w:line="276" w:lineRule="auto"/>
        <w:ind w:right="34"/>
        <w:rPr>
          <w:rFonts w:ascii="Verdana" w:hAnsi="Verdana"/>
          <w:sz w:val="18"/>
          <w:szCs w:val="18"/>
        </w:rPr>
      </w:pPr>
    </w:p>
    <w:p>
      <w:pPr>
        <w:spacing w:line="276" w:lineRule="auto"/>
        <w:ind w:right="34"/>
        <w:rPr>
          <w:rFonts w:ascii="Verdana" w:hAnsi="Verdana"/>
          <w:b/>
          <w:bCs/>
          <w:sz w:val="18"/>
          <w:szCs w:val="18"/>
          <w:u w:val="single"/>
        </w:rPr>
      </w:pPr>
      <w:r>
        <w:rPr>
          <w:rFonts w:ascii="Verdana" w:hAnsi="Verdana"/>
          <w:b/>
          <w:bCs/>
          <w:sz w:val="18"/>
          <w:szCs w:val="18"/>
          <w:u w:val="single"/>
        </w:rPr>
        <w:lastRenderedPageBreak/>
        <w:t>OPIS RÓWNOWAŻNOŚCI:</w:t>
      </w:r>
    </w:p>
    <w:p>
      <w:pPr>
        <w:spacing w:after="13" w:line="276" w:lineRule="auto"/>
        <w:ind w:right="0"/>
        <w:contextualSpacing/>
        <w:rPr>
          <w:rFonts w:ascii="Verdana" w:eastAsia="Cambria" w:hAnsi="Verdana"/>
          <w:color w:val="000000" w:themeColor="text1"/>
          <w:sz w:val="18"/>
          <w:szCs w:val="18"/>
        </w:rPr>
      </w:pPr>
      <w:r>
        <w:rPr>
          <w:rFonts w:ascii="Verdana" w:eastAsia="Cambria" w:hAnsi="Verdana"/>
          <w:color w:val="000000" w:themeColor="text1"/>
          <w:sz w:val="18"/>
          <w:szCs w:val="18"/>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Pr>
          <w:rFonts w:ascii="Verdana" w:eastAsia="Cambria" w:hAnsi="Verdana"/>
          <w:color w:val="000000" w:themeColor="text1"/>
          <w:sz w:val="18"/>
          <w:szCs w:val="18"/>
        </w:rPr>
        <w:t>Pzp</w:t>
      </w:r>
      <w:proofErr w:type="spellEnd"/>
      <w:r>
        <w:rPr>
          <w:rFonts w:ascii="Verdana" w:eastAsia="Cambria" w:hAnsi="Verdana"/>
          <w:color w:val="000000" w:themeColor="text1"/>
          <w:sz w:val="18"/>
          <w:szCs w:val="18"/>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pPr>
        <w:spacing w:after="13" w:line="276" w:lineRule="auto"/>
        <w:ind w:right="0"/>
        <w:contextualSpacing/>
        <w:rPr>
          <w:rFonts w:ascii="Verdana" w:eastAsia="Cambria" w:hAnsi="Verdana"/>
          <w:color w:val="000000" w:themeColor="text1"/>
          <w:sz w:val="18"/>
          <w:szCs w:val="18"/>
        </w:rPr>
      </w:pPr>
      <w:r>
        <w:rPr>
          <w:rFonts w:ascii="Verdana" w:eastAsia="Cambria" w:hAnsi="Verdana"/>
          <w:color w:val="000000" w:themeColor="text1"/>
          <w:sz w:val="18"/>
          <w:szCs w:val="18"/>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pPr>
        <w:spacing w:after="13" w:line="276" w:lineRule="auto"/>
        <w:ind w:right="0"/>
        <w:contextualSpacing/>
        <w:rPr>
          <w:rFonts w:ascii="Verdana" w:eastAsia="Cambria" w:hAnsi="Verdana"/>
          <w:color w:val="000000" w:themeColor="text1"/>
          <w:sz w:val="18"/>
          <w:szCs w:val="18"/>
        </w:rPr>
      </w:pPr>
      <w:r>
        <w:rPr>
          <w:rFonts w:ascii="Verdana" w:eastAsia="Cambria" w:hAnsi="Verdana"/>
          <w:color w:val="000000" w:themeColor="text1"/>
          <w:sz w:val="18"/>
          <w:szCs w:val="18"/>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pPr>
        <w:spacing w:after="13" w:line="276" w:lineRule="auto"/>
        <w:ind w:right="0"/>
        <w:contextualSpacing/>
        <w:rPr>
          <w:rFonts w:ascii="Verdana" w:eastAsia="Cambria" w:hAnsi="Verdana"/>
          <w:color w:val="000000" w:themeColor="text1"/>
          <w:sz w:val="18"/>
          <w:szCs w:val="18"/>
        </w:rPr>
      </w:pPr>
      <w:r>
        <w:rPr>
          <w:rFonts w:ascii="Verdana" w:eastAsia="Cambria" w:hAnsi="Verdana"/>
          <w:color w:val="000000" w:themeColor="text1"/>
          <w:sz w:val="18"/>
          <w:szCs w:val="18"/>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pPr>
        <w:spacing w:line="276" w:lineRule="auto"/>
        <w:ind w:right="34"/>
        <w:rPr>
          <w:rFonts w:ascii="Verdana" w:hAnsi="Verdana"/>
          <w:sz w:val="18"/>
          <w:szCs w:val="18"/>
        </w:rPr>
      </w:pPr>
      <w:r>
        <w:rPr>
          <w:rFonts w:ascii="Verdana" w:eastAsia="Cambria" w:hAnsi="Verdana"/>
          <w:color w:val="000000" w:themeColor="text1"/>
          <w:sz w:val="18"/>
          <w:szCs w:val="18"/>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Pr>
          <w:rFonts w:ascii="Verdana" w:hAnsi="Verdana"/>
          <w:sz w:val="18"/>
          <w:szCs w:val="18"/>
        </w:rPr>
        <w:t xml:space="preserve"> </w:t>
      </w:r>
    </w:p>
    <w:p>
      <w:pPr>
        <w:spacing w:before="240" w:after="0" w:line="276" w:lineRule="auto"/>
        <w:ind w:left="0" w:right="0" w:firstLine="0"/>
        <w:rPr>
          <w:rFonts w:ascii="Verdana" w:hAnsi="Verdana"/>
          <w:sz w:val="18"/>
          <w:szCs w:val="18"/>
        </w:rPr>
      </w:pPr>
      <w:r>
        <w:rPr>
          <w:rFonts w:ascii="Verdana" w:hAnsi="Verdana"/>
          <w:sz w:val="18"/>
          <w:szCs w:val="18"/>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pPr>
        <w:spacing w:before="240" w:after="0" w:line="276" w:lineRule="auto"/>
        <w:ind w:left="0" w:right="0" w:firstLine="0"/>
        <w:rPr>
          <w:rFonts w:ascii="Verdana" w:hAnsi="Verdana"/>
          <w:sz w:val="18"/>
          <w:szCs w:val="18"/>
        </w:rPr>
      </w:pPr>
      <w:r>
        <w:rPr>
          <w:rFonts w:ascii="Verdana" w:hAnsi="Verdana"/>
          <w:sz w:val="18"/>
          <w:szCs w:val="18"/>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pPr>
        <w:spacing w:before="240" w:after="0" w:line="276" w:lineRule="auto"/>
        <w:ind w:left="0" w:right="0" w:firstLine="0"/>
        <w:rPr>
          <w:rFonts w:ascii="Verdana" w:hAnsi="Verdana"/>
          <w:sz w:val="18"/>
          <w:szCs w:val="18"/>
        </w:rPr>
      </w:pPr>
    </w:p>
    <w:p>
      <w:pPr>
        <w:spacing w:after="0" w:line="276" w:lineRule="auto"/>
        <w:ind w:left="0" w:right="0" w:firstLine="0"/>
        <w:rPr>
          <w:rFonts w:ascii="Verdana" w:hAnsi="Verdana"/>
          <w:b/>
          <w:bCs/>
          <w:sz w:val="18"/>
          <w:szCs w:val="18"/>
          <w:u w:val="single"/>
        </w:rPr>
      </w:pPr>
    </w:p>
    <w:p>
      <w:pPr>
        <w:spacing w:after="0" w:line="276" w:lineRule="auto"/>
        <w:ind w:left="0" w:right="0" w:firstLine="0"/>
        <w:jc w:val="left"/>
        <w:rPr>
          <w:rFonts w:ascii="Verdana" w:hAnsi="Verdana"/>
          <w:sz w:val="18"/>
          <w:szCs w:val="18"/>
        </w:rPr>
      </w:pPr>
      <w:r>
        <w:rPr>
          <w:rFonts w:ascii="Verdana" w:hAnsi="Verdana"/>
          <w:b/>
          <w:bCs/>
          <w:sz w:val="18"/>
          <w:szCs w:val="18"/>
          <w:u w:val="single"/>
        </w:rPr>
        <w:t>I.  ROZBUDOWA INFRASTRUKTURY SPRZĘTOWEJ WRAZ Z DOSTAWĄ OPROGRAMOWANIA</w:t>
      </w:r>
    </w:p>
    <w:p>
      <w:pPr>
        <w:spacing w:after="0" w:line="276" w:lineRule="auto"/>
        <w:ind w:left="127" w:right="182"/>
        <w:rPr>
          <w:rFonts w:ascii="Verdana" w:hAnsi="Verdana"/>
          <w:sz w:val="18"/>
          <w:szCs w:val="18"/>
        </w:rPr>
      </w:pPr>
      <w:r>
        <w:rPr>
          <w:rFonts w:ascii="Verdana" w:hAnsi="Verdana"/>
          <w:sz w:val="18"/>
          <w:szCs w:val="18"/>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pPr>
        <w:spacing w:after="0" w:line="276" w:lineRule="auto"/>
        <w:ind w:left="127" w:right="182"/>
        <w:rPr>
          <w:rFonts w:ascii="Verdana" w:hAnsi="Verdana"/>
          <w:sz w:val="18"/>
          <w:szCs w:val="18"/>
        </w:rPr>
      </w:pPr>
      <w:r>
        <w:rPr>
          <w:rFonts w:ascii="Verdana" w:hAnsi="Verdana"/>
          <w:sz w:val="18"/>
          <w:szCs w:val="18"/>
        </w:rPr>
        <w:t xml:space="preserve">Wymagania ogólne: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Całość dostarczanego sprzętu i oprogramowania standardowego musi pochodzić z autoryzowanego kanału sprzedaży producenta.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Całość dostarczanego rozwiązania, tzn. każde z dostarczonych urządzeń, musi być nowe, wcześniej nieużywane, rok produkcji nie starszy niż 2021. </w:t>
      </w:r>
    </w:p>
    <w:p>
      <w:pPr>
        <w:numPr>
          <w:ilvl w:val="0"/>
          <w:numId w:val="75"/>
        </w:numPr>
        <w:spacing w:after="0" w:line="276" w:lineRule="auto"/>
        <w:ind w:left="494" w:right="182"/>
        <w:rPr>
          <w:rFonts w:ascii="Verdana" w:hAnsi="Verdana"/>
          <w:sz w:val="18"/>
          <w:szCs w:val="18"/>
        </w:rPr>
      </w:pPr>
      <w:r>
        <w:rPr>
          <w:rFonts w:ascii="Verdana" w:hAnsi="Verdana"/>
          <w:sz w:val="18"/>
          <w:szCs w:val="18"/>
        </w:rPr>
        <w:lastRenderedPageBreak/>
        <w:t xml:space="preserve">Całość dostarczanego rozwiązania, tzn. każde z dostarczonych urządzeń, w którym nie wskazano szczegółowych warunków gwarancji, musi być objęte minimum 24 miesięczną gwarancją jeśli w opisie parametrów nie wskazano inaczej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Urządzenia i ich komponenty muszą być oznakowane przez producentów w taki sposób, aby możliwa była identyfikacja zarówno produktu, producenta, jak i daty produkcji danego elementu.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Do każdego urządzenia musi być dostarczony komplet standardowej dokumentacji dla użytkownika w formie papierowej lub elektronicznej w języku polskim lub angielskim.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Wszystkie urządzenia muszą posiadać oznakowanie CE.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Wszystkie dostarczane urządzenia na dzień złożenia oferty nie mogą być w fazie end-of-life (EOL)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Wszystkie urządzenia muszą współpracować z siecią energetyczną o parametrach: 230 V ± 10%, 50 </w:t>
      </w:r>
      <w:proofErr w:type="spellStart"/>
      <w:r>
        <w:rPr>
          <w:rFonts w:ascii="Verdana" w:hAnsi="Verdana"/>
          <w:sz w:val="18"/>
          <w:szCs w:val="18"/>
        </w:rPr>
        <w:t>Hz</w:t>
      </w:r>
      <w:proofErr w:type="spellEnd"/>
      <w:r>
        <w:rPr>
          <w:rFonts w:ascii="Verdana" w:hAnsi="Verdana"/>
          <w:sz w:val="18"/>
          <w:szCs w:val="18"/>
        </w:rPr>
        <w:t xml:space="preserve">.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Wymagane jest, aby infrastruktura sprzętowa była gotowym produktem posiadającym nazwę handlową i złożonym z zamkniętej, ściśle zdefiniowanej listy komponentów posiadających odpowiednie numery katalogowe. </w:t>
      </w:r>
    </w:p>
    <w:p>
      <w:pPr>
        <w:numPr>
          <w:ilvl w:val="0"/>
          <w:numId w:val="75"/>
        </w:numPr>
        <w:spacing w:after="0" w:line="276" w:lineRule="auto"/>
        <w:ind w:left="494" w:right="182"/>
        <w:rPr>
          <w:rFonts w:ascii="Verdana" w:hAnsi="Verdana"/>
          <w:sz w:val="18"/>
          <w:szCs w:val="18"/>
        </w:rPr>
      </w:pPr>
      <w:r>
        <w:rPr>
          <w:rFonts w:ascii="Verdana" w:hAnsi="Verdana"/>
          <w:sz w:val="18"/>
          <w:szCs w:val="18"/>
        </w:rPr>
        <w:t xml:space="preserve">Dostarczane oprogramowanie musi zostać dostarczone w najnowszej stabilnej wersji, która uzyskała certyfikację producenta dostarczanego sprzętu (jeśli podlega certyfikacji). </w:t>
      </w:r>
    </w:p>
    <w:p>
      <w:pPr>
        <w:spacing w:before="240" w:after="0" w:line="276" w:lineRule="auto"/>
        <w:ind w:left="0" w:right="0" w:firstLine="0"/>
        <w:rPr>
          <w:rFonts w:ascii="Verdana" w:hAnsi="Verdana"/>
          <w:sz w:val="18"/>
          <w:szCs w:val="18"/>
        </w:rPr>
      </w:pPr>
    </w:p>
    <w:p>
      <w:pPr>
        <w:pStyle w:val="Akapitzlist"/>
        <w:numPr>
          <w:ilvl w:val="0"/>
          <w:numId w:val="83"/>
        </w:numPr>
        <w:spacing w:line="276" w:lineRule="auto"/>
        <w:jc w:val="left"/>
        <w:rPr>
          <w:rFonts w:ascii="Verdana" w:hAnsi="Verdana"/>
          <w:sz w:val="18"/>
          <w:szCs w:val="18"/>
        </w:rPr>
      </w:pPr>
      <w:r>
        <w:rPr>
          <w:rFonts w:ascii="Verdana" w:hAnsi="Verdana"/>
          <w:b/>
          <w:sz w:val="18"/>
          <w:szCs w:val="18"/>
        </w:rPr>
        <w:t>Dostawa urządzeń do budowy sieci Wi-Fi – 1 komplet</w:t>
      </w:r>
      <w:r>
        <w:rPr>
          <w:rFonts w:ascii="Verdana" w:hAnsi="Verdana"/>
          <w:b/>
          <w:sz w:val="18"/>
          <w:szCs w:val="18"/>
        </w:rPr>
        <w:br/>
      </w:r>
      <w:r>
        <w:rPr>
          <w:rFonts w:ascii="Verdana" w:hAnsi="Verdana"/>
          <w:b/>
          <w:sz w:val="18"/>
          <w:szCs w:val="18"/>
        </w:rPr>
        <w:br/>
      </w:r>
      <w:r>
        <w:rPr>
          <w:rFonts w:ascii="Verdana" w:hAnsi="Verdana"/>
          <w:sz w:val="18"/>
          <w:szCs w:val="18"/>
        </w:rPr>
        <w:t>Zamawiający oczekuje dostawy urządzeń do zbudowania i uruchomienia zarządzanej centralnie sieci Wi-Fi w Budynku Głównym ZOZ Brodnica. Infrastruktura kablowa niezbędna do podłączenia punktu dostępowego będzie dostarczona przez Zamawiającego.</w:t>
      </w:r>
      <w:r>
        <w:rPr>
          <w:rFonts w:ascii="Verdana" w:hAnsi="Verdana"/>
          <w:sz w:val="18"/>
          <w:szCs w:val="18"/>
        </w:rPr>
        <w:br/>
      </w:r>
      <w:r>
        <w:rPr>
          <w:rFonts w:ascii="Verdana" w:hAnsi="Verdana"/>
          <w:sz w:val="18"/>
          <w:szCs w:val="18"/>
        </w:rPr>
        <w:br/>
      </w:r>
      <w:r>
        <w:rPr>
          <w:rFonts w:ascii="Verdana" w:hAnsi="Verdana"/>
          <w:b/>
          <w:sz w:val="18"/>
          <w:szCs w:val="18"/>
        </w:rPr>
        <w:t>W ramach postępowania należy dostarczyć:</w:t>
      </w:r>
      <w:r>
        <w:rPr>
          <w:rFonts w:ascii="Verdana" w:hAnsi="Verdana"/>
          <w:b/>
          <w:sz w:val="18"/>
          <w:szCs w:val="18"/>
        </w:rPr>
        <w:br/>
      </w:r>
      <w:r>
        <w:rPr>
          <w:rFonts w:ascii="Verdana" w:hAnsi="Verdana"/>
          <w:b/>
          <w:sz w:val="18"/>
          <w:szCs w:val="18"/>
        </w:rPr>
        <w:br/>
        <w:t>a) Przełącznik dostępowy Sieci 28 port POE - 1 szt.:</w:t>
      </w:r>
    </w:p>
    <w:tbl>
      <w:tblPr>
        <w:tblStyle w:val="Zwykatabela31"/>
        <w:tblW w:w="5000" w:type="pct"/>
        <w:tblLook w:val="04A0" w:firstRow="1" w:lastRow="0" w:firstColumn="1" w:lastColumn="0" w:noHBand="0" w:noVBand="1"/>
      </w:tblPr>
      <w:tblGrid>
        <w:gridCol w:w="1310"/>
        <w:gridCol w:w="3295"/>
        <w:gridCol w:w="4683"/>
      </w:tblGrid>
      <w:tr>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 xml:space="preserve">LP </w:t>
            </w:r>
          </w:p>
        </w:tc>
        <w:tc>
          <w:tcPr>
            <w:tcW w:w="1774" w:type="pct"/>
          </w:tcPr>
          <w:p>
            <w:pPr>
              <w:spacing w:after="0" w:line="276" w:lineRule="auto"/>
              <w:ind w:left="4" w:right="0"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Nazwa </w:t>
            </w:r>
          </w:p>
        </w:tc>
        <w:tc>
          <w:tcPr>
            <w:tcW w:w="2522" w:type="pct"/>
          </w:tcPr>
          <w:p>
            <w:pPr>
              <w:spacing w:after="0" w:line="276" w:lineRule="auto"/>
              <w:ind w:left="1" w:right="0"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Parametr </w:t>
            </w:r>
          </w:p>
        </w:tc>
      </w:tr>
      <w:tr>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Rozmiar </w:t>
            </w:r>
          </w:p>
        </w:tc>
        <w:tc>
          <w:tcPr>
            <w:tcW w:w="2522" w:type="pct"/>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19-inch, 1U </w:t>
            </w:r>
          </w:p>
        </w:tc>
      </w:tr>
      <w:tr>
        <w:trPr>
          <w:trHeight w:val="538"/>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2.</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Interfejsy </w:t>
            </w:r>
          </w:p>
        </w:tc>
        <w:tc>
          <w:tcPr>
            <w:tcW w:w="2522" w:type="pct"/>
          </w:tcPr>
          <w:p>
            <w:pPr>
              <w:numPr>
                <w:ilvl w:val="0"/>
                <w:numId w:val="76"/>
              </w:numPr>
              <w:spacing w:after="53" w:line="276" w:lineRule="auto"/>
              <w:ind w:right="0" w:hanging="168"/>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24 x 10/100/1000Mbps POE </w:t>
            </w:r>
          </w:p>
          <w:p>
            <w:pPr>
              <w:numPr>
                <w:ilvl w:val="0"/>
                <w:numId w:val="76"/>
              </w:numPr>
              <w:spacing w:after="0" w:line="276" w:lineRule="auto"/>
              <w:ind w:right="0" w:hanging="168"/>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4 x 10G SFP+ </w:t>
            </w:r>
          </w:p>
        </w:tc>
      </w:tr>
      <w:tr>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3.</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Konsola </w:t>
            </w:r>
          </w:p>
        </w:tc>
        <w:tc>
          <w:tcPr>
            <w:tcW w:w="2522" w:type="pct"/>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port konsolowy RJ45 </w:t>
            </w:r>
          </w:p>
        </w:tc>
      </w:tr>
      <w:tr>
        <w:trPr>
          <w:trHeight w:val="274"/>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4.</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Standardy </w:t>
            </w:r>
            <w:proofErr w:type="spellStart"/>
            <w:r>
              <w:rPr>
                <w:rFonts w:ascii="Verdana" w:hAnsi="Verdana"/>
                <w:sz w:val="18"/>
                <w:szCs w:val="18"/>
              </w:rPr>
              <w:t>PoE</w:t>
            </w:r>
            <w:proofErr w:type="spellEnd"/>
            <w:r>
              <w:rPr>
                <w:rFonts w:ascii="Verdana" w:hAnsi="Verdana"/>
                <w:sz w:val="18"/>
                <w:szCs w:val="18"/>
              </w:rPr>
              <w:t xml:space="preserve"> </w:t>
            </w:r>
          </w:p>
        </w:tc>
        <w:tc>
          <w:tcPr>
            <w:tcW w:w="2522" w:type="pct"/>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IEEE 802.3af, 802.3at </w:t>
            </w:r>
          </w:p>
        </w:tc>
      </w:tr>
      <w:tr>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5.</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roofErr w:type="spellStart"/>
            <w:r>
              <w:rPr>
                <w:rFonts w:ascii="Verdana" w:hAnsi="Verdana"/>
                <w:sz w:val="18"/>
                <w:szCs w:val="18"/>
              </w:rPr>
              <w:t>Budrzet</w:t>
            </w:r>
            <w:proofErr w:type="spellEnd"/>
            <w:r>
              <w:rPr>
                <w:rFonts w:ascii="Verdana" w:hAnsi="Verdana"/>
                <w:sz w:val="18"/>
                <w:szCs w:val="18"/>
              </w:rPr>
              <w:t xml:space="preserve"> Mocy POE </w:t>
            </w:r>
          </w:p>
        </w:tc>
        <w:tc>
          <w:tcPr>
            <w:tcW w:w="2522" w:type="pct"/>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Max.  370 W </w:t>
            </w:r>
          </w:p>
        </w:tc>
      </w:tr>
      <w:tr>
        <w:trPr>
          <w:trHeight w:val="274"/>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6.</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Przełączanie </w:t>
            </w:r>
          </w:p>
        </w:tc>
        <w:tc>
          <w:tcPr>
            <w:tcW w:w="2522" w:type="pct"/>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128 </w:t>
            </w:r>
            <w:proofErr w:type="spellStart"/>
            <w:r>
              <w:rPr>
                <w:rFonts w:ascii="Verdana" w:hAnsi="Verdana"/>
                <w:sz w:val="18"/>
                <w:szCs w:val="18"/>
              </w:rPr>
              <w:t>Gbps</w:t>
            </w:r>
            <w:proofErr w:type="spellEnd"/>
            <w:r>
              <w:rPr>
                <w:rFonts w:ascii="Verdana" w:hAnsi="Verdana"/>
                <w:sz w:val="18"/>
                <w:szCs w:val="18"/>
              </w:rPr>
              <w:t xml:space="preserve">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7.</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roofErr w:type="spellStart"/>
            <w:r>
              <w:rPr>
                <w:rFonts w:ascii="Verdana" w:hAnsi="Verdana"/>
                <w:sz w:val="18"/>
                <w:szCs w:val="18"/>
              </w:rPr>
              <w:t>Stackowanie</w:t>
            </w:r>
            <w:proofErr w:type="spellEnd"/>
            <w:r>
              <w:rPr>
                <w:rFonts w:ascii="Verdana" w:hAnsi="Verdana"/>
                <w:sz w:val="18"/>
                <w:szCs w:val="18"/>
              </w:rPr>
              <w:t xml:space="preserve"> </w:t>
            </w:r>
          </w:p>
        </w:tc>
        <w:tc>
          <w:tcPr>
            <w:tcW w:w="2522" w:type="pct"/>
          </w:tcPr>
          <w:p>
            <w:pPr>
              <w:spacing w:after="0" w:line="276" w:lineRule="auto"/>
              <w:ind w:left="1" w:right="1796"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Fizyczne: do 6 </w:t>
            </w:r>
            <w:proofErr w:type="spellStart"/>
            <w:r>
              <w:rPr>
                <w:rFonts w:ascii="Verdana" w:hAnsi="Verdana"/>
                <w:sz w:val="18"/>
                <w:szCs w:val="18"/>
              </w:rPr>
              <w:t>urzadzeń</w:t>
            </w:r>
            <w:proofErr w:type="spellEnd"/>
            <w:r>
              <w:rPr>
                <w:rFonts w:ascii="Verdana" w:hAnsi="Verdana"/>
                <w:sz w:val="18"/>
                <w:szCs w:val="18"/>
              </w:rPr>
              <w:t xml:space="preserve"> </w:t>
            </w:r>
            <w:proofErr w:type="spellStart"/>
            <w:r>
              <w:rPr>
                <w:rFonts w:ascii="Verdana" w:hAnsi="Verdana"/>
                <w:sz w:val="18"/>
                <w:szCs w:val="18"/>
              </w:rPr>
              <w:t>Virtualne</w:t>
            </w:r>
            <w:proofErr w:type="spellEnd"/>
            <w:r>
              <w:rPr>
                <w:rFonts w:ascii="Verdana" w:hAnsi="Verdana"/>
                <w:sz w:val="18"/>
                <w:szCs w:val="18"/>
              </w:rPr>
              <w:t xml:space="preserve">: Do 32 </w:t>
            </w:r>
            <w:proofErr w:type="spellStart"/>
            <w:r>
              <w:rPr>
                <w:rFonts w:ascii="Verdana" w:hAnsi="Verdana"/>
                <w:sz w:val="18"/>
                <w:szCs w:val="18"/>
              </w:rPr>
              <w:t>urzadzeń</w:t>
            </w:r>
            <w:proofErr w:type="spellEnd"/>
            <w:r>
              <w:rPr>
                <w:rFonts w:ascii="Verdana" w:hAnsi="Verdana"/>
                <w:sz w:val="18"/>
                <w:szCs w:val="18"/>
              </w:rPr>
              <w:t xml:space="preserve"> </w:t>
            </w:r>
          </w:p>
        </w:tc>
      </w:tr>
      <w:tr>
        <w:trPr>
          <w:trHeight w:val="274"/>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8.</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Tablica Mac </w:t>
            </w:r>
            <w:proofErr w:type="spellStart"/>
            <w:r>
              <w:rPr>
                <w:rFonts w:ascii="Verdana" w:hAnsi="Verdana"/>
                <w:sz w:val="18"/>
                <w:szCs w:val="18"/>
              </w:rPr>
              <w:t>Address</w:t>
            </w:r>
            <w:proofErr w:type="spellEnd"/>
            <w:r>
              <w:rPr>
                <w:rFonts w:ascii="Verdana" w:hAnsi="Verdana"/>
                <w:sz w:val="18"/>
                <w:szCs w:val="18"/>
              </w:rPr>
              <w:t xml:space="preserve"> </w:t>
            </w:r>
          </w:p>
        </w:tc>
        <w:tc>
          <w:tcPr>
            <w:tcW w:w="2522" w:type="pct"/>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min 16K </w:t>
            </w:r>
          </w:p>
        </w:tc>
      </w:tr>
      <w:tr>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9.</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roofErr w:type="spellStart"/>
            <w:r>
              <w:rPr>
                <w:rFonts w:ascii="Verdana" w:hAnsi="Verdana"/>
                <w:sz w:val="18"/>
                <w:szCs w:val="18"/>
              </w:rPr>
              <w:t>Spanning</w:t>
            </w:r>
            <w:proofErr w:type="spellEnd"/>
            <w:r>
              <w:rPr>
                <w:rFonts w:ascii="Verdana" w:hAnsi="Verdana"/>
                <w:sz w:val="18"/>
                <w:szCs w:val="18"/>
              </w:rPr>
              <w:t xml:space="preserve"> </w:t>
            </w:r>
            <w:proofErr w:type="spellStart"/>
            <w:r>
              <w:rPr>
                <w:rFonts w:ascii="Verdana" w:hAnsi="Verdana"/>
                <w:sz w:val="18"/>
                <w:szCs w:val="18"/>
              </w:rPr>
              <w:t>Tree</w:t>
            </w:r>
            <w:proofErr w:type="spellEnd"/>
            <w:r>
              <w:rPr>
                <w:rFonts w:ascii="Verdana" w:hAnsi="Verdana"/>
                <w:sz w:val="18"/>
                <w:szCs w:val="18"/>
              </w:rPr>
              <w:t xml:space="preserve"> </w:t>
            </w:r>
          </w:p>
        </w:tc>
        <w:tc>
          <w:tcPr>
            <w:tcW w:w="2522" w:type="pct"/>
          </w:tcPr>
          <w:p>
            <w:pPr>
              <w:spacing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802.1D STP </w:t>
            </w:r>
          </w:p>
          <w:p>
            <w:pPr>
              <w:spacing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802.1s MSTP </w:t>
            </w:r>
          </w:p>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802.1w RSTP  </w:t>
            </w:r>
          </w:p>
        </w:tc>
      </w:tr>
      <w:tr>
        <w:trPr>
          <w:trHeight w:val="274"/>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10.</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Agregacja linków </w:t>
            </w:r>
          </w:p>
        </w:tc>
        <w:tc>
          <w:tcPr>
            <w:tcW w:w="2522" w:type="pct"/>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802.3ad </w:t>
            </w: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11.</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roofErr w:type="spellStart"/>
            <w:r>
              <w:rPr>
                <w:rFonts w:ascii="Verdana" w:hAnsi="Verdana"/>
                <w:sz w:val="18"/>
                <w:szCs w:val="18"/>
              </w:rPr>
              <w:t>QoS</w:t>
            </w:r>
            <w:proofErr w:type="spellEnd"/>
            <w:r>
              <w:rPr>
                <w:rFonts w:ascii="Verdana" w:hAnsi="Verdana"/>
                <w:sz w:val="18"/>
                <w:szCs w:val="18"/>
              </w:rPr>
              <w:t xml:space="preserve"> </w:t>
            </w:r>
          </w:p>
        </w:tc>
        <w:tc>
          <w:tcPr>
            <w:tcW w:w="2522" w:type="pct"/>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min 802.1p </w:t>
            </w:r>
            <w:proofErr w:type="spellStart"/>
            <w:r>
              <w:rPr>
                <w:rFonts w:ascii="Verdana" w:hAnsi="Verdana"/>
                <w:sz w:val="18"/>
                <w:szCs w:val="18"/>
              </w:rPr>
              <w:t>priority</w:t>
            </w:r>
            <w:proofErr w:type="spellEnd"/>
            <w:r>
              <w:rPr>
                <w:rFonts w:ascii="Verdana" w:hAnsi="Verdana"/>
                <w:sz w:val="18"/>
                <w:szCs w:val="18"/>
              </w:rPr>
              <w:t xml:space="preserve"> </w:t>
            </w:r>
          </w:p>
        </w:tc>
      </w:tr>
      <w:tr>
        <w:trPr>
          <w:trHeight w:val="276"/>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12.</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roofErr w:type="spellStart"/>
            <w:r>
              <w:rPr>
                <w:rFonts w:ascii="Verdana" w:hAnsi="Verdana"/>
                <w:sz w:val="18"/>
                <w:szCs w:val="18"/>
              </w:rPr>
              <w:t>Vlan</w:t>
            </w:r>
            <w:proofErr w:type="spellEnd"/>
            <w:r>
              <w:rPr>
                <w:rFonts w:ascii="Verdana" w:hAnsi="Verdana"/>
                <w:sz w:val="18"/>
                <w:szCs w:val="18"/>
              </w:rPr>
              <w:t xml:space="preserve"> </w:t>
            </w:r>
          </w:p>
        </w:tc>
        <w:tc>
          <w:tcPr>
            <w:tcW w:w="2522" w:type="pct"/>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min 4K </w:t>
            </w:r>
          </w:p>
        </w:tc>
      </w:tr>
      <w:tr>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lastRenderedPageBreak/>
              <w:t>13.</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Typ VLAN </w:t>
            </w:r>
          </w:p>
        </w:tc>
        <w:tc>
          <w:tcPr>
            <w:tcW w:w="2522" w:type="pct"/>
          </w:tcPr>
          <w:p>
            <w:pPr>
              <w:spacing w:after="53"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GVRP </w:t>
            </w:r>
          </w:p>
          <w:p>
            <w:pPr>
              <w:spacing w:after="0" w:line="276" w:lineRule="auto"/>
              <w:ind w:left="1" w:right="2362"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 oparciu o adresację MAC w oparciu o port w oparciu o protokół  </w:t>
            </w:r>
          </w:p>
        </w:tc>
      </w:tr>
      <w:tr>
        <w:trPr>
          <w:trHeight w:val="802"/>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14.</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Routing </w:t>
            </w:r>
          </w:p>
        </w:tc>
        <w:tc>
          <w:tcPr>
            <w:tcW w:w="2522" w:type="pct"/>
          </w:tcPr>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ARP-256 Static ARP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Default Routing </w:t>
            </w:r>
          </w:p>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Static Routing </w:t>
            </w:r>
          </w:p>
        </w:tc>
      </w:tr>
      <w:tr>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15.</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Bezpieczeństwo </w:t>
            </w:r>
          </w:p>
        </w:tc>
        <w:tc>
          <w:tcPr>
            <w:tcW w:w="2522" w:type="pct"/>
          </w:tcPr>
          <w:p>
            <w:pPr>
              <w:spacing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Broadcast/Multicast/Unicast Storm Control </w:t>
            </w:r>
          </w:p>
          <w:p>
            <w:pPr>
              <w:spacing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Dynamic ARP Inspection </w:t>
            </w:r>
          </w:p>
          <w:p>
            <w:pPr>
              <w:spacing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D-Link Safeguard Engine </w:t>
            </w:r>
          </w:p>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DHCP Server Screening </w:t>
            </w:r>
          </w:p>
        </w:tc>
      </w:tr>
      <w:tr>
        <w:trPr>
          <w:trHeight w:val="276"/>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16.</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Tablica Routingu </w:t>
            </w:r>
          </w:p>
        </w:tc>
        <w:tc>
          <w:tcPr>
            <w:tcW w:w="2522" w:type="pct"/>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IPv4 - min 64 wpisów statycznych </w:t>
            </w:r>
          </w:p>
        </w:tc>
      </w:tr>
      <w:tr>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17.</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ACL </w:t>
            </w:r>
          </w:p>
        </w:tc>
        <w:tc>
          <w:tcPr>
            <w:tcW w:w="2522" w:type="pct"/>
          </w:tcPr>
          <w:p>
            <w:pPr>
              <w:spacing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roofErr w:type="spellStart"/>
            <w:r>
              <w:rPr>
                <w:rFonts w:ascii="Verdana" w:hAnsi="Verdana"/>
                <w:sz w:val="18"/>
                <w:szCs w:val="18"/>
              </w:rPr>
              <w:t>Ingress</w:t>
            </w:r>
            <w:proofErr w:type="spellEnd"/>
            <w:r>
              <w:rPr>
                <w:rFonts w:ascii="Verdana" w:hAnsi="Verdana"/>
                <w:sz w:val="18"/>
                <w:szCs w:val="18"/>
              </w:rPr>
              <w:t xml:space="preserve"> </w:t>
            </w:r>
          </w:p>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VLAN-</w:t>
            </w:r>
            <w:proofErr w:type="spellStart"/>
            <w:r>
              <w:rPr>
                <w:rFonts w:ascii="Verdana" w:hAnsi="Verdana"/>
                <w:sz w:val="18"/>
                <w:szCs w:val="18"/>
              </w:rPr>
              <w:t>based</w:t>
            </w:r>
            <w:proofErr w:type="spellEnd"/>
            <w:r>
              <w:rPr>
                <w:rFonts w:ascii="Verdana" w:hAnsi="Verdana"/>
                <w:sz w:val="18"/>
                <w:szCs w:val="18"/>
              </w:rPr>
              <w:t xml:space="preserve">  </w:t>
            </w:r>
          </w:p>
        </w:tc>
      </w:tr>
      <w:tr>
        <w:trPr>
          <w:trHeight w:val="2391"/>
        </w:trPr>
        <w:tc>
          <w:tcPr>
            <w:cnfStyle w:val="001000000000" w:firstRow="0" w:lastRow="0" w:firstColumn="1" w:lastColumn="0" w:oddVBand="0" w:evenVBand="0" w:oddHBand="0" w:evenHBand="0" w:firstRowFirstColumn="0" w:firstRowLastColumn="0" w:lastRowFirstColumn="0" w:lastRowLastColumn="0"/>
            <w:tcW w:w="705" w:type="pct"/>
          </w:tcPr>
          <w:p>
            <w:pPr>
              <w:spacing w:after="0" w:line="276" w:lineRule="auto"/>
              <w:ind w:left="0" w:right="0" w:firstLine="0"/>
              <w:jc w:val="left"/>
              <w:rPr>
                <w:rFonts w:ascii="Verdana" w:hAnsi="Verdana"/>
                <w:sz w:val="18"/>
                <w:szCs w:val="18"/>
              </w:rPr>
            </w:pPr>
            <w:r>
              <w:rPr>
                <w:rFonts w:ascii="Verdana" w:hAnsi="Verdana"/>
                <w:sz w:val="18"/>
                <w:szCs w:val="18"/>
              </w:rPr>
              <w:t>18.</w:t>
            </w:r>
            <w:r>
              <w:rPr>
                <w:rFonts w:ascii="Verdana" w:eastAsia="Arial" w:hAnsi="Verdana"/>
                <w:sz w:val="18"/>
                <w:szCs w:val="18"/>
              </w:rPr>
              <w:t xml:space="preserve"> </w:t>
            </w:r>
            <w:r>
              <w:rPr>
                <w:rFonts w:ascii="Verdana" w:hAnsi="Verdana"/>
                <w:sz w:val="18"/>
                <w:szCs w:val="18"/>
              </w:rPr>
              <w:t xml:space="preserve"> </w:t>
            </w:r>
          </w:p>
        </w:tc>
        <w:tc>
          <w:tcPr>
            <w:tcW w:w="1774" w:type="pct"/>
          </w:tcPr>
          <w:p>
            <w:pPr>
              <w:spacing w:after="0" w:line="276" w:lineRule="auto"/>
              <w:ind w:left="4"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Obsługa </w:t>
            </w:r>
          </w:p>
        </w:tc>
        <w:tc>
          <w:tcPr>
            <w:tcW w:w="2522" w:type="pct"/>
          </w:tcPr>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Loopback Detection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MLD Snooping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 IGMP Snooping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Jumbo Frame up to 9,216 Bytes </w:t>
            </w:r>
          </w:p>
          <w:p>
            <w:pPr>
              <w:spacing w:after="18"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Flow Control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Command Line Interface (CLI)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SSH </w:t>
            </w:r>
          </w:p>
          <w:p>
            <w:pPr>
              <w:spacing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LLDP, LLDP-MED. </w:t>
            </w:r>
          </w:p>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Web-</w:t>
            </w:r>
            <w:proofErr w:type="spellStart"/>
            <w:r>
              <w:rPr>
                <w:rFonts w:ascii="Verdana" w:hAnsi="Verdana"/>
                <w:sz w:val="18"/>
                <w:szCs w:val="18"/>
              </w:rPr>
              <w:t>based</w:t>
            </w:r>
            <w:proofErr w:type="spellEnd"/>
            <w:r>
              <w:rPr>
                <w:rFonts w:ascii="Verdana" w:hAnsi="Verdana"/>
                <w:sz w:val="18"/>
                <w:szCs w:val="18"/>
              </w:rPr>
              <w:t xml:space="preserve"> GUI </w:t>
            </w:r>
          </w:p>
        </w:tc>
      </w:tr>
    </w:tbl>
    <w:p>
      <w:pPr>
        <w:spacing w:line="276" w:lineRule="auto"/>
        <w:rPr>
          <w:rFonts w:ascii="Verdana" w:hAnsi="Verdana"/>
          <w:sz w:val="18"/>
          <w:szCs w:val="18"/>
        </w:rPr>
      </w:pPr>
    </w:p>
    <w:p>
      <w:pPr>
        <w:spacing w:line="276" w:lineRule="auto"/>
        <w:rPr>
          <w:rFonts w:ascii="Verdana" w:hAnsi="Verdana"/>
          <w:sz w:val="18"/>
          <w:szCs w:val="18"/>
        </w:rPr>
      </w:pPr>
    </w:p>
    <w:p>
      <w:pPr>
        <w:spacing w:line="276" w:lineRule="auto"/>
        <w:rPr>
          <w:rFonts w:ascii="Verdana" w:hAnsi="Verdana"/>
          <w:sz w:val="18"/>
          <w:szCs w:val="18"/>
        </w:rPr>
      </w:pPr>
    </w:p>
    <w:p>
      <w:pPr>
        <w:pStyle w:val="Akapitzlist"/>
        <w:spacing w:line="276" w:lineRule="auto"/>
        <w:ind w:firstLine="0"/>
        <w:rPr>
          <w:rFonts w:ascii="Verdana" w:hAnsi="Verdana"/>
          <w:b/>
          <w:sz w:val="18"/>
          <w:szCs w:val="18"/>
        </w:rPr>
      </w:pPr>
      <w:r>
        <w:rPr>
          <w:rFonts w:ascii="Verdana" w:hAnsi="Verdana"/>
          <w:b/>
          <w:sz w:val="18"/>
          <w:szCs w:val="18"/>
        </w:rPr>
        <w:t xml:space="preserve">b) Punkt Dostępowy </w:t>
      </w:r>
      <w:proofErr w:type="spellStart"/>
      <w:r>
        <w:rPr>
          <w:rFonts w:ascii="Verdana" w:hAnsi="Verdana"/>
          <w:b/>
          <w:sz w:val="18"/>
          <w:szCs w:val="18"/>
        </w:rPr>
        <w:t>Acces</w:t>
      </w:r>
      <w:proofErr w:type="spellEnd"/>
      <w:r>
        <w:rPr>
          <w:rFonts w:ascii="Verdana" w:hAnsi="Verdana"/>
          <w:b/>
          <w:sz w:val="18"/>
          <w:szCs w:val="18"/>
        </w:rPr>
        <w:t>-Point POE - 20 szt.:</w:t>
      </w:r>
    </w:p>
    <w:tbl>
      <w:tblPr>
        <w:tblStyle w:val="Zwykatabela31"/>
        <w:tblW w:w="9494" w:type="dxa"/>
        <w:tblLook w:val="04A0" w:firstRow="1" w:lastRow="0" w:firstColumn="1" w:lastColumn="0" w:noHBand="0" w:noVBand="1"/>
      </w:tblPr>
      <w:tblGrid>
        <w:gridCol w:w="1150"/>
        <w:gridCol w:w="3582"/>
        <w:gridCol w:w="4762"/>
      </w:tblGrid>
      <w:tr>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 xml:space="preserve">LP </w:t>
            </w:r>
          </w:p>
        </w:tc>
        <w:tc>
          <w:tcPr>
            <w:tcW w:w="3582" w:type="dxa"/>
          </w:tcPr>
          <w:p>
            <w:pPr>
              <w:spacing w:after="0" w:line="276"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Nazwa </w:t>
            </w:r>
          </w:p>
        </w:tc>
        <w:tc>
          <w:tcPr>
            <w:tcW w:w="4762" w:type="dxa"/>
          </w:tcPr>
          <w:p>
            <w:pPr>
              <w:spacing w:after="0" w:line="276"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Parametr </w:t>
            </w:r>
          </w:p>
        </w:tc>
      </w:tr>
      <w:tr>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Technologia bezprzewodowa </w:t>
            </w:r>
          </w:p>
        </w:tc>
        <w:tc>
          <w:tcPr>
            <w:tcW w:w="476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Wireless AC </w:t>
            </w:r>
            <w:proofErr w:type="spellStart"/>
            <w:r>
              <w:rPr>
                <w:rFonts w:ascii="Verdana" w:hAnsi="Verdana"/>
                <w:sz w:val="18"/>
                <w:szCs w:val="18"/>
              </w:rPr>
              <w:t>Wave</w:t>
            </w:r>
            <w:proofErr w:type="spellEnd"/>
            <w:r>
              <w:rPr>
                <w:rFonts w:ascii="Verdana" w:hAnsi="Verdana"/>
                <w:sz w:val="18"/>
                <w:szCs w:val="18"/>
              </w:rPr>
              <w:t xml:space="preserve"> 2 </w:t>
            </w:r>
          </w:p>
        </w:tc>
      </w:tr>
      <w:tr>
        <w:trPr>
          <w:trHeight w:val="274"/>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2.</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Ilość pasm </w:t>
            </w:r>
          </w:p>
        </w:tc>
        <w:tc>
          <w:tcPr>
            <w:tcW w:w="476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Dwupasmowy </w:t>
            </w: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50" w:type="dxa"/>
            <w:vMerge w:val="restart"/>
          </w:tcPr>
          <w:p>
            <w:pPr>
              <w:spacing w:after="0" w:line="276" w:lineRule="auto"/>
              <w:ind w:left="0" w:right="0" w:firstLine="0"/>
              <w:jc w:val="left"/>
              <w:rPr>
                <w:rFonts w:ascii="Verdana" w:hAnsi="Verdana"/>
                <w:sz w:val="18"/>
                <w:szCs w:val="18"/>
              </w:rPr>
            </w:pPr>
            <w:r>
              <w:rPr>
                <w:rFonts w:ascii="Verdana" w:hAnsi="Verdana"/>
                <w:sz w:val="18"/>
                <w:szCs w:val="18"/>
              </w:rPr>
              <w:t>3.</w:t>
            </w:r>
            <w:r>
              <w:rPr>
                <w:rFonts w:ascii="Verdana" w:eastAsia="Arial" w:hAnsi="Verdana"/>
                <w:sz w:val="18"/>
                <w:szCs w:val="18"/>
              </w:rPr>
              <w:t xml:space="preserve"> </w:t>
            </w:r>
            <w:r>
              <w:rPr>
                <w:rFonts w:ascii="Verdana" w:hAnsi="Verdana"/>
                <w:sz w:val="18"/>
                <w:szCs w:val="18"/>
              </w:rPr>
              <w:t xml:space="preserve"> </w:t>
            </w:r>
          </w:p>
        </w:tc>
        <w:tc>
          <w:tcPr>
            <w:tcW w:w="3582" w:type="dxa"/>
            <w:vMerge w:val="restart"/>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Przepustowość </w:t>
            </w:r>
          </w:p>
        </w:tc>
        <w:tc>
          <w:tcPr>
            <w:tcW w:w="476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400 </w:t>
            </w:r>
            <w:proofErr w:type="spellStart"/>
            <w:r>
              <w:rPr>
                <w:rFonts w:ascii="Verdana" w:hAnsi="Verdana"/>
                <w:sz w:val="18"/>
                <w:szCs w:val="18"/>
              </w:rPr>
              <w:t>Mb</w:t>
            </w:r>
            <w:proofErr w:type="spellEnd"/>
            <w:r>
              <w:rPr>
                <w:rFonts w:ascii="Verdana" w:hAnsi="Verdana"/>
                <w:sz w:val="18"/>
                <w:szCs w:val="18"/>
              </w:rPr>
              <w:t xml:space="preserve">/s 2.4 GHz </w:t>
            </w:r>
          </w:p>
        </w:tc>
      </w:tr>
      <w:tr>
        <w:trPr>
          <w:trHeight w:val="276"/>
        </w:trPr>
        <w:tc>
          <w:tcPr>
            <w:cnfStyle w:val="001000000000" w:firstRow="0" w:lastRow="0" w:firstColumn="1" w:lastColumn="0" w:oddVBand="0" w:evenVBand="0" w:oddHBand="0" w:evenHBand="0" w:firstRowFirstColumn="0" w:firstRowLastColumn="0" w:lastRowFirstColumn="0" w:lastRowLastColumn="0"/>
            <w:tcW w:w="0" w:type="auto"/>
            <w:vMerge/>
          </w:tcPr>
          <w:p>
            <w:pPr>
              <w:spacing w:after="160" w:line="276" w:lineRule="auto"/>
              <w:ind w:left="0" w:right="0" w:firstLine="0"/>
              <w:jc w:val="left"/>
              <w:rPr>
                <w:rFonts w:ascii="Verdana" w:hAnsi="Verdana"/>
                <w:sz w:val="18"/>
                <w:szCs w:val="18"/>
              </w:rPr>
            </w:pPr>
          </w:p>
        </w:tc>
        <w:tc>
          <w:tcPr>
            <w:tcW w:w="0" w:type="auto"/>
            <w:vMerge/>
          </w:tcPr>
          <w:p>
            <w:pPr>
              <w:spacing w:after="16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476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867 </w:t>
            </w:r>
            <w:proofErr w:type="spellStart"/>
            <w:r>
              <w:rPr>
                <w:rFonts w:ascii="Verdana" w:hAnsi="Verdana"/>
                <w:sz w:val="18"/>
                <w:szCs w:val="18"/>
              </w:rPr>
              <w:t>Mb</w:t>
            </w:r>
            <w:proofErr w:type="spellEnd"/>
            <w:r>
              <w:rPr>
                <w:rFonts w:ascii="Verdana" w:hAnsi="Verdana"/>
                <w:sz w:val="18"/>
                <w:szCs w:val="18"/>
              </w:rPr>
              <w:t xml:space="preserve">/s 5 GHz </w:t>
            </w: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4.</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Anteny </w:t>
            </w:r>
          </w:p>
        </w:tc>
        <w:tc>
          <w:tcPr>
            <w:tcW w:w="476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Wbudowana antena dookólna </w:t>
            </w:r>
          </w:p>
        </w:tc>
      </w:tr>
      <w:tr>
        <w:trPr>
          <w:trHeight w:val="276"/>
        </w:trPr>
        <w:tc>
          <w:tcPr>
            <w:cnfStyle w:val="001000000000" w:firstRow="0" w:lastRow="0" w:firstColumn="1" w:lastColumn="0" w:oddVBand="0" w:evenVBand="0" w:oddHBand="0" w:evenHBand="0" w:firstRowFirstColumn="0" w:firstRowLastColumn="0" w:lastRowFirstColumn="0" w:lastRowLastColumn="0"/>
            <w:tcW w:w="1150" w:type="dxa"/>
            <w:vMerge w:val="restart"/>
          </w:tcPr>
          <w:p>
            <w:pPr>
              <w:spacing w:after="0" w:line="276" w:lineRule="auto"/>
              <w:ind w:left="0" w:right="0" w:firstLine="0"/>
              <w:jc w:val="left"/>
              <w:rPr>
                <w:rFonts w:ascii="Verdana" w:hAnsi="Verdana"/>
                <w:sz w:val="18"/>
                <w:szCs w:val="18"/>
              </w:rPr>
            </w:pPr>
            <w:r>
              <w:rPr>
                <w:rFonts w:ascii="Verdana" w:hAnsi="Verdana"/>
                <w:sz w:val="18"/>
                <w:szCs w:val="18"/>
              </w:rPr>
              <w:t>5.</w:t>
            </w:r>
            <w:r>
              <w:rPr>
                <w:rFonts w:ascii="Verdana" w:eastAsia="Arial" w:hAnsi="Verdana"/>
                <w:sz w:val="18"/>
                <w:szCs w:val="18"/>
              </w:rPr>
              <w:t xml:space="preserve"> </w:t>
            </w:r>
            <w:r>
              <w:rPr>
                <w:rFonts w:ascii="Verdana" w:hAnsi="Verdana"/>
                <w:sz w:val="18"/>
                <w:szCs w:val="18"/>
              </w:rPr>
              <w:t xml:space="preserve"> </w:t>
            </w:r>
          </w:p>
        </w:tc>
        <w:tc>
          <w:tcPr>
            <w:tcW w:w="3582" w:type="dxa"/>
            <w:vMerge w:val="restart"/>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Zysk mocy </w:t>
            </w:r>
          </w:p>
        </w:tc>
        <w:tc>
          <w:tcPr>
            <w:tcW w:w="476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3 </w:t>
            </w:r>
            <w:proofErr w:type="spellStart"/>
            <w:r>
              <w:rPr>
                <w:rFonts w:ascii="Verdana" w:hAnsi="Verdana"/>
                <w:sz w:val="18"/>
                <w:szCs w:val="18"/>
              </w:rPr>
              <w:t>dBi</w:t>
            </w:r>
            <w:proofErr w:type="spellEnd"/>
            <w:r>
              <w:rPr>
                <w:rFonts w:ascii="Verdana" w:hAnsi="Verdana"/>
                <w:sz w:val="18"/>
                <w:szCs w:val="18"/>
              </w:rPr>
              <w:t xml:space="preserve"> w 2.4 GHz </w:t>
            </w: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vMerge/>
          </w:tcPr>
          <w:p>
            <w:pPr>
              <w:spacing w:after="160" w:line="276" w:lineRule="auto"/>
              <w:ind w:left="0" w:right="0" w:firstLine="0"/>
              <w:jc w:val="left"/>
              <w:rPr>
                <w:rFonts w:ascii="Verdana" w:hAnsi="Verdana"/>
                <w:sz w:val="18"/>
                <w:szCs w:val="18"/>
              </w:rPr>
            </w:pPr>
          </w:p>
        </w:tc>
        <w:tc>
          <w:tcPr>
            <w:tcW w:w="0" w:type="auto"/>
            <w:vMerge/>
          </w:tcPr>
          <w:p>
            <w:pPr>
              <w:spacing w:after="16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476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3 </w:t>
            </w:r>
            <w:proofErr w:type="spellStart"/>
            <w:r>
              <w:rPr>
                <w:rFonts w:ascii="Verdana" w:hAnsi="Verdana"/>
                <w:sz w:val="18"/>
                <w:szCs w:val="18"/>
              </w:rPr>
              <w:t>dBi</w:t>
            </w:r>
            <w:proofErr w:type="spellEnd"/>
            <w:r>
              <w:rPr>
                <w:rFonts w:ascii="Verdana" w:hAnsi="Verdana"/>
                <w:sz w:val="18"/>
                <w:szCs w:val="18"/>
              </w:rPr>
              <w:t xml:space="preserve"> w 5 GHz </w:t>
            </w:r>
          </w:p>
        </w:tc>
      </w:tr>
      <w:tr>
        <w:trPr>
          <w:trHeight w:val="274"/>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6.</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roofErr w:type="spellStart"/>
            <w:r>
              <w:rPr>
                <w:rFonts w:ascii="Verdana" w:hAnsi="Verdana"/>
                <w:sz w:val="18"/>
                <w:szCs w:val="18"/>
              </w:rPr>
              <w:t>PoE</w:t>
            </w:r>
            <w:proofErr w:type="spellEnd"/>
            <w:r>
              <w:rPr>
                <w:rFonts w:ascii="Verdana" w:hAnsi="Verdana"/>
                <w:sz w:val="18"/>
                <w:szCs w:val="18"/>
              </w:rPr>
              <w:t xml:space="preserve"> </w:t>
            </w:r>
          </w:p>
        </w:tc>
        <w:tc>
          <w:tcPr>
            <w:tcW w:w="476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Tak </w:t>
            </w:r>
          </w:p>
        </w:tc>
      </w:tr>
      <w:tr>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7.</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Porty </w:t>
            </w:r>
          </w:p>
        </w:tc>
        <w:tc>
          <w:tcPr>
            <w:tcW w:w="476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1 x Gigabit Ethernet LAN </w:t>
            </w:r>
          </w:p>
        </w:tc>
      </w:tr>
      <w:tr>
        <w:trPr>
          <w:trHeight w:val="274"/>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8.</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Zasięg zakres wewnętrzny </w:t>
            </w:r>
          </w:p>
        </w:tc>
        <w:tc>
          <w:tcPr>
            <w:tcW w:w="476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Min. 180 m </w:t>
            </w: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9.</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Montaż </w:t>
            </w:r>
          </w:p>
        </w:tc>
        <w:tc>
          <w:tcPr>
            <w:tcW w:w="476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Wewnątrz </w:t>
            </w:r>
          </w:p>
        </w:tc>
      </w:tr>
      <w:tr>
        <w:trPr>
          <w:trHeight w:val="276"/>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10.</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Obudowa </w:t>
            </w:r>
          </w:p>
        </w:tc>
        <w:tc>
          <w:tcPr>
            <w:tcW w:w="4762"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Plastikowa </w:t>
            </w:r>
          </w:p>
        </w:tc>
      </w:tr>
      <w:tr>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11.</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Tryb pracy </w:t>
            </w:r>
          </w:p>
        </w:tc>
        <w:tc>
          <w:tcPr>
            <w:tcW w:w="4762" w:type="dxa"/>
          </w:tcPr>
          <w:p>
            <w:pPr>
              <w:tabs>
                <w:tab w:val="center" w:pos="4623"/>
              </w:tabs>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Access Point (AP) </w:t>
            </w:r>
            <w:r>
              <w:rPr>
                <w:rFonts w:ascii="Verdana" w:hAnsi="Verdana"/>
                <w:sz w:val="18"/>
                <w:szCs w:val="18"/>
              </w:rPr>
              <w:tab/>
              <w:t xml:space="preserve"> </w:t>
            </w:r>
          </w:p>
        </w:tc>
      </w:tr>
      <w:tr>
        <w:trPr>
          <w:trHeight w:val="281"/>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12.</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Szyfrowanie </w:t>
            </w:r>
          </w:p>
        </w:tc>
        <w:tc>
          <w:tcPr>
            <w:tcW w:w="4762"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AES,TKIP,WEP,WPA,WPA-PSK,WPA2   </w:t>
            </w:r>
          </w:p>
        </w:tc>
      </w:tr>
      <w:tr>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13.</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Współpraca z kontrolerem  </w:t>
            </w:r>
          </w:p>
        </w:tc>
        <w:tc>
          <w:tcPr>
            <w:tcW w:w="4762"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Kompatybilny z kontrolerem </w:t>
            </w:r>
            <w:proofErr w:type="spellStart"/>
            <w:r>
              <w:rPr>
                <w:rFonts w:ascii="Verdana" w:hAnsi="Verdana"/>
                <w:sz w:val="18"/>
                <w:szCs w:val="18"/>
              </w:rPr>
              <w:t>accepoint</w:t>
            </w:r>
            <w:proofErr w:type="spellEnd"/>
            <w:r>
              <w:rPr>
                <w:rFonts w:ascii="Verdana" w:hAnsi="Verdana"/>
                <w:sz w:val="18"/>
                <w:szCs w:val="18"/>
              </w:rPr>
              <w:t xml:space="preserve"> w formie wirtualnej </w:t>
            </w:r>
          </w:p>
        </w:tc>
      </w:tr>
      <w:tr>
        <w:trPr>
          <w:trHeight w:val="274"/>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14.</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Zarządzanie energią </w:t>
            </w:r>
          </w:p>
        </w:tc>
        <w:tc>
          <w:tcPr>
            <w:tcW w:w="4762"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Maksymalne zużycie mocy 6,5 W </w:t>
            </w:r>
          </w:p>
        </w:tc>
      </w:tr>
      <w:tr>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50" w:type="dxa"/>
          </w:tcPr>
          <w:p>
            <w:pPr>
              <w:spacing w:after="0" w:line="276" w:lineRule="auto"/>
              <w:ind w:left="0" w:right="0" w:firstLine="0"/>
              <w:jc w:val="left"/>
              <w:rPr>
                <w:rFonts w:ascii="Verdana" w:hAnsi="Verdana"/>
                <w:sz w:val="18"/>
                <w:szCs w:val="18"/>
              </w:rPr>
            </w:pPr>
            <w:r>
              <w:rPr>
                <w:rFonts w:ascii="Verdana" w:hAnsi="Verdana"/>
                <w:sz w:val="18"/>
                <w:szCs w:val="18"/>
              </w:rPr>
              <w:t>15.</w:t>
            </w:r>
            <w:r>
              <w:rPr>
                <w:rFonts w:ascii="Verdana" w:eastAsia="Arial" w:hAnsi="Verdana"/>
                <w:sz w:val="18"/>
                <w:szCs w:val="18"/>
              </w:rPr>
              <w:t xml:space="preserve"> </w:t>
            </w:r>
            <w:r>
              <w:rPr>
                <w:rFonts w:ascii="Verdana" w:hAnsi="Verdana"/>
                <w:sz w:val="18"/>
                <w:szCs w:val="18"/>
              </w:rPr>
              <w:t xml:space="preserve"> </w:t>
            </w:r>
          </w:p>
        </w:tc>
        <w:tc>
          <w:tcPr>
            <w:tcW w:w="3582"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Zestaw montażowy </w:t>
            </w:r>
          </w:p>
        </w:tc>
        <w:tc>
          <w:tcPr>
            <w:tcW w:w="4762"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Tak </w:t>
            </w:r>
          </w:p>
        </w:tc>
      </w:tr>
    </w:tbl>
    <w:p>
      <w:pPr>
        <w:spacing w:line="276" w:lineRule="auto"/>
        <w:rPr>
          <w:rFonts w:ascii="Verdana" w:hAnsi="Verdana"/>
          <w:sz w:val="18"/>
          <w:szCs w:val="18"/>
        </w:rPr>
      </w:pPr>
    </w:p>
    <w:p>
      <w:pPr>
        <w:spacing w:line="276" w:lineRule="auto"/>
        <w:rPr>
          <w:rFonts w:ascii="Verdana" w:hAnsi="Verdana"/>
          <w:b/>
          <w:bCs/>
          <w:sz w:val="18"/>
          <w:szCs w:val="18"/>
        </w:rPr>
      </w:pPr>
    </w:p>
    <w:p>
      <w:pPr>
        <w:spacing w:line="276" w:lineRule="auto"/>
        <w:ind w:left="0" w:firstLine="0"/>
        <w:rPr>
          <w:rFonts w:ascii="Verdana" w:hAnsi="Verdana"/>
          <w:b/>
          <w:bCs/>
          <w:sz w:val="18"/>
          <w:szCs w:val="18"/>
        </w:rPr>
      </w:pPr>
    </w:p>
    <w:p>
      <w:pPr>
        <w:pStyle w:val="Akapitzlist"/>
        <w:numPr>
          <w:ilvl w:val="0"/>
          <w:numId w:val="83"/>
        </w:numPr>
        <w:spacing w:line="276" w:lineRule="auto"/>
        <w:jc w:val="left"/>
        <w:rPr>
          <w:rFonts w:ascii="Verdana" w:hAnsi="Verdana"/>
          <w:bCs/>
          <w:sz w:val="18"/>
          <w:szCs w:val="18"/>
        </w:rPr>
      </w:pPr>
      <w:r>
        <w:rPr>
          <w:rFonts w:ascii="Verdana" w:hAnsi="Verdana"/>
          <w:b/>
          <w:bCs/>
          <w:sz w:val="18"/>
          <w:szCs w:val="18"/>
        </w:rPr>
        <w:t>Dostarczenie routera dostępowego UTM do sieci Internet - 1 szt.</w:t>
      </w:r>
      <w:r>
        <w:rPr>
          <w:rFonts w:ascii="Verdana" w:hAnsi="Verdana"/>
          <w:b/>
          <w:bCs/>
          <w:sz w:val="18"/>
          <w:szCs w:val="18"/>
        </w:rPr>
        <w:br/>
      </w:r>
      <w:r>
        <w:rPr>
          <w:rFonts w:ascii="Verdana" w:hAnsi="Verdana"/>
          <w:b/>
          <w:bCs/>
          <w:sz w:val="18"/>
          <w:szCs w:val="18"/>
        </w:rPr>
        <w:br/>
      </w:r>
      <w:r>
        <w:rPr>
          <w:rFonts w:ascii="Verdana" w:hAnsi="Verdana"/>
          <w:bCs/>
          <w:sz w:val="18"/>
          <w:szCs w:val="18"/>
        </w:rPr>
        <w:lastRenderedPageBreak/>
        <w:t>Zamawiający oczekuje dostarczenia routera dostępowego do sieci Internet klasy UTM wraz w niezbędnymi licencjami zapewniającymi ochronę sieci i wsparciem na 3 lata</w:t>
      </w:r>
    </w:p>
    <w:p>
      <w:pPr>
        <w:pStyle w:val="Akapitzlist"/>
        <w:spacing w:line="276" w:lineRule="auto"/>
        <w:ind w:firstLine="0"/>
        <w:rPr>
          <w:rFonts w:ascii="Verdana" w:hAnsi="Verdana"/>
          <w:bCs/>
          <w:sz w:val="18"/>
          <w:szCs w:val="18"/>
        </w:rPr>
      </w:pPr>
    </w:p>
    <w:p>
      <w:pPr>
        <w:pStyle w:val="Akapitzlist"/>
        <w:spacing w:line="276" w:lineRule="auto"/>
        <w:ind w:firstLine="0"/>
        <w:rPr>
          <w:rFonts w:ascii="Verdana" w:hAnsi="Verdana"/>
          <w:bCs/>
          <w:sz w:val="18"/>
          <w:szCs w:val="18"/>
        </w:rPr>
      </w:pPr>
      <w:r>
        <w:rPr>
          <w:rFonts w:ascii="Verdana" w:hAnsi="Verdana"/>
          <w:bCs/>
          <w:sz w:val="18"/>
          <w:szCs w:val="18"/>
        </w:rPr>
        <w:br/>
        <w:t xml:space="preserve">Preferowane urządzenie do dostarczenia: </w:t>
      </w:r>
      <w:proofErr w:type="spellStart"/>
      <w:r>
        <w:rPr>
          <w:rFonts w:ascii="Verdana" w:hAnsi="Verdana"/>
          <w:bCs/>
          <w:sz w:val="18"/>
          <w:szCs w:val="18"/>
        </w:rPr>
        <w:t>Fortigate</w:t>
      </w:r>
      <w:proofErr w:type="spellEnd"/>
      <w:r>
        <w:rPr>
          <w:rFonts w:ascii="Verdana" w:hAnsi="Verdana"/>
          <w:bCs/>
          <w:sz w:val="18"/>
          <w:szCs w:val="18"/>
        </w:rPr>
        <w:t xml:space="preserve"> 60F z licencjami zapewniającymi ochronę </w:t>
      </w:r>
      <w:proofErr w:type="spellStart"/>
      <w:r>
        <w:rPr>
          <w:rFonts w:ascii="Verdana" w:hAnsi="Verdana"/>
          <w:bCs/>
          <w:sz w:val="18"/>
          <w:szCs w:val="18"/>
        </w:rPr>
        <w:t>Unified</w:t>
      </w:r>
      <w:proofErr w:type="spellEnd"/>
      <w:r>
        <w:rPr>
          <w:rFonts w:ascii="Verdana" w:hAnsi="Verdana"/>
          <w:bCs/>
          <w:sz w:val="18"/>
          <w:szCs w:val="18"/>
        </w:rPr>
        <w:t xml:space="preserve"> </w:t>
      </w:r>
      <w:proofErr w:type="spellStart"/>
      <w:r>
        <w:rPr>
          <w:rFonts w:ascii="Verdana" w:hAnsi="Verdana"/>
          <w:bCs/>
          <w:sz w:val="18"/>
          <w:szCs w:val="18"/>
        </w:rPr>
        <w:t>Threat</w:t>
      </w:r>
      <w:proofErr w:type="spellEnd"/>
      <w:r>
        <w:rPr>
          <w:rFonts w:ascii="Verdana" w:hAnsi="Verdana"/>
          <w:bCs/>
          <w:sz w:val="18"/>
          <w:szCs w:val="18"/>
        </w:rPr>
        <w:t xml:space="preserve"> </w:t>
      </w:r>
      <w:proofErr w:type="spellStart"/>
      <w:r>
        <w:rPr>
          <w:rFonts w:ascii="Verdana" w:hAnsi="Verdana"/>
          <w:bCs/>
          <w:sz w:val="18"/>
          <w:szCs w:val="18"/>
        </w:rPr>
        <w:t>Protection</w:t>
      </w:r>
      <w:proofErr w:type="spellEnd"/>
      <w:r>
        <w:rPr>
          <w:rFonts w:ascii="Verdana" w:hAnsi="Verdana"/>
          <w:bCs/>
          <w:sz w:val="18"/>
          <w:szCs w:val="18"/>
        </w:rPr>
        <w:t xml:space="preserve"> (UTP) (24x7 </w:t>
      </w:r>
      <w:proofErr w:type="spellStart"/>
      <w:r>
        <w:rPr>
          <w:rFonts w:ascii="Verdana" w:hAnsi="Verdana"/>
          <w:bCs/>
          <w:sz w:val="18"/>
          <w:szCs w:val="18"/>
        </w:rPr>
        <w:t>FortiCare</w:t>
      </w:r>
      <w:proofErr w:type="spellEnd"/>
      <w:r>
        <w:rPr>
          <w:rFonts w:ascii="Verdana" w:hAnsi="Verdana"/>
          <w:bCs/>
          <w:sz w:val="18"/>
          <w:szCs w:val="18"/>
        </w:rPr>
        <w:t xml:space="preserve"> plus Application Control, IPS, AV, Web </w:t>
      </w:r>
      <w:proofErr w:type="spellStart"/>
      <w:r>
        <w:rPr>
          <w:rFonts w:ascii="Verdana" w:hAnsi="Verdana"/>
          <w:bCs/>
          <w:sz w:val="18"/>
          <w:szCs w:val="18"/>
        </w:rPr>
        <w:t>Filtering</w:t>
      </w:r>
      <w:proofErr w:type="spellEnd"/>
      <w:r>
        <w:rPr>
          <w:rFonts w:ascii="Verdana" w:hAnsi="Verdana"/>
          <w:bCs/>
          <w:sz w:val="18"/>
          <w:szCs w:val="18"/>
        </w:rPr>
        <w:t xml:space="preserve"> and </w:t>
      </w:r>
      <w:proofErr w:type="spellStart"/>
      <w:r>
        <w:rPr>
          <w:rFonts w:ascii="Verdana" w:hAnsi="Verdana"/>
          <w:bCs/>
          <w:sz w:val="18"/>
          <w:szCs w:val="18"/>
        </w:rPr>
        <w:t>Antispam</w:t>
      </w:r>
      <w:proofErr w:type="spellEnd"/>
      <w:r>
        <w:rPr>
          <w:rFonts w:ascii="Verdana" w:hAnsi="Verdana"/>
          <w:bCs/>
          <w:sz w:val="18"/>
          <w:szCs w:val="18"/>
        </w:rPr>
        <w:t xml:space="preserve">, </w:t>
      </w:r>
      <w:proofErr w:type="spellStart"/>
      <w:r>
        <w:rPr>
          <w:rFonts w:ascii="Verdana" w:hAnsi="Verdana"/>
          <w:bCs/>
          <w:sz w:val="18"/>
          <w:szCs w:val="18"/>
        </w:rPr>
        <w:t>FortiSandbox</w:t>
      </w:r>
      <w:proofErr w:type="spellEnd"/>
      <w:r>
        <w:rPr>
          <w:rFonts w:ascii="Verdana" w:hAnsi="Verdana"/>
          <w:bCs/>
          <w:sz w:val="18"/>
          <w:szCs w:val="18"/>
        </w:rPr>
        <w:t xml:space="preserve"> </w:t>
      </w:r>
      <w:proofErr w:type="spellStart"/>
      <w:r>
        <w:rPr>
          <w:rFonts w:ascii="Verdana" w:hAnsi="Verdana"/>
          <w:bCs/>
          <w:sz w:val="18"/>
          <w:szCs w:val="18"/>
        </w:rPr>
        <w:t>Cloud</w:t>
      </w:r>
      <w:proofErr w:type="spellEnd"/>
      <w:r>
        <w:rPr>
          <w:rFonts w:ascii="Verdana" w:hAnsi="Verdana"/>
          <w:bCs/>
          <w:sz w:val="18"/>
          <w:szCs w:val="18"/>
        </w:rPr>
        <w:t xml:space="preserve">) oraz wsparciem na 3 lata lub równoważne. </w:t>
      </w:r>
    </w:p>
    <w:p>
      <w:pPr>
        <w:pStyle w:val="Akapitzlist"/>
        <w:spacing w:line="276" w:lineRule="auto"/>
        <w:ind w:firstLine="0"/>
        <w:rPr>
          <w:rFonts w:ascii="Verdana" w:hAnsi="Verdana"/>
          <w:bCs/>
          <w:sz w:val="18"/>
          <w:szCs w:val="18"/>
        </w:rPr>
      </w:pPr>
    </w:p>
    <w:p>
      <w:pPr>
        <w:pStyle w:val="Akapitzlist"/>
        <w:spacing w:line="276" w:lineRule="auto"/>
        <w:ind w:firstLine="0"/>
        <w:rPr>
          <w:rFonts w:ascii="Verdana" w:hAnsi="Verdana"/>
          <w:bCs/>
          <w:sz w:val="18"/>
          <w:szCs w:val="18"/>
        </w:rPr>
      </w:pPr>
      <w:r>
        <w:rPr>
          <w:rFonts w:ascii="Verdana" w:hAnsi="Verdana"/>
          <w:bCs/>
          <w:sz w:val="18"/>
          <w:szCs w:val="18"/>
        </w:rPr>
        <w:t>Dostarczone urządzenie musi spełniać minimalne wymagania techniczne i funkcjonalne określone poniżej oraz ich instalacja i konfiguracja. Wymaga się dostarczenia, instalacji, skonfigurowania i uruchomienia jednego urządzenia UTM</w:t>
      </w:r>
    </w:p>
    <w:p>
      <w:pPr>
        <w:pStyle w:val="Akapitzlist"/>
        <w:spacing w:line="276" w:lineRule="auto"/>
        <w:ind w:firstLine="0"/>
        <w:rPr>
          <w:rFonts w:ascii="Verdana" w:hAnsi="Verdana"/>
          <w:b/>
          <w:bCs/>
          <w:sz w:val="18"/>
          <w:szCs w:val="18"/>
        </w:rPr>
      </w:pPr>
    </w:p>
    <w:p>
      <w:pPr>
        <w:pStyle w:val="Akapitzlist"/>
        <w:spacing w:line="276" w:lineRule="auto"/>
        <w:ind w:firstLine="0"/>
        <w:rPr>
          <w:rFonts w:ascii="Verdana" w:hAnsi="Verdana"/>
          <w:b/>
          <w:bCs/>
          <w:sz w:val="18"/>
          <w:szCs w:val="18"/>
        </w:rPr>
      </w:pPr>
      <w:r>
        <w:rPr>
          <w:rFonts w:ascii="Verdana" w:hAnsi="Verdana"/>
          <w:b/>
          <w:bCs/>
          <w:sz w:val="18"/>
          <w:szCs w:val="18"/>
        </w:rPr>
        <w:t>Podane poniżej wymagana odnoszą się do pojedynczego urządzenia.</w:t>
      </w:r>
    </w:p>
    <w:tbl>
      <w:tblPr>
        <w:tblStyle w:val="Zwykatabela31"/>
        <w:tblW w:w="9789" w:type="dxa"/>
        <w:tblLook w:val="04A0" w:firstRow="1" w:lastRow="0" w:firstColumn="1" w:lastColumn="0" w:noHBand="0" w:noVBand="1"/>
      </w:tblPr>
      <w:tblGrid>
        <w:gridCol w:w="1101"/>
        <w:gridCol w:w="2551"/>
        <w:gridCol w:w="6137"/>
      </w:tblGrid>
      <w:tr>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1101" w:type="dxa"/>
          </w:tcPr>
          <w:p>
            <w:pPr>
              <w:spacing w:after="0" w:line="276" w:lineRule="auto"/>
              <w:ind w:left="0" w:right="0" w:firstLine="0"/>
              <w:jc w:val="left"/>
              <w:rPr>
                <w:rFonts w:ascii="Verdana" w:hAnsi="Verdana"/>
                <w:sz w:val="18"/>
                <w:szCs w:val="18"/>
              </w:rPr>
            </w:pPr>
            <w:r>
              <w:rPr>
                <w:rFonts w:ascii="Verdana" w:hAnsi="Verdana"/>
                <w:sz w:val="18"/>
                <w:szCs w:val="18"/>
              </w:rPr>
              <w:t xml:space="preserve">LP </w:t>
            </w:r>
          </w:p>
        </w:tc>
        <w:tc>
          <w:tcPr>
            <w:tcW w:w="2551" w:type="dxa"/>
          </w:tcPr>
          <w:p>
            <w:pPr>
              <w:spacing w:after="0" w:line="276"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Nazwa </w:t>
            </w:r>
          </w:p>
        </w:tc>
        <w:tc>
          <w:tcPr>
            <w:tcW w:w="6137" w:type="dxa"/>
          </w:tcPr>
          <w:p>
            <w:pPr>
              <w:spacing w:after="0" w:line="276"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Parametr </w:t>
            </w:r>
          </w:p>
        </w:tc>
      </w:tr>
      <w:tr>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01" w:type="dxa"/>
          </w:tcPr>
          <w:p>
            <w:pPr>
              <w:spacing w:after="0" w:line="276" w:lineRule="auto"/>
              <w:ind w:left="0" w:right="0" w:firstLine="0"/>
              <w:jc w:val="left"/>
              <w:rPr>
                <w:rFonts w:ascii="Verdana" w:hAnsi="Verdana"/>
                <w:sz w:val="18"/>
                <w:szCs w:val="18"/>
              </w:rPr>
            </w:pPr>
            <w:r>
              <w:rPr>
                <w:rFonts w:ascii="Verdana" w:hAnsi="Verdana"/>
                <w:sz w:val="18"/>
                <w:szCs w:val="18"/>
              </w:rPr>
              <w:t>1.</w:t>
            </w:r>
            <w:r>
              <w:rPr>
                <w:rFonts w:ascii="Verdana" w:eastAsia="Arial" w:hAnsi="Verdana"/>
                <w:sz w:val="18"/>
                <w:szCs w:val="18"/>
              </w:rPr>
              <w:t xml:space="preserve"> </w:t>
            </w:r>
            <w:r>
              <w:rPr>
                <w:rFonts w:ascii="Verdana" w:hAnsi="Verdana"/>
                <w:sz w:val="18"/>
                <w:szCs w:val="18"/>
              </w:rPr>
              <w:t xml:space="preserve"> </w:t>
            </w:r>
          </w:p>
        </w:tc>
        <w:tc>
          <w:tcPr>
            <w:tcW w:w="2551"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Wymagania Ogólne</w:t>
            </w:r>
          </w:p>
        </w:tc>
        <w:tc>
          <w:tcPr>
            <w:tcW w:w="6137"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Wykonawca musi zapewnić niezbędne platformy sprzętowe wraz z odpowiednio zabezpieczonym systemem operacyjnym.</w:t>
            </w:r>
          </w:p>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System realizujący funkcję Firewall musi dawać możliwość pracy w jednym z trzech trybów: Routera z funkcją NAT, transparentnym oraz monitorowania na porcie SPAN. </w:t>
            </w:r>
          </w:p>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 ramach dostarczonego systemu bezpieczeństwa musi być zapewniona możliwość budowy minimum 2 oddzielnych (fizycznych lub logicznych) instancji systemów w zakresie: Routingu, </w:t>
            </w:r>
            <w:proofErr w:type="spellStart"/>
            <w:r>
              <w:rPr>
                <w:rFonts w:ascii="Verdana" w:hAnsi="Verdana"/>
                <w:sz w:val="18"/>
                <w:szCs w:val="18"/>
              </w:rPr>
              <w:t>Firewall’a</w:t>
            </w:r>
            <w:proofErr w:type="spellEnd"/>
            <w:r>
              <w:rPr>
                <w:rFonts w:ascii="Verdana" w:hAnsi="Verdana"/>
                <w:sz w:val="18"/>
                <w:szCs w:val="18"/>
              </w:rPr>
              <w:t xml:space="preserve">, </w:t>
            </w:r>
            <w:proofErr w:type="spellStart"/>
            <w:r>
              <w:rPr>
                <w:rFonts w:ascii="Verdana" w:hAnsi="Verdana"/>
                <w:sz w:val="18"/>
                <w:szCs w:val="18"/>
              </w:rPr>
              <w:t>IPSec</w:t>
            </w:r>
            <w:proofErr w:type="spellEnd"/>
            <w:r>
              <w:rPr>
                <w:rFonts w:ascii="Verdana" w:hAnsi="Verdana"/>
                <w:sz w:val="18"/>
                <w:szCs w:val="18"/>
              </w:rPr>
              <w:t xml:space="preserve"> VPN, Antywirus, IPS, Kontroli Aplikacji. Powinna istnieć możliwość dedykowania co najmniej 4 administratorów do poszczególnych instancji systemu.</w:t>
            </w:r>
          </w:p>
        </w:tc>
      </w:tr>
      <w:tr>
        <w:trPr>
          <w:trHeight w:val="274"/>
        </w:trPr>
        <w:tc>
          <w:tcPr>
            <w:cnfStyle w:val="001000000000" w:firstRow="0" w:lastRow="0" w:firstColumn="1" w:lastColumn="0" w:oddVBand="0" w:evenVBand="0" w:oddHBand="0" w:evenHBand="0" w:firstRowFirstColumn="0" w:firstRowLastColumn="0" w:lastRowFirstColumn="0" w:lastRowLastColumn="0"/>
            <w:tcW w:w="1101" w:type="dxa"/>
          </w:tcPr>
          <w:p>
            <w:pPr>
              <w:spacing w:after="0" w:line="276" w:lineRule="auto"/>
              <w:ind w:left="0" w:right="0" w:firstLine="0"/>
              <w:jc w:val="left"/>
              <w:rPr>
                <w:rFonts w:ascii="Verdana" w:hAnsi="Verdana"/>
                <w:sz w:val="18"/>
                <w:szCs w:val="18"/>
              </w:rPr>
            </w:pPr>
            <w:r>
              <w:rPr>
                <w:rFonts w:ascii="Verdana" w:hAnsi="Verdana"/>
                <w:sz w:val="18"/>
                <w:szCs w:val="18"/>
              </w:rPr>
              <w:t>2.</w:t>
            </w:r>
            <w:r>
              <w:rPr>
                <w:rFonts w:ascii="Verdana" w:eastAsia="Arial" w:hAnsi="Verdana"/>
                <w:sz w:val="18"/>
                <w:szCs w:val="18"/>
              </w:rPr>
              <w:t xml:space="preserve"> </w:t>
            </w:r>
            <w:r>
              <w:rPr>
                <w:rFonts w:ascii="Verdana" w:hAnsi="Verdana"/>
                <w:sz w:val="18"/>
                <w:szCs w:val="18"/>
              </w:rPr>
              <w:t xml:space="preserve"> </w:t>
            </w:r>
          </w:p>
        </w:tc>
        <w:tc>
          <w:tcPr>
            <w:tcW w:w="2551" w:type="dxa"/>
          </w:tcPr>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Wymagania Funkcjonalne</w:t>
            </w:r>
          </w:p>
        </w:tc>
        <w:tc>
          <w:tcPr>
            <w:tcW w:w="6137" w:type="dxa"/>
          </w:tcPr>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System musi wspierać IPv4 oraz IPv6 w zakresie: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Firewall.</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Ochrony w warstwie aplikacji.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Protokołów routingu dynamicznego.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Redundancja, monitoring i wykrywanie awarii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 xml:space="preserve">W przypadku systemu pełniącego funkcje: Firewall, </w:t>
            </w:r>
            <w:proofErr w:type="spellStart"/>
            <w:r>
              <w:rPr>
                <w:rFonts w:ascii="Verdana" w:hAnsi="Verdana"/>
                <w:sz w:val="18"/>
                <w:szCs w:val="18"/>
              </w:rPr>
              <w:t>IPSec</w:t>
            </w:r>
            <w:proofErr w:type="spellEnd"/>
            <w:r>
              <w:rPr>
                <w:rFonts w:ascii="Verdana" w:hAnsi="Verdana"/>
                <w:sz w:val="18"/>
                <w:szCs w:val="18"/>
              </w:rPr>
              <w:t>, Kontrola Aplikacji oraz IPS – musi istnieć możliwość łączenia w klaster Active-Active lub Active-</w:t>
            </w:r>
            <w:proofErr w:type="spellStart"/>
            <w:r>
              <w:rPr>
                <w:rFonts w:ascii="Verdana" w:hAnsi="Verdana"/>
                <w:sz w:val="18"/>
                <w:szCs w:val="18"/>
              </w:rPr>
              <w:t>Passive</w:t>
            </w:r>
            <w:proofErr w:type="spellEnd"/>
            <w:r>
              <w:rPr>
                <w:rFonts w:ascii="Verdana" w:hAnsi="Verdana"/>
                <w:sz w:val="18"/>
                <w:szCs w:val="18"/>
              </w:rPr>
              <w:t xml:space="preserve">. W obu trybach powinna istnieć funkcja synchronizacji sesji firewall.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W ramach postępowania musi zostać dostarczone jedno urządzenie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Monitoring i wykrywanie uszkodzenia elementów sprzętowych i programowych systemów zabezpieczeń oraz łączy sieciowych.</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 xml:space="preserve">Monitoring stanu realizowanych połączeń VPN.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System musi umożliwiać agregację linków statyczną oraz w oparciu o protokół LACP. Powinna istnieć możliwość tworzenia interfejsów redundantnych.</w:t>
            </w:r>
          </w:p>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01" w:type="dxa"/>
          </w:tcPr>
          <w:p>
            <w:pPr>
              <w:spacing w:after="0" w:line="276" w:lineRule="auto"/>
              <w:ind w:left="0" w:right="0" w:firstLine="0"/>
              <w:jc w:val="left"/>
              <w:rPr>
                <w:rFonts w:ascii="Verdana" w:hAnsi="Verdana"/>
                <w:sz w:val="18"/>
                <w:szCs w:val="18"/>
              </w:rPr>
            </w:pPr>
            <w:r>
              <w:rPr>
                <w:rFonts w:ascii="Verdana" w:hAnsi="Verdana"/>
                <w:sz w:val="18"/>
                <w:szCs w:val="18"/>
              </w:rPr>
              <w:lastRenderedPageBreak/>
              <w:t>3.</w:t>
            </w:r>
            <w:r>
              <w:rPr>
                <w:rFonts w:ascii="Verdana" w:eastAsia="Arial" w:hAnsi="Verdana"/>
                <w:sz w:val="18"/>
                <w:szCs w:val="18"/>
              </w:rPr>
              <w:t xml:space="preserve"> </w:t>
            </w:r>
            <w:r>
              <w:rPr>
                <w:rFonts w:ascii="Verdana" w:hAnsi="Verdana"/>
                <w:sz w:val="18"/>
                <w:szCs w:val="18"/>
              </w:rPr>
              <w:t xml:space="preserve"> </w:t>
            </w:r>
          </w:p>
        </w:tc>
        <w:tc>
          <w:tcPr>
            <w:tcW w:w="2551"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Wymagania Firewall</w:t>
            </w:r>
          </w:p>
        </w:tc>
        <w:tc>
          <w:tcPr>
            <w:tcW w:w="6137" w:type="dxa"/>
          </w:tcPr>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 xml:space="preserve">System realizujący funkcję Firewall musi dysponować minimum: </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5 portami LAN Giga Ethernet RJ-45 </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2 portami WAN Giga Ethernet RJ-45  </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System Firewall musi posiadać wbudowany port konsoli szeregowej oraz gniazdo USB umożliwiające podłączenie modemu 3G/4G oraz instalacji oprogramowania z klucza USB.</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 xml:space="preserve">W ramach systemu Firewall powinna być możliwość zdefiniowania co najmniej 200 interfejsów wirtualnych - definiowanych jako </w:t>
            </w:r>
            <w:proofErr w:type="spellStart"/>
            <w:r>
              <w:rPr>
                <w:rFonts w:ascii="Verdana" w:hAnsi="Verdana"/>
                <w:sz w:val="18"/>
                <w:szCs w:val="18"/>
              </w:rPr>
              <w:t>VLAN’y</w:t>
            </w:r>
            <w:proofErr w:type="spellEnd"/>
            <w:r>
              <w:rPr>
                <w:rFonts w:ascii="Verdana" w:hAnsi="Verdana"/>
                <w:sz w:val="18"/>
                <w:szCs w:val="18"/>
              </w:rPr>
              <w:t xml:space="preserve"> w oparciu o standard 802.1Q.</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System musi być wyposażony w zasilanie AC.</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Parametry wydajnościowe:</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 xml:space="preserve">W zakresie </w:t>
            </w:r>
            <w:proofErr w:type="spellStart"/>
            <w:r>
              <w:rPr>
                <w:rFonts w:ascii="Verdana" w:hAnsi="Verdana"/>
                <w:sz w:val="18"/>
                <w:szCs w:val="18"/>
              </w:rPr>
              <w:t>Firewall’a</w:t>
            </w:r>
            <w:proofErr w:type="spellEnd"/>
            <w:r>
              <w:rPr>
                <w:rFonts w:ascii="Verdana" w:hAnsi="Verdana"/>
                <w:sz w:val="18"/>
                <w:szCs w:val="18"/>
              </w:rPr>
              <w:t xml:space="preserve"> obsługa nie mniej niż 700 tys. jednoczesnych połączeń oraz 35 tys. nowych połączeń na sekundę.</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 xml:space="preserve">Przepustowość </w:t>
            </w:r>
            <w:proofErr w:type="spellStart"/>
            <w:r>
              <w:rPr>
                <w:rFonts w:ascii="Verdana" w:hAnsi="Verdana"/>
                <w:sz w:val="18"/>
                <w:szCs w:val="18"/>
              </w:rPr>
              <w:t>Stateful</w:t>
            </w:r>
            <w:proofErr w:type="spellEnd"/>
            <w:r>
              <w:rPr>
                <w:rFonts w:ascii="Verdana" w:hAnsi="Verdana"/>
                <w:sz w:val="18"/>
                <w:szCs w:val="18"/>
              </w:rPr>
              <w:t xml:space="preserve"> Firewall: nie mniej niż 10 </w:t>
            </w:r>
            <w:proofErr w:type="spellStart"/>
            <w:r>
              <w:rPr>
                <w:rFonts w:ascii="Verdana" w:hAnsi="Verdana"/>
                <w:sz w:val="18"/>
                <w:szCs w:val="18"/>
              </w:rPr>
              <w:t>Gbps</w:t>
            </w:r>
            <w:proofErr w:type="spellEnd"/>
            <w:r>
              <w:rPr>
                <w:rFonts w:ascii="Verdana" w:hAnsi="Verdana"/>
                <w:sz w:val="18"/>
                <w:szCs w:val="18"/>
              </w:rPr>
              <w:t xml:space="preserve"> dla pakietów 512 B.</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 xml:space="preserve">Przepustowość Firewall z włączoną funkcją Kontroli Aplikacji: nie mniej niż 1.7 </w:t>
            </w:r>
            <w:proofErr w:type="spellStart"/>
            <w:r>
              <w:rPr>
                <w:rFonts w:ascii="Verdana" w:hAnsi="Verdana"/>
                <w:sz w:val="18"/>
                <w:szCs w:val="18"/>
              </w:rPr>
              <w:t>Gbps</w:t>
            </w:r>
            <w:proofErr w:type="spellEnd"/>
            <w:r>
              <w:rPr>
                <w:rFonts w:ascii="Verdana" w:hAnsi="Verdana"/>
                <w:sz w:val="18"/>
                <w:szCs w:val="18"/>
              </w:rPr>
              <w:t>.</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 xml:space="preserve">Wydajność szyfrowania </w:t>
            </w:r>
            <w:proofErr w:type="spellStart"/>
            <w:r>
              <w:rPr>
                <w:rFonts w:ascii="Verdana" w:hAnsi="Verdana"/>
                <w:sz w:val="18"/>
                <w:szCs w:val="18"/>
              </w:rPr>
              <w:t>IPSec</w:t>
            </w:r>
            <w:proofErr w:type="spellEnd"/>
            <w:r>
              <w:rPr>
                <w:rFonts w:ascii="Verdana" w:hAnsi="Verdana"/>
                <w:sz w:val="18"/>
                <w:szCs w:val="18"/>
              </w:rPr>
              <w:t xml:space="preserve"> VPN nie mniej niż 6 </w:t>
            </w:r>
            <w:proofErr w:type="spellStart"/>
            <w:r>
              <w:rPr>
                <w:rFonts w:ascii="Verdana" w:hAnsi="Verdana"/>
                <w:sz w:val="18"/>
                <w:szCs w:val="18"/>
              </w:rPr>
              <w:t>Gbps</w:t>
            </w:r>
            <w:proofErr w:type="spellEnd"/>
            <w:r>
              <w:rPr>
                <w:rFonts w:ascii="Verdana" w:hAnsi="Verdana"/>
                <w:sz w:val="18"/>
                <w:szCs w:val="18"/>
              </w:rPr>
              <w:t>.</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 xml:space="preserve">Wydajność skanowania ruchu w celu ochrony przed atakami (zarówno </w:t>
            </w:r>
            <w:proofErr w:type="spellStart"/>
            <w:r>
              <w:rPr>
                <w:rFonts w:ascii="Verdana" w:hAnsi="Verdana"/>
                <w:sz w:val="18"/>
                <w:szCs w:val="18"/>
              </w:rPr>
              <w:t>client</w:t>
            </w:r>
            <w:proofErr w:type="spellEnd"/>
            <w:r>
              <w:rPr>
                <w:rFonts w:ascii="Verdana" w:hAnsi="Verdana"/>
                <w:sz w:val="18"/>
                <w:szCs w:val="18"/>
              </w:rPr>
              <w:t xml:space="preserve"> </w:t>
            </w:r>
            <w:proofErr w:type="spellStart"/>
            <w:r>
              <w:rPr>
                <w:rFonts w:ascii="Verdana" w:hAnsi="Verdana"/>
                <w:sz w:val="18"/>
                <w:szCs w:val="18"/>
              </w:rPr>
              <w:t>side</w:t>
            </w:r>
            <w:proofErr w:type="spellEnd"/>
            <w:r>
              <w:rPr>
                <w:rFonts w:ascii="Verdana" w:hAnsi="Verdana"/>
                <w:sz w:val="18"/>
                <w:szCs w:val="18"/>
              </w:rPr>
              <w:t xml:space="preserve"> jak i </w:t>
            </w:r>
            <w:proofErr w:type="spellStart"/>
            <w:r>
              <w:rPr>
                <w:rFonts w:ascii="Verdana" w:hAnsi="Verdana"/>
                <w:sz w:val="18"/>
                <w:szCs w:val="18"/>
              </w:rPr>
              <w:t>server</w:t>
            </w:r>
            <w:proofErr w:type="spellEnd"/>
            <w:r>
              <w:rPr>
                <w:rFonts w:ascii="Verdana" w:hAnsi="Verdana"/>
                <w:sz w:val="18"/>
                <w:szCs w:val="18"/>
              </w:rPr>
              <w:t xml:space="preserve"> </w:t>
            </w:r>
            <w:proofErr w:type="spellStart"/>
            <w:r>
              <w:rPr>
                <w:rFonts w:ascii="Verdana" w:hAnsi="Verdana"/>
                <w:sz w:val="18"/>
                <w:szCs w:val="18"/>
              </w:rPr>
              <w:t>side</w:t>
            </w:r>
            <w:proofErr w:type="spellEnd"/>
            <w:r>
              <w:rPr>
                <w:rFonts w:ascii="Verdana" w:hAnsi="Verdana"/>
                <w:sz w:val="18"/>
                <w:szCs w:val="18"/>
              </w:rPr>
              <w:t xml:space="preserve"> w ramach modułu IPS) dla ruchu Enterprise </w:t>
            </w:r>
            <w:proofErr w:type="spellStart"/>
            <w:r>
              <w:rPr>
                <w:rFonts w:ascii="Verdana" w:hAnsi="Verdana"/>
                <w:sz w:val="18"/>
                <w:szCs w:val="18"/>
              </w:rPr>
              <w:t>Traffic</w:t>
            </w:r>
            <w:proofErr w:type="spellEnd"/>
            <w:r>
              <w:rPr>
                <w:rFonts w:ascii="Verdana" w:hAnsi="Verdana"/>
                <w:sz w:val="18"/>
                <w:szCs w:val="18"/>
              </w:rPr>
              <w:t xml:space="preserve"> Mix - minimum 1.4 </w:t>
            </w:r>
            <w:proofErr w:type="spellStart"/>
            <w:r>
              <w:rPr>
                <w:rFonts w:ascii="Verdana" w:hAnsi="Verdana"/>
                <w:sz w:val="18"/>
                <w:szCs w:val="18"/>
              </w:rPr>
              <w:t>Gbps</w:t>
            </w:r>
            <w:proofErr w:type="spellEnd"/>
            <w:r>
              <w:rPr>
                <w:rFonts w:ascii="Verdana" w:hAnsi="Verdana"/>
                <w:sz w:val="18"/>
                <w:szCs w:val="18"/>
              </w:rPr>
              <w:t>.</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6.</w:t>
            </w:r>
            <w:r>
              <w:rPr>
                <w:rFonts w:ascii="Verdana" w:hAnsi="Verdana"/>
                <w:sz w:val="18"/>
                <w:szCs w:val="18"/>
              </w:rPr>
              <w:tab/>
              <w:t xml:space="preserve">Wydajność skanowania ruchu typu Enterprise Mix z włączonymi funkcjami: IPS, Application Control, Antywirus - minimum 700 </w:t>
            </w:r>
            <w:proofErr w:type="spellStart"/>
            <w:r>
              <w:rPr>
                <w:rFonts w:ascii="Verdana" w:hAnsi="Verdana"/>
                <w:sz w:val="18"/>
                <w:szCs w:val="18"/>
              </w:rPr>
              <w:t>Mbps</w:t>
            </w:r>
            <w:proofErr w:type="spellEnd"/>
            <w:r>
              <w:rPr>
                <w:rFonts w:ascii="Verdana" w:hAnsi="Verdana"/>
                <w:sz w:val="18"/>
                <w:szCs w:val="18"/>
              </w:rPr>
              <w:t>.</w:t>
            </w:r>
          </w:p>
          <w:p>
            <w:pPr>
              <w:spacing w:after="21" w:line="276" w:lineRule="auto"/>
              <w:ind w:left="353" w:right="182"/>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7.</w:t>
            </w:r>
            <w:r>
              <w:rPr>
                <w:rFonts w:ascii="Verdana" w:hAnsi="Verdana"/>
                <w:sz w:val="18"/>
                <w:szCs w:val="18"/>
              </w:rPr>
              <w:tab/>
              <w:t xml:space="preserve">Wydajność systemu w zakresie inspekcji komunikacji szyfrowanej SSL dla ruchu http – minimum 600 </w:t>
            </w:r>
            <w:proofErr w:type="spellStart"/>
            <w:r>
              <w:rPr>
                <w:rFonts w:ascii="Verdana" w:hAnsi="Verdana"/>
                <w:sz w:val="18"/>
                <w:szCs w:val="18"/>
              </w:rPr>
              <w:t>Mbps</w:t>
            </w:r>
            <w:proofErr w:type="spellEnd"/>
            <w:r>
              <w:rPr>
                <w:rFonts w:ascii="Verdana" w:hAnsi="Verdana"/>
                <w:sz w:val="18"/>
                <w:szCs w:val="18"/>
              </w:rPr>
              <w:t>.</w:t>
            </w:r>
          </w:p>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trPr>
          <w:trHeight w:val="274"/>
        </w:trPr>
        <w:tc>
          <w:tcPr>
            <w:cnfStyle w:val="001000000000" w:firstRow="0" w:lastRow="0" w:firstColumn="1" w:lastColumn="0" w:oddVBand="0" w:evenVBand="0" w:oddHBand="0" w:evenHBand="0" w:firstRowFirstColumn="0" w:firstRowLastColumn="0" w:lastRowFirstColumn="0" w:lastRowLastColumn="0"/>
            <w:tcW w:w="1101" w:type="dxa"/>
          </w:tcPr>
          <w:p>
            <w:pPr>
              <w:spacing w:after="0" w:line="276" w:lineRule="auto"/>
              <w:ind w:left="0" w:right="0" w:firstLine="0"/>
              <w:jc w:val="left"/>
              <w:rPr>
                <w:rFonts w:ascii="Verdana" w:hAnsi="Verdana"/>
                <w:sz w:val="18"/>
                <w:szCs w:val="18"/>
              </w:rPr>
            </w:pPr>
            <w:r>
              <w:rPr>
                <w:rFonts w:ascii="Verdana" w:hAnsi="Verdana"/>
                <w:sz w:val="18"/>
                <w:szCs w:val="18"/>
              </w:rPr>
              <w:t>4.</w:t>
            </w:r>
            <w:r>
              <w:rPr>
                <w:rFonts w:ascii="Verdana" w:eastAsia="Arial" w:hAnsi="Verdana"/>
                <w:sz w:val="18"/>
                <w:szCs w:val="18"/>
              </w:rPr>
              <w:t xml:space="preserve"> </w:t>
            </w:r>
            <w:r>
              <w:rPr>
                <w:rFonts w:ascii="Verdana" w:hAnsi="Verdana"/>
                <w:sz w:val="18"/>
                <w:szCs w:val="18"/>
              </w:rPr>
              <w:t xml:space="preserve"> </w:t>
            </w:r>
          </w:p>
        </w:tc>
        <w:tc>
          <w:tcPr>
            <w:tcW w:w="2551" w:type="dxa"/>
          </w:tcPr>
          <w:p>
            <w:pPr>
              <w:spacing w:after="21" w:line="276" w:lineRule="auto"/>
              <w:ind w:left="0" w:right="182" w:firstLine="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Funkcje Systemu Bezpieczeństwa:</w:t>
            </w:r>
          </w:p>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6137" w:type="dxa"/>
          </w:tcPr>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 ramach dostarczonego systemu ochrony muszą być realizowane wszystkie poniższe funkcje. Mogą one być zrealizowane w postaci osobnych, komercyjnych platform sprzętowych lub programowych:</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 xml:space="preserve">Kontrola dostępu - zapora ogniowa klasy </w:t>
            </w:r>
            <w:proofErr w:type="spellStart"/>
            <w:r>
              <w:rPr>
                <w:rFonts w:ascii="Verdana" w:hAnsi="Verdana"/>
                <w:sz w:val="18"/>
                <w:szCs w:val="18"/>
              </w:rPr>
              <w:t>Stateful</w:t>
            </w:r>
            <w:proofErr w:type="spellEnd"/>
            <w:r>
              <w:rPr>
                <w:rFonts w:ascii="Verdana" w:hAnsi="Verdana"/>
                <w:sz w:val="18"/>
                <w:szCs w:val="18"/>
              </w:rPr>
              <w:t xml:space="preserve"> </w:t>
            </w:r>
            <w:proofErr w:type="spellStart"/>
            <w:r>
              <w:rPr>
                <w:rFonts w:ascii="Verdana" w:hAnsi="Verdana"/>
                <w:sz w:val="18"/>
                <w:szCs w:val="18"/>
              </w:rPr>
              <w:t>Inspection</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 xml:space="preserve">Kontrola Aplikacji.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 xml:space="preserve">Poufność transmisji danych  - połączenia szyfrowane </w:t>
            </w:r>
            <w:proofErr w:type="spellStart"/>
            <w:r>
              <w:rPr>
                <w:rFonts w:ascii="Verdana" w:hAnsi="Verdana"/>
                <w:sz w:val="18"/>
                <w:szCs w:val="18"/>
              </w:rPr>
              <w:t>IPSec</w:t>
            </w:r>
            <w:proofErr w:type="spellEnd"/>
            <w:r>
              <w:rPr>
                <w:rFonts w:ascii="Verdana" w:hAnsi="Verdana"/>
                <w:sz w:val="18"/>
                <w:szCs w:val="18"/>
              </w:rPr>
              <w:t xml:space="preserve"> VPN oraz SSL VPN.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 xml:space="preserve">Ochrona przed </w:t>
            </w:r>
            <w:proofErr w:type="spellStart"/>
            <w:r>
              <w:rPr>
                <w:rFonts w:ascii="Verdana" w:hAnsi="Verdana"/>
                <w:sz w:val="18"/>
                <w:szCs w:val="18"/>
              </w:rPr>
              <w:t>malware</w:t>
            </w:r>
            <w:proofErr w:type="spellEnd"/>
            <w:r>
              <w:rPr>
                <w:rFonts w:ascii="Verdana" w:hAnsi="Verdana"/>
                <w:sz w:val="18"/>
                <w:szCs w:val="18"/>
              </w:rPr>
              <w:t xml:space="preserve"> – co najmniej dla protokołów SMTP, POP3, IMAP, HTTP, FTP, HTTPS.</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 xml:space="preserve">Ochrona przed atakami  - </w:t>
            </w:r>
            <w:proofErr w:type="spellStart"/>
            <w:r>
              <w:rPr>
                <w:rFonts w:ascii="Verdana" w:hAnsi="Verdana"/>
                <w:sz w:val="18"/>
                <w:szCs w:val="18"/>
              </w:rPr>
              <w:t>Intrusion</w:t>
            </w:r>
            <w:proofErr w:type="spellEnd"/>
            <w:r>
              <w:rPr>
                <w:rFonts w:ascii="Verdana" w:hAnsi="Verdana"/>
                <w:sz w:val="18"/>
                <w:szCs w:val="18"/>
              </w:rPr>
              <w:t xml:space="preserve"> </w:t>
            </w:r>
            <w:proofErr w:type="spellStart"/>
            <w:r>
              <w:rPr>
                <w:rFonts w:ascii="Verdana" w:hAnsi="Verdana"/>
                <w:sz w:val="18"/>
                <w:szCs w:val="18"/>
              </w:rPr>
              <w:t>Prevention</w:t>
            </w:r>
            <w:proofErr w:type="spellEnd"/>
            <w:r>
              <w:rPr>
                <w:rFonts w:ascii="Verdana" w:hAnsi="Verdana"/>
                <w:sz w:val="18"/>
                <w:szCs w:val="18"/>
              </w:rPr>
              <w:t xml:space="preserve"> System.</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6.</w:t>
            </w:r>
            <w:r>
              <w:rPr>
                <w:rFonts w:ascii="Verdana" w:hAnsi="Verdana"/>
                <w:sz w:val="18"/>
                <w:szCs w:val="18"/>
              </w:rPr>
              <w:tab/>
              <w:t xml:space="preserve">Kontrola stron WWW.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7.</w:t>
            </w:r>
            <w:r>
              <w:rPr>
                <w:rFonts w:ascii="Verdana" w:hAnsi="Verdana"/>
                <w:sz w:val="18"/>
                <w:szCs w:val="18"/>
              </w:rPr>
              <w:tab/>
              <w:t xml:space="preserve">Kontrola zawartości poczty – </w:t>
            </w:r>
            <w:proofErr w:type="spellStart"/>
            <w:r>
              <w:rPr>
                <w:rFonts w:ascii="Verdana" w:hAnsi="Verdana"/>
                <w:sz w:val="18"/>
                <w:szCs w:val="18"/>
              </w:rPr>
              <w:t>Antyspam</w:t>
            </w:r>
            <w:proofErr w:type="spellEnd"/>
            <w:r>
              <w:rPr>
                <w:rFonts w:ascii="Verdana" w:hAnsi="Verdana"/>
                <w:sz w:val="18"/>
                <w:szCs w:val="18"/>
              </w:rPr>
              <w:t xml:space="preserve"> dla protokołów SMTP, POP3.</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8.</w:t>
            </w:r>
            <w:r>
              <w:rPr>
                <w:rFonts w:ascii="Verdana" w:hAnsi="Verdana"/>
                <w:sz w:val="18"/>
                <w:szCs w:val="18"/>
              </w:rPr>
              <w:tab/>
              <w:t>Zarządzanie pasmem (</w:t>
            </w:r>
            <w:proofErr w:type="spellStart"/>
            <w:r>
              <w:rPr>
                <w:rFonts w:ascii="Verdana" w:hAnsi="Verdana"/>
                <w:sz w:val="18"/>
                <w:szCs w:val="18"/>
              </w:rPr>
              <w:t>QoS</w:t>
            </w:r>
            <w:proofErr w:type="spellEnd"/>
            <w:r>
              <w:rPr>
                <w:rFonts w:ascii="Verdana" w:hAnsi="Verdana"/>
                <w:sz w:val="18"/>
                <w:szCs w:val="18"/>
              </w:rPr>
              <w:t xml:space="preserve">, </w:t>
            </w:r>
            <w:proofErr w:type="spellStart"/>
            <w:r>
              <w:rPr>
                <w:rFonts w:ascii="Verdana" w:hAnsi="Verdana"/>
                <w:sz w:val="18"/>
                <w:szCs w:val="18"/>
              </w:rPr>
              <w:t>Traffic</w:t>
            </w:r>
            <w:proofErr w:type="spellEnd"/>
            <w:r>
              <w:rPr>
                <w:rFonts w:ascii="Verdana" w:hAnsi="Verdana"/>
                <w:sz w:val="18"/>
                <w:szCs w:val="18"/>
              </w:rPr>
              <w:t xml:space="preserve"> </w:t>
            </w:r>
            <w:proofErr w:type="spellStart"/>
            <w:r>
              <w:rPr>
                <w:rFonts w:ascii="Verdana" w:hAnsi="Verdana"/>
                <w:sz w:val="18"/>
                <w:szCs w:val="18"/>
              </w:rPr>
              <w:t>shaping</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9.</w:t>
            </w:r>
            <w:r>
              <w:rPr>
                <w:rFonts w:ascii="Verdana" w:hAnsi="Verdana"/>
                <w:sz w:val="18"/>
                <w:szCs w:val="18"/>
              </w:rPr>
              <w:tab/>
              <w:t xml:space="preserve">Mechanizmy ochrony przed wyciekiem poufnej informacji (DLP).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10.</w:t>
            </w:r>
            <w:r>
              <w:rPr>
                <w:rFonts w:ascii="Verdana" w:hAnsi="Verdana"/>
                <w:sz w:val="18"/>
                <w:szCs w:val="18"/>
              </w:rPr>
              <w:tab/>
              <w:t xml:space="preserve">Dwu-składnikowe uwierzytelnianie z wykorzystaniem </w:t>
            </w:r>
            <w:proofErr w:type="spellStart"/>
            <w:r>
              <w:rPr>
                <w:rFonts w:ascii="Verdana" w:hAnsi="Verdana"/>
                <w:sz w:val="18"/>
                <w:szCs w:val="18"/>
              </w:rPr>
              <w:t>tokenów</w:t>
            </w:r>
            <w:proofErr w:type="spellEnd"/>
            <w:r>
              <w:rPr>
                <w:rFonts w:ascii="Verdana" w:hAnsi="Verdana"/>
                <w:sz w:val="18"/>
                <w:szCs w:val="18"/>
              </w:rPr>
              <w:t xml:space="preserve"> sprzętowych lub programowych. W ramach </w:t>
            </w:r>
            <w:r>
              <w:rPr>
                <w:rFonts w:ascii="Verdana" w:hAnsi="Verdana"/>
                <w:sz w:val="18"/>
                <w:szCs w:val="18"/>
              </w:rPr>
              <w:lastRenderedPageBreak/>
              <w:t xml:space="preserve">postępowania powinny zostać dostarczone co najmniej 2 </w:t>
            </w:r>
            <w:proofErr w:type="spellStart"/>
            <w:r>
              <w:rPr>
                <w:rFonts w:ascii="Verdana" w:hAnsi="Verdana"/>
                <w:sz w:val="18"/>
                <w:szCs w:val="18"/>
              </w:rPr>
              <w:t>tokeny</w:t>
            </w:r>
            <w:proofErr w:type="spellEnd"/>
            <w:r>
              <w:rPr>
                <w:rFonts w:ascii="Verdana" w:hAnsi="Verdana"/>
                <w:sz w:val="18"/>
                <w:szCs w:val="18"/>
              </w:rPr>
              <w:t xml:space="preserve"> sprzętowe lub programowe, które będą zastosowane do dwu-składnikowego uwierzytelnienia administratorów lub w ramach połączeń VPN typu </w:t>
            </w:r>
            <w:proofErr w:type="spellStart"/>
            <w:r>
              <w:rPr>
                <w:rFonts w:ascii="Verdana" w:hAnsi="Verdana"/>
                <w:sz w:val="18"/>
                <w:szCs w:val="18"/>
              </w:rPr>
              <w:t>client</w:t>
            </w:r>
            <w:proofErr w:type="spellEnd"/>
            <w:r>
              <w:rPr>
                <w:rFonts w:ascii="Verdana" w:hAnsi="Verdana"/>
                <w:sz w:val="18"/>
                <w:szCs w:val="18"/>
              </w:rPr>
              <w:t>-to-</w:t>
            </w:r>
            <w:proofErr w:type="spellStart"/>
            <w:r>
              <w:rPr>
                <w:rFonts w:ascii="Verdana" w:hAnsi="Verdana"/>
                <w:sz w:val="18"/>
                <w:szCs w:val="18"/>
              </w:rPr>
              <w:t>site</w:t>
            </w:r>
            <w:proofErr w:type="spellEnd"/>
            <w:r>
              <w:rPr>
                <w:rFonts w:ascii="Verdana" w:hAnsi="Verdana"/>
                <w:sz w:val="18"/>
                <w:szCs w:val="18"/>
              </w:rPr>
              <w:t xml:space="preserve">.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11.</w:t>
            </w:r>
            <w:r>
              <w:rPr>
                <w:rFonts w:ascii="Verdana" w:hAnsi="Verdana"/>
                <w:sz w:val="18"/>
                <w:szCs w:val="18"/>
              </w:rPr>
              <w:tab/>
              <w:t>Analiza ruchu szyfrowanego protokołem SSL także dla protokołu HTTP/2.</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12.</w:t>
            </w:r>
            <w:r>
              <w:rPr>
                <w:rFonts w:ascii="Verdana" w:hAnsi="Verdana"/>
                <w:sz w:val="18"/>
                <w:szCs w:val="18"/>
              </w:rPr>
              <w:tab/>
              <w:t xml:space="preserve">Funkcja lokalnego serwera DNS ze wsparciem dla DNS </w:t>
            </w:r>
            <w:proofErr w:type="spellStart"/>
            <w:r>
              <w:rPr>
                <w:rFonts w:ascii="Verdana" w:hAnsi="Verdana"/>
                <w:sz w:val="18"/>
                <w:szCs w:val="18"/>
              </w:rPr>
              <w:t>over</w:t>
            </w:r>
            <w:proofErr w:type="spellEnd"/>
            <w:r>
              <w:rPr>
                <w:rFonts w:ascii="Verdana" w:hAnsi="Verdana"/>
                <w:sz w:val="18"/>
                <w:szCs w:val="18"/>
              </w:rPr>
              <w:t xml:space="preserve"> TLS (</w:t>
            </w:r>
            <w:proofErr w:type="spellStart"/>
            <w:r>
              <w:rPr>
                <w:rFonts w:ascii="Verdana" w:hAnsi="Verdana"/>
                <w:sz w:val="18"/>
                <w:szCs w:val="18"/>
              </w:rPr>
              <w:t>DoT</w:t>
            </w:r>
            <w:proofErr w:type="spellEnd"/>
            <w:r>
              <w:rPr>
                <w:rFonts w:ascii="Verdana" w:hAnsi="Verdana"/>
                <w:sz w:val="18"/>
                <w:szCs w:val="18"/>
              </w:rPr>
              <w:t xml:space="preserve">) oraz DNS </w:t>
            </w:r>
            <w:proofErr w:type="spellStart"/>
            <w:r>
              <w:rPr>
                <w:rFonts w:ascii="Verdana" w:hAnsi="Verdana"/>
                <w:sz w:val="18"/>
                <w:szCs w:val="18"/>
              </w:rPr>
              <w:t>over</w:t>
            </w:r>
            <w:proofErr w:type="spellEnd"/>
            <w:r>
              <w:rPr>
                <w:rFonts w:ascii="Verdana" w:hAnsi="Verdana"/>
                <w:sz w:val="18"/>
                <w:szCs w:val="18"/>
              </w:rPr>
              <w:t xml:space="preserve"> HTTPS (</w:t>
            </w:r>
            <w:proofErr w:type="spellStart"/>
            <w:r>
              <w:rPr>
                <w:rFonts w:ascii="Verdana" w:hAnsi="Verdana"/>
                <w:sz w:val="18"/>
                <w:szCs w:val="18"/>
              </w:rPr>
              <w:t>DoH</w:t>
            </w:r>
            <w:proofErr w:type="spellEnd"/>
            <w:r>
              <w:rPr>
                <w:rFonts w:ascii="Verdana" w:hAnsi="Verdana"/>
                <w:sz w:val="18"/>
                <w:szCs w:val="18"/>
              </w:rPr>
              <w:t>) z możliwością filtrowania zapytań DNS na lokalnym serwerze DNS jak i w ruchu przechodzącym przez system</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Polityki, Firewall</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13.</w:t>
            </w:r>
            <w:r>
              <w:rPr>
                <w:rFonts w:ascii="Verdana" w:hAnsi="Verdana"/>
                <w:sz w:val="18"/>
                <w:szCs w:val="18"/>
              </w:rPr>
              <w:tab/>
              <w:t xml:space="preserve">2. Polityka Firewall musi uwzględniać adresy IP, użytkowników, protokoły, usługi sieciowe, aplikacje lub zbiory aplikacji, reakcje zabezpieczeń, rejestrowanie zdarzeń.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14.</w:t>
            </w:r>
            <w:r>
              <w:rPr>
                <w:rFonts w:ascii="Verdana" w:hAnsi="Verdana"/>
                <w:sz w:val="18"/>
                <w:szCs w:val="18"/>
              </w:rPr>
              <w:tab/>
              <w:t>3. System musi zapewniać translację adresów NAT: źródłowego i docelowego, translację PAT oraz:</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Translację jeden do jeden oraz jeden do wielu.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w:t>
            </w:r>
            <w:r>
              <w:rPr>
                <w:rFonts w:ascii="Verdana" w:hAnsi="Verdana"/>
                <w:sz w:val="18"/>
                <w:szCs w:val="18"/>
                <w:lang w:val="en-US"/>
              </w:rPr>
              <w:tab/>
            </w:r>
            <w:proofErr w:type="spellStart"/>
            <w:r>
              <w:rPr>
                <w:rFonts w:ascii="Verdana" w:hAnsi="Verdana"/>
                <w:sz w:val="18"/>
                <w:szCs w:val="18"/>
                <w:lang w:val="en-US"/>
              </w:rPr>
              <w:t>Dedykowany</w:t>
            </w:r>
            <w:proofErr w:type="spellEnd"/>
            <w:r>
              <w:rPr>
                <w:rFonts w:ascii="Verdana" w:hAnsi="Verdana"/>
                <w:sz w:val="18"/>
                <w:szCs w:val="18"/>
                <w:lang w:val="en-US"/>
              </w:rPr>
              <w:t xml:space="preserve"> ALG (Application Level Gateway) </w:t>
            </w:r>
            <w:proofErr w:type="spellStart"/>
            <w:r>
              <w:rPr>
                <w:rFonts w:ascii="Verdana" w:hAnsi="Verdana"/>
                <w:sz w:val="18"/>
                <w:szCs w:val="18"/>
                <w:lang w:val="en-US"/>
              </w:rPr>
              <w:t>dla</w:t>
            </w:r>
            <w:proofErr w:type="spellEnd"/>
            <w:r>
              <w:rPr>
                <w:rFonts w:ascii="Verdana" w:hAnsi="Verdana"/>
                <w:sz w:val="18"/>
                <w:szCs w:val="18"/>
                <w:lang w:val="en-US"/>
              </w:rPr>
              <w:t xml:space="preserve"> </w:t>
            </w:r>
            <w:proofErr w:type="spellStart"/>
            <w:r>
              <w:rPr>
                <w:rFonts w:ascii="Verdana" w:hAnsi="Verdana"/>
                <w:sz w:val="18"/>
                <w:szCs w:val="18"/>
                <w:lang w:val="en-US"/>
              </w:rPr>
              <w:t>protokołu</w:t>
            </w:r>
            <w:proofErr w:type="spellEnd"/>
            <w:r>
              <w:rPr>
                <w:rFonts w:ascii="Verdana" w:hAnsi="Verdana"/>
                <w:sz w:val="18"/>
                <w:szCs w:val="18"/>
                <w:lang w:val="en-US"/>
              </w:rPr>
              <w:t xml:space="preserve"> SIP.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15.</w:t>
            </w:r>
            <w:r>
              <w:rPr>
                <w:rFonts w:ascii="Verdana" w:hAnsi="Verdana"/>
                <w:sz w:val="18"/>
                <w:szCs w:val="18"/>
              </w:rPr>
              <w:tab/>
              <w:t>W ramach systemu musi istnieć możliwość tworzenia wydzielonych stref bezpieczeństwa np. DMZ, LAN, WAN.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16.</w:t>
            </w:r>
            <w:r>
              <w:rPr>
                <w:rFonts w:ascii="Verdana" w:hAnsi="Verdana"/>
                <w:sz w:val="18"/>
                <w:szCs w:val="18"/>
              </w:rPr>
              <w:tab/>
              <w:t xml:space="preserve">Możliwość wykorzystania w polityce bezpieczeństwa zewnętrznych repozytoriów zawierających: kategorie </w:t>
            </w:r>
            <w:proofErr w:type="spellStart"/>
            <w:r>
              <w:rPr>
                <w:rFonts w:ascii="Verdana" w:hAnsi="Verdana"/>
                <w:sz w:val="18"/>
                <w:szCs w:val="18"/>
              </w:rPr>
              <w:t>url</w:t>
            </w:r>
            <w:proofErr w:type="spellEnd"/>
            <w:r>
              <w:rPr>
                <w:rFonts w:ascii="Verdana" w:hAnsi="Verdana"/>
                <w:sz w:val="18"/>
                <w:szCs w:val="18"/>
              </w:rPr>
              <w:t xml:space="preserve">, adresy IP, nazwy domenowe, </w:t>
            </w:r>
            <w:proofErr w:type="spellStart"/>
            <w:r>
              <w:rPr>
                <w:rFonts w:ascii="Verdana" w:hAnsi="Verdana"/>
                <w:sz w:val="18"/>
                <w:szCs w:val="18"/>
              </w:rPr>
              <w:t>hash'e</w:t>
            </w:r>
            <w:proofErr w:type="spellEnd"/>
            <w:r>
              <w:rPr>
                <w:rFonts w:ascii="Verdana" w:hAnsi="Verdana"/>
                <w:sz w:val="18"/>
                <w:szCs w:val="18"/>
              </w:rPr>
              <w:t xml:space="preserve"> złośliwych plików.</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17.</w:t>
            </w:r>
            <w:r>
              <w:rPr>
                <w:rFonts w:ascii="Verdana" w:hAnsi="Verdana"/>
                <w:sz w:val="18"/>
                <w:szCs w:val="18"/>
              </w:rPr>
              <w:tab/>
              <w:t>Element systemu realizujący funkcję Firewall musi integrować się z następującymi rozwiązaniami SDN w celu dynamicznego pobierania informacji o zainstalowanych maszynach wirtualnych po to aby użyć ich przy budowaniu polityk kontroli dostępu.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w:t>
            </w:r>
            <w:r>
              <w:rPr>
                <w:rFonts w:ascii="Verdana" w:hAnsi="Verdana"/>
                <w:sz w:val="18"/>
                <w:szCs w:val="18"/>
                <w:lang w:val="en-US"/>
              </w:rPr>
              <w:tab/>
              <w:t>Amazon Web Services (AWS).</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w:t>
            </w:r>
            <w:r>
              <w:rPr>
                <w:rFonts w:ascii="Verdana" w:hAnsi="Verdana"/>
                <w:sz w:val="18"/>
                <w:szCs w:val="18"/>
                <w:lang w:val="en-US"/>
              </w:rPr>
              <w:tab/>
              <w:t xml:space="preserve">Microsoft Azure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w:t>
            </w:r>
            <w:r>
              <w:rPr>
                <w:rFonts w:ascii="Verdana" w:hAnsi="Verdana"/>
                <w:sz w:val="18"/>
                <w:szCs w:val="18"/>
                <w:lang w:val="en-US"/>
              </w:rPr>
              <w:tab/>
              <w:t>Google Cloud Platform (GCP).</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w:t>
            </w:r>
            <w:r>
              <w:rPr>
                <w:rFonts w:ascii="Verdana" w:hAnsi="Verdana"/>
                <w:sz w:val="18"/>
                <w:szCs w:val="18"/>
                <w:lang w:val="en-US"/>
              </w:rPr>
              <w:tab/>
              <w:t>OpenStack.</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r>
            <w:proofErr w:type="spellStart"/>
            <w:r>
              <w:rPr>
                <w:rFonts w:ascii="Verdana" w:hAnsi="Verdana"/>
                <w:sz w:val="18"/>
                <w:szCs w:val="18"/>
              </w:rPr>
              <w:t>VMware</w:t>
            </w:r>
            <w:proofErr w:type="spellEnd"/>
            <w:r>
              <w:rPr>
                <w:rFonts w:ascii="Verdana" w:hAnsi="Verdana"/>
                <w:sz w:val="18"/>
                <w:szCs w:val="18"/>
              </w:rPr>
              <w:t xml:space="preserve"> NSX.</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Połączenia VPN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 xml:space="preserve">System musi umożliwiać konfigurację połączeń typu </w:t>
            </w:r>
            <w:proofErr w:type="spellStart"/>
            <w:r>
              <w:rPr>
                <w:rFonts w:ascii="Verdana" w:hAnsi="Verdana"/>
                <w:sz w:val="18"/>
                <w:szCs w:val="18"/>
              </w:rPr>
              <w:t>IPSec</w:t>
            </w:r>
            <w:proofErr w:type="spellEnd"/>
            <w:r>
              <w:rPr>
                <w:rFonts w:ascii="Verdana" w:hAnsi="Verdana"/>
                <w:sz w:val="18"/>
                <w:szCs w:val="18"/>
              </w:rPr>
              <w:t xml:space="preserve"> VPN. W zakresie tej funkcji musi zapewniać:</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Wsparcie dla IKE v1 oraz v2.</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Obsługa szyfrowania protokołem AES z kluczem 128 i 256 bitów w trybie pracy </w:t>
            </w:r>
            <w:proofErr w:type="spellStart"/>
            <w:r>
              <w:rPr>
                <w:rFonts w:ascii="Verdana" w:hAnsi="Verdana"/>
                <w:sz w:val="18"/>
                <w:szCs w:val="18"/>
              </w:rPr>
              <w:t>Galois</w:t>
            </w:r>
            <w:proofErr w:type="spellEnd"/>
            <w:r>
              <w:rPr>
                <w:rFonts w:ascii="Verdana" w:hAnsi="Verdana"/>
                <w:sz w:val="18"/>
                <w:szCs w:val="18"/>
              </w:rPr>
              <w:t>/</w:t>
            </w:r>
            <w:proofErr w:type="spellStart"/>
            <w:r>
              <w:rPr>
                <w:rFonts w:ascii="Verdana" w:hAnsi="Verdana"/>
                <w:sz w:val="18"/>
                <w:szCs w:val="18"/>
              </w:rPr>
              <w:t>Counter</w:t>
            </w:r>
            <w:proofErr w:type="spellEnd"/>
            <w:r>
              <w:rPr>
                <w:rFonts w:ascii="Verdana" w:hAnsi="Verdana"/>
                <w:sz w:val="18"/>
                <w:szCs w:val="18"/>
              </w:rPr>
              <w:t xml:space="preserve"> </w:t>
            </w:r>
            <w:proofErr w:type="spellStart"/>
            <w:r>
              <w:rPr>
                <w:rFonts w:ascii="Verdana" w:hAnsi="Verdana"/>
                <w:sz w:val="18"/>
                <w:szCs w:val="18"/>
              </w:rPr>
              <w:t>Mode</w:t>
            </w:r>
            <w:proofErr w:type="spellEnd"/>
            <w:r>
              <w:rPr>
                <w:rFonts w:ascii="Verdana" w:hAnsi="Verdana"/>
                <w:sz w:val="18"/>
                <w:szCs w:val="18"/>
              </w:rPr>
              <w:t>(GCM).</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Obsługa protokołu </w:t>
            </w:r>
            <w:proofErr w:type="spellStart"/>
            <w:r>
              <w:rPr>
                <w:rFonts w:ascii="Verdana" w:hAnsi="Verdana"/>
                <w:sz w:val="18"/>
                <w:szCs w:val="18"/>
              </w:rPr>
              <w:t>Diffie-Hellman</w:t>
            </w:r>
            <w:proofErr w:type="spellEnd"/>
            <w:r>
              <w:rPr>
                <w:rFonts w:ascii="Verdana" w:hAnsi="Verdana"/>
                <w:sz w:val="18"/>
                <w:szCs w:val="18"/>
              </w:rPr>
              <w:t xml:space="preserve">  grup 19 i 20.</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Wsparcie dla Pracy w topologii Hub and </w:t>
            </w:r>
            <w:proofErr w:type="spellStart"/>
            <w:r>
              <w:rPr>
                <w:rFonts w:ascii="Verdana" w:hAnsi="Verdana"/>
                <w:sz w:val="18"/>
                <w:szCs w:val="18"/>
              </w:rPr>
              <w:t>Spoke</w:t>
            </w:r>
            <w:proofErr w:type="spellEnd"/>
            <w:r>
              <w:rPr>
                <w:rFonts w:ascii="Verdana" w:hAnsi="Verdana"/>
                <w:sz w:val="18"/>
                <w:szCs w:val="18"/>
              </w:rPr>
              <w:t xml:space="preserve"> oraz </w:t>
            </w:r>
            <w:proofErr w:type="spellStart"/>
            <w:r>
              <w:rPr>
                <w:rFonts w:ascii="Verdana" w:hAnsi="Verdana"/>
                <w:sz w:val="18"/>
                <w:szCs w:val="18"/>
              </w:rPr>
              <w:t>Mesh</w:t>
            </w:r>
            <w:proofErr w:type="spellEnd"/>
            <w:r>
              <w:rPr>
                <w:rFonts w:ascii="Verdana" w:hAnsi="Verdana"/>
                <w:sz w:val="18"/>
                <w:szCs w:val="18"/>
              </w:rPr>
              <w:t>, w tym wsparcie dla dynamicznego zestawiania tuneli pomiędzy SPOKE w topologii HUB and SPOKE.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Tworzenie połączeń typu Site-to-Site oraz Client-to-Site.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Monitorowanie stanu tuneli VPN i stałego utrzymywania ich aktywności.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Możliwość wyboru tunelu przez protokoły: dynamicznego routingu (np. OSPF) oraz routingu statycznego.</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lastRenderedPageBreak/>
              <w:t>•</w:t>
            </w:r>
            <w:r>
              <w:rPr>
                <w:rFonts w:ascii="Verdana" w:hAnsi="Verdana"/>
                <w:sz w:val="18"/>
                <w:szCs w:val="18"/>
              </w:rPr>
              <w:tab/>
              <w:t xml:space="preserve">Obsługa mechanizmów: </w:t>
            </w:r>
            <w:proofErr w:type="spellStart"/>
            <w:r>
              <w:rPr>
                <w:rFonts w:ascii="Verdana" w:hAnsi="Verdana"/>
                <w:sz w:val="18"/>
                <w:szCs w:val="18"/>
              </w:rPr>
              <w:t>IPSec</w:t>
            </w:r>
            <w:proofErr w:type="spellEnd"/>
            <w:r>
              <w:rPr>
                <w:rFonts w:ascii="Verdana" w:hAnsi="Verdana"/>
                <w:sz w:val="18"/>
                <w:szCs w:val="18"/>
              </w:rPr>
              <w:t xml:space="preserve"> NAT </w:t>
            </w:r>
            <w:proofErr w:type="spellStart"/>
            <w:r>
              <w:rPr>
                <w:rFonts w:ascii="Verdana" w:hAnsi="Verdana"/>
                <w:sz w:val="18"/>
                <w:szCs w:val="18"/>
              </w:rPr>
              <w:t>Traversal</w:t>
            </w:r>
            <w:proofErr w:type="spellEnd"/>
            <w:r>
              <w:rPr>
                <w:rFonts w:ascii="Verdana" w:hAnsi="Verdana"/>
                <w:sz w:val="18"/>
                <w:szCs w:val="18"/>
              </w:rPr>
              <w:t xml:space="preserve">, DPD, </w:t>
            </w:r>
            <w:proofErr w:type="spellStart"/>
            <w:r>
              <w:rPr>
                <w:rFonts w:ascii="Verdana" w:hAnsi="Verdana"/>
                <w:sz w:val="18"/>
                <w:szCs w:val="18"/>
              </w:rPr>
              <w:t>Xauth</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Mechanizm „Split </w:t>
            </w:r>
            <w:proofErr w:type="spellStart"/>
            <w:r>
              <w:rPr>
                <w:rFonts w:ascii="Verdana" w:hAnsi="Verdana"/>
                <w:sz w:val="18"/>
                <w:szCs w:val="18"/>
              </w:rPr>
              <w:t>tunneling</w:t>
            </w:r>
            <w:proofErr w:type="spellEnd"/>
            <w:r>
              <w:rPr>
                <w:rFonts w:ascii="Verdana" w:hAnsi="Verdana"/>
                <w:sz w:val="18"/>
                <w:szCs w:val="18"/>
              </w:rPr>
              <w:t>” dla połączeń Client-to-Site.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System musi umożliwiać konfigurację połączeń typu SSL VPN. W zakresie tej funkcji musi zapewniać:</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Pracę w trybie Portal  - gdzie dostęp do chronionych zasobów realizowany jest za pośrednictwem przeglądarki. W tym zakresie system musi zapewniać stronę komunikacyjną działającą w oparciu o HTML 5.0.</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Pracę w trybie </w:t>
            </w:r>
            <w:proofErr w:type="spellStart"/>
            <w:r>
              <w:rPr>
                <w:rFonts w:ascii="Verdana" w:hAnsi="Verdana"/>
                <w:sz w:val="18"/>
                <w:szCs w:val="18"/>
              </w:rPr>
              <w:t>Tunnel</w:t>
            </w:r>
            <w:proofErr w:type="spellEnd"/>
            <w:r>
              <w:rPr>
                <w:rFonts w:ascii="Verdana" w:hAnsi="Verdana"/>
                <w:sz w:val="18"/>
                <w:szCs w:val="18"/>
              </w:rPr>
              <w:t xml:space="preserve"> z możliwością włączenia funkcji „Split </w:t>
            </w:r>
            <w:proofErr w:type="spellStart"/>
            <w:r>
              <w:rPr>
                <w:rFonts w:ascii="Verdana" w:hAnsi="Verdana"/>
                <w:sz w:val="18"/>
                <w:szCs w:val="18"/>
              </w:rPr>
              <w:t>tunneling</w:t>
            </w:r>
            <w:proofErr w:type="spellEnd"/>
            <w:r>
              <w:rPr>
                <w:rFonts w:ascii="Verdana" w:hAnsi="Verdana"/>
                <w:sz w:val="18"/>
                <w:szCs w:val="18"/>
              </w:rPr>
              <w:t>” przy zastosowaniu dedykowanego klienta.</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Producent rozwiązania musi dostarczać oprogramowanie klienckie VPN, które umożliwia realizację połączeń </w:t>
            </w:r>
            <w:proofErr w:type="spellStart"/>
            <w:r>
              <w:rPr>
                <w:rFonts w:ascii="Verdana" w:hAnsi="Verdana"/>
                <w:sz w:val="18"/>
                <w:szCs w:val="18"/>
              </w:rPr>
              <w:t>IPSec</w:t>
            </w:r>
            <w:proofErr w:type="spellEnd"/>
            <w:r>
              <w:rPr>
                <w:rFonts w:ascii="Verdana" w:hAnsi="Verdana"/>
                <w:sz w:val="18"/>
                <w:szCs w:val="18"/>
              </w:rPr>
              <w:t xml:space="preserve"> VPN lub SSL VPN.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Routing i obsługa łączy WAN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W zakresie routingu rozwiązanie powinno zapewniać obsługę:</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Routingu statycznego.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Policy </w:t>
            </w:r>
            <w:proofErr w:type="spellStart"/>
            <w:r>
              <w:rPr>
                <w:rFonts w:ascii="Verdana" w:hAnsi="Verdana"/>
                <w:sz w:val="18"/>
                <w:szCs w:val="18"/>
              </w:rPr>
              <w:t>Based</w:t>
            </w:r>
            <w:proofErr w:type="spellEnd"/>
            <w:r>
              <w:rPr>
                <w:rFonts w:ascii="Verdana" w:hAnsi="Verdana"/>
                <w:sz w:val="18"/>
                <w:szCs w:val="18"/>
              </w:rPr>
              <w:t xml:space="preserve"> Routingu.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Protokołów dynamicznego routingu w oparciu o protokoły: RIPv2, OSPF, BGP oraz PIM.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Funkcje SD-WAN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System powinien umożliwiać wykorzystanie protokołów dynamicznego routingu przy konfiguracji równoważenia obciążenia do łączy WAN.</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Reguły SD-WAN powinny umożliwiać określenie aplikacji jako argumentu dla kierowania ruchu.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Zarządzanie pasmem</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System Firewall musi umożliwiać zarządzanie pasmem poprzez określenie: maksymalnej, gwarantowanej ilości pasma,  oznaczanie DSCP oraz wskazanie priorytetu ruchu.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Musi istnieć możliwość określania pasma dla poszczególnych aplikacji.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System musi zapewniać możliwość zarządzania pasmem dla wybranych kategorii URL.</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Ochrona przed </w:t>
            </w:r>
            <w:proofErr w:type="spellStart"/>
            <w:r>
              <w:rPr>
                <w:rFonts w:ascii="Verdana" w:hAnsi="Verdana"/>
                <w:sz w:val="18"/>
                <w:szCs w:val="18"/>
              </w:rPr>
              <w:t>malware</w:t>
            </w:r>
            <w:proofErr w:type="spellEnd"/>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Silnik antywirusowy musi umożliwiać skanowanie ruchu w obu kierunkach komunikacji dla protokołów działających na niestandardowych portach (np. FTP na porcie 2021).</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System musi umożliwiać skanowanie archiwów, w tym co najmniej: zip, RAR.</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System musi dysponować sygnaturami do ochrony urządzeń mobilnych (co najmniej dla systemu operacyjnego Android).</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 xml:space="preserve">System musi współpracować z dedykowaną platformą typu </w:t>
            </w:r>
            <w:proofErr w:type="spellStart"/>
            <w:r>
              <w:rPr>
                <w:rFonts w:ascii="Verdana" w:hAnsi="Verdana"/>
                <w:sz w:val="18"/>
                <w:szCs w:val="18"/>
              </w:rPr>
              <w:t>Sandbox</w:t>
            </w:r>
            <w:proofErr w:type="spellEnd"/>
            <w:r>
              <w:rPr>
                <w:rFonts w:ascii="Verdana" w:hAnsi="Verdana"/>
                <w:sz w:val="18"/>
                <w:szCs w:val="18"/>
              </w:rPr>
              <w:t xml:space="preserve"> lub usługą typu </w:t>
            </w:r>
            <w:proofErr w:type="spellStart"/>
            <w:r>
              <w:rPr>
                <w:rFonts w:ascii="Verdana" w:hAnsi="Verdana"/>
                <w:sz w:val="18"/>
                <w:szCs w:val="18"/>
              </w:rPr>
              <w:t>Sandbox</w:t>
            </w:r>
            <w:proofErr w:type="spellEnd"/>
            <w:r>
              <w:rPr>
                <w:rFonts w:ascii="Verdana" w:hAnsi="Verdana"/>
                <w:sz w:val="18"/>
                <w:szCs w:val="18"/>
              </w:rPr>
              <w:t xml:space="preserve"> realizowaną w chmurze. W ramach postępowania musi zostać dostarczona platforma typu </w:t>
            </w:r>
            <w:proofErr w:type="spellStart"/>
            <w:r>
              <w:rPr>
                <w:rFonts w:ascii="Verdana" w:hAnsi="Verdana"/>
                <w:sz w:val="18"/>
                <w:szCs w:val="18"/>
              </w:rPr>
              <w:t>Sandbox</w:t>
            </w:r>
            <w:proofErr w:type="spellEnd"/>
            <w:r>
              <w:rPr>
                <w:rFonts w:ascii="Verdana" w:hAnsi="Verdana"/>
                <w:sz w:val="18"/>
                <w:szCs w:val="18"/>
              </w:rPr>
              <w:t xml:space="preserve"> wraz z niezbędnymi serwisami lub licencja upoważniająca do korzystania z usługi typu </w:t>
            </w:r>
            <w:proofErr w:type="spellStart"/>
            <w:r>
              <w:rPr>
                <w:rFonts w:ascii="Verdana" w:hAnsi="Verdana"/>
                <w:sz w:val="18"/>
                <w:szCs w:val="18"/>
              </w:rPr>
              <w:t>Sandbox</w:t>
            </w:r>
            <w:proofErr w:type="spellEnd"/>
            <w:r>
              <w:rPr>
                <w:rFonts w:ascii="Verdana" w:hAnsi="Verdana"/>
                <w:sz w:val="18"/>
                <w:szCs w:val="18"/>
              </w:rPr>
              <w:t xml:space="preserve"> w chmurze.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 xml:space="preserve">System musi umożliwiać usuwanie aktywnej </w:t>
            </w:r>
            <w:r>
              <w:rPr>
                <w:rFonts w:ascii="Verdana" w:hAnsi="Verdana"/>
                <w:sz w:val="18"/>
                <w:szCs w:val="18"/>
              </w:rPr>
              <w:lastRenderedPageBreak/>
              <w:t>zawartości plików PDF oraz Microsoft Office bez konieczności blokowania transferu całych plików.</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6.</w:t>
            </w:r>
            <w:r>
              <w:rPr>
                <w:rFonts w:ascii="Verdana" w:hAnsi="Verdana"/>
                <w:sz w:val="18"/>
                <w:szCs w:val="18"/>
              </w:rPr>
              <w:tab/>
              <w:t xml:space="preserve">Możliwość wykorzystania silnika sztucznej inteligencji AI wytrenowanego przez laboratoria producenta.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Ochrona przed atakami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Ochrona IPS powinna opierać się co najmniej na analizie sygnaturowej oraz na analizie anomalii w protokołach sieciowych.</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System powinien chronić przed atakami na aplikacje pracujące na niestandardowych portach.</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Baza sygnatur ataków powinna zawierać minimum 5000 wpisów i być aktualizowana automatycznie, zgodnie z harmonogramem definiowanym przez administratora.</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Administrator systemu musi mieć możliwość definiowania własnych wyjątków oraz własnych sygnatur.</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 xml:space="preserve">System musi zapewniać wykrywanie anomalii protokołów i ruchu sieciowego, realizując tym samym podstawową ochronę przed atakami typu </w:t>
            </w:r>
            <w:proofErr w:type="spellStart"/>
            <w:r>
              <w:rPr>
                <w:rFonts w:ascii="Verdana" w:hAnsi="Verdana"/>
                <w:sz w:val="18"/>
                <w:szCs w:val="18"/>
              </w:rPr>
              <w:t>DoS</w:t>
            </w:r>
            <w:proofErr w:type="spellEnd"/>
            <w:r>
              <w:rPr>
                <w:rFonts w:ascii="Verdana" w:hAnsi="Verdana"/>
                <w:sz w:val="18"/>
                <w:szCs w:val="18"/>
              </w:rPr>
              <w:t xml:space="preserve"> oraz </w:t>
            </w:r>
            <w:proofErr w:type="spellStart"/>
            <w:r>
              <w:rPr>
                <w:rFonts w:ascii="Verdana" w:hAnsi="Verdana"/>
                <w:sz w:val="18"/>
                <w:szCs w:val="18"/>
              </w:rPr>
              <w:t>DDoS</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6.</w:t>
            </w:r>
            <w:r>
              <w:rPr>
                <w:rFonts w:ascii="Verdana" w:hAnsi="Verdana"/>
                <w:sz w:val="18"/>
                <w:szCs w:val="18"/>
              </w:rPr>
              <w:tab/>
              <w:t xml:space="preserve">Mechanizmy ochrony dla aplikacji </w:t>
            </w:r>
            <w:proofErr w:type="spellStart"/>
            <w:r>
              <w:rPr>
                <w:rFonts w:ascii="Verdana" w:hAnsi="Verdana"/>
                <w:sz w:val="18"/>
                <w:szCs w:val="18"/>
              </w:rPr>
              <w:t>Web’owych</w:t>
            </w:r>
            <w:proofErr w:type="spellEnd"/>
            <w:r>
              <w:rPr>
                <w:rFonts w:ascii="Verdana" w:hAnsi="Verdana"/>
                <w:sz w:val="18"/>
                <w:szCs w:val="18"/>
              </w:rPr>
              <w:t xml:space="preserve"> na poziomie sygnaturowym (co najmniej ochrona przed: CSS, SQL </w:t>
            </w:r>
            <w:proofErr w:type="spellStart"/>
            <w:r>
              <w:rPr>
                <w:rFonts w:ascii="Verdana" w:hAnsi="Verdana"/>
                <w:sz w:val="18"/>
                <w:szCs w:val="18"/>
              </w:rPr>
              <w:t>Injecton</w:t>
            </w:r>
            <w:proofErr w:type="spellEnd"/>
            <w:r>
              <w:rPr>
                <w:rFonts w:ascii="Verdana" w:hAnsi="Verdana"/>
                <w:sz w:val="18"/>
                <w:szCs w:val="18"/>
              </w:rPr>
              <w:t xml:space="preserve">, Trojany, </w:t>
            </w:r>
            <w:proofErr w:type="spellStart"/>
            <w:r>
              <w:rPr>
                <w:rFonts w:ascii="Verdana" w:hAnsi="Verdana"/>
                <w:sz w:val="18"/>
                <w:szCs w:val="18"/>
              </w:rPr>
              <w:t>Exploity</w:t>
            </w:r>
            <w:proofErr w:type="spellEnd"/>
            <w:r>
              <w:rPr>
                <w:rFonts w:ascii="Verdana" w:hAnsi="Verdana"/>
                <w:sz w:val="18"/>
                <w:szCs w:val="18"/>
              </w:rPr>
              <w:t xml:space="preserve">, Roboty) oraz możliwość kontrolowania długości nagłówka, ilości parametrów URL, </w:t>
            </w:r>
            <w:proofErr w:type="spellStart"/>
            <w:r>
              <w:rPr>
                <w:rFonts w:ascii="Verdana" w:hAnsi="Verdana"/>
                <w:sz w:val="18"/>
                <w:szCs w:val="18"/>
              </w:rPr>
              <w:t>Cookies</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7.</w:t>
            </w:r>
            <w:r>
              <w:rPr>
                <w:rFonts w:ascii="Verdana" w:hAnsi="Verdana"/>
                <w:sz w:val="18"/>
                <w:szCs w:val="18"/>
              </w:rPr>
              <w:tab/>
              <w:t xml:space="preserve">Wykrywanie i blokowanie komunikacji C&amp;C do sieci </w:t>
            </w:r>
            <w:proofErr w:type="spellStart"/>
            <w:r>
              <w:rPr>
                <w:rFonts w:ascii="Verdana" w:hAnsi="Verdana"/>
                <w:sz w:val="18"/>
                <w:szCs w:val="18"/>
              </w:rPr>
              <w:t>botnet</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Kontrola aplikacji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Funkcja Kontroli Aplikacji powinna umożliwiać kontrolę ruchu na podstawie głębokiej analizy pakietów, nie bazując jedynie na wartościach portów TCP/UDP.</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Baza Kontroli Aplikacji powinna zawierać minimum 2000 sygnatur i być aktualizowana automatycznie, zgodnie z harmonogramem definiowanym przez administratora.</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 xml:space="preserve">Aplikacje chmurowe (co najmniej: Facebook, Google </w:t>
            </w:r>
            <w:proofErr w:type="spellStart"/>
            <w:r>
              <w:rPr>
                <w:rFonts w:ascii="Verdana" w:hAnsi="Verdana"/>
                <w:sz w:val="18"/>
                <w:szCs w:val="18"/>
              </w:rPr>
              <w:t>Docs</w:t>
            </w:r>
            <w:proofErr w:type="spellEnd"/>
            <w:r>
              <w:rPr>
                <w:rFonts w:ascii="Verdana" w:hAnsi="Verdana"/>
                <w:sz w:val="18"/>
                <w:szCs w:val="18"/>
              </w:rPr>
              <w:t xml:space="preserve">, </w:t>
            </w:r>
            <w:proofErr w:type="spellStart"/>
            <w:r>
              <w:rPr>
                <w:rFonts w:ascii="Verdana" w:hAnsi="Verdana"/>
                <w:sz w:val="18"/>
                <w:szCs w:val="18"/>
              </w:rPr>
              <w:t>Dropbox</w:t>
            </w:r>
            <w:proofErr w:type="spellEnd"/>
            <w:r>
              <w:rPr>
                <w:rFonts w:ascii="Verdana" w:hAnsi="Verdana"/>
                <w:sz w:val="18"/>
                <w:szCs w:val="18"/>
              </w:rPr>
              <w:t xml:space="preserve">) powinny być kontrolowane pod względem wykonywanych czynności, np.: pobieranie, wysyłanie plików.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 xml:space="preserve">Baza powinna zawierać kategorie aplikacji szczególnie istotne z punktu widzenia bezpieczeństwa: </w:t>
            </w:r>
            <w:proofErr w:type="spellStart"/>
            <w:r>
              <w:rPr>
                <w:rFonts w:ascii="Verdana" w:hAnsi="Verdana"/>
                <w:sz w:val="18"/>
                <w:szCs w:val="18"/>
              </w:rPr>
              <w:t>proxy</w:t>
            </w:r>
            <w:proofErr w:type="spellEnd"/>
            <w:r>
              <w:rPr>
                <w:rFonts w:ascii="Verdana" w:hAnsi="Verdana"/>
                <w:sz w:val="18"/>
                <w:szCs w:val="18"/>
              </w:rPr>
              <w:t>, P2P.</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 xml:space="preserve">Administrator systemu musi mieć możliwość definiowania wyjątków oraz własnych sygnatur.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Kontrola WWW</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 xml:space="preserve">Moduł kontroli WWW musi korzystać z bazy zawierającej co najmniej 40 milionów adresów URL  pogrupowanych w kategorie tematyczne.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 xml:space="preserve">W ramach filtra www powinny być dostępne kategorie istotne z punktu widzenia bezpieczeństwa, jak: </w:t>
            </w:r>
            <w:proofErr w:type="spellStart"/>
            <w:r>
              <w:rPr>
                <w:rFonts w:ascii="Verdana" w:hAnsi="Verdana"/>
                <w:sz w:val="18"/>
                <w:szCs w:val="18"/>
              </w:rPr>
              <w:t>malware</w:t>
            </w:r>
            <w:proofErr w:type="spellEnd"/>
            <w:r>
              <w:rPr>
                <w:rFonts w:ascii="Verdana" w:hAnsi="Verdana"/>
                <w:sz w:val="18"/>
                <w:szCs w:val="18"/>
              </w:rPr>
              <w:t xml:space="preserve"> (lub inne będące źródłem złośliwego oprogramowania), </w:t>
            </w:r>
            <w:proofErr w:type="spellStart"/>
            <w:r>
              <w:rPr>
                <w:rFonts w:ascii="Verdana" w:hAnsi="Verdana"/>
                <w:sz w:val="18"/>
                <w:szCs w:val="18"/>
              </w:rPr>
              <w:t>phishing</w:t>
            </w:r>
            <w:proofErr w:type="spellEnd"/>
            <w:r>
              <w:rPr>
                <w:rFonts w:ascii="Verdana" w:hAnsi="Verdana"/>
                <w:sz w:val="18"/>
                <w:szCs w:val="18"/>
              </w:rPr>
              <w:t xml:space="preserve">, spam, </w:t>
            </w:r>
            <w:proofErr w:type="spellStart"/>
            <w:r>
              <w:rPr>
                <w:rFonts w:ascii="Verdana" w:hAnsi="Verdana"/>
                <w:sz w:val="18"/>
                <w:szCs w:val="18"/>
              </w:rPr>
              <w:t>Dynamic</w:t>
            </w:r>
            <w:proofErr w:type="spellEnd"/>
            <w:r>
              <w:rPr>
                <w:rFonts w:ascii="Verdana" w:hAnsi="Verdana"/>
                <w:sz w:val="18"/>
                <w:szCs w:val="18"/>
              </w:rPr>
              <w:t xml:space="preserve"> DNS, </w:t>
            </w:r>
            <w:proofErr w:type="spellStart"/>
            <w:r>
              <w:rPr>
                <w:rFonts w:ascii="Verdana" w:hAnsi="Verdana"/>
                <w:sz w:val="18"/>
                <w:szCs w:val="18"/>
              </w:rPr>
              <w:t>proxy</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Filtr WWW musi dostarczać kategorii stron zabronionych prawem: Hazard.</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Administrator musi mieć możliwość nadpisywania kategorii oraz tworzenia wyjątków – białe/czarne listy dla adresów URL.</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lastRenderedPageBreak/>
              <w:t>5.</w:t>
            </w:r>
            <w:r>
              <w:rPr>
                <w:rFonts w:ascii="Verdana" w:hAnsi="Verdana"/>
                <w:sz w:val="18"/>
                <w:szCs w:val="18"/>
              </w:rPr>
              <w:tab/>
              <w:t xml:space="preserve">Funkcja </w:t>
            </w:r>
            <w:proofErr w:type="spellStart"/>
            <w:r>
              <w:rPr>
                <w:rFonts w:ascii="Verdana" w:hAnsi="Verdana"/>
                <w:sz w:val="18"/>
                <w:szCs w:val="18"/>
              </w:rPr>
              <w:t>Safe</w:t>
            </w:r>
            <w:proofErr w:type="spellEnd"/>
            <w:r>
              <w:rPr>
                <w:rFonts w:ascii="Verdana" w:hAnsi="Verdana"/>
                <w:sz w:val="18"/>
                <w:szCs w:val="18"/>
              </w:rPr>
              <w:t xml:space="preserve"> </w:t>
            </w:r>
            <w:proofErr w:type="spellStart"/>
            <w:r>
              <w:rPr>
                <w:rFonts w:ascii="Verdana" w:hAnsi="Verdana"/>
                <w:sz w:val="18"/>
                <w:szCs w:val="18"/>
              </w:rPr>
              <w:t>Search</w:t>
            </w:r>
            <w:proofErr w:type="spellEnd"/>
            <w:r>
              <w:rPr>
                <w:rFonts w:ascii="Verdana" w:hAnsi="Verdana"/>
                <w:sz w:val="18"/>
                <w:szCs w:val="18"/>
              </w:rPr>
              <w:t xml:space="preserve"> – przeciwdziałająca pojawieniu się niechcianych treści w wynikach wyszukiwarek takich jak: Google, oraz Yahoo.</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6.</w:t>
            </w:r>
            <w:r>
              <w:rPr>
                <w:rFonts w:ascii="Verdana" w:hAnsi="Verdana"/>
                <w:sz w:val="18"/>
                <w:szCs w:val="18"/>
              </w:rPr>
              <w:tab/>
              <w:t>Administrator musi mieć możliwość definiowania komunikatów zwracanych użytkownikowi dla różnych akcji podejmowanych przez moduł filtrowania.</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7.</w:t>
            </w:r>
            <w:r>
              <w:rPr>
                <w:rFonts w:ascii="Verdana" w:hAnsi="Verdana"/>
                <w:sz w:val="18"/>
                <w:szCs w:val="18"/>
              </w:rPr>
              <w:tab/>
              <w:t xml:space="preserve">W ramach systemu musi istnieć możliwość określenia, dla których kategorii </w:t>
            </w:r>
            <w:proofErr w:type="spellStart"/>
            <w:r>
              <w:rPr>
                <w:rFonts w:ascii="Verdana" w:hAnsi="Verdana"/>
                <w:sz w:val="18"/>
                <w:szCs w:val="18"/>
              </w:rPr>
              <w:t>url</w:t>
            </w:r>
            <w:proofErr w:type="spellEnd"/>
            <w:r>
              <w:rPr>
                <w:rFonts w:ascii="Verdana" w:hAnsi="Verdana"/>
                <w:sz w:val="18"/>
                <w:szCs w:val="18"/>
              </w:rPr>
              <w:t xml:space="preserve"> lub wskazanych </w:t>
            </w:r>
            <w:proofErr w:type="spellStart"/>
            <w:r>
              <w:rPr>
                <w:rFonts w:ascii="Verdana" w:hAnsi="Verdana"/>
                <w:sz w:val="18"/>
                <w:szCs w:val="18"/>
              </w:rPr>
              <w:t>url</w:t>
            </w:r>
            <w:proofErr w:type="spellEnd"/>
            <w:r>
              <w:rPr>
                <w:rFonts w:ascii="Verdana" w:hAnsi="Verdana"/>
                <w:sz w:val="18"/>
                <w:szCs w:val="18"/>
              </w:rPr>
              <w:t xml:space="preserve"> - system nie będzie dokonywał inspekcji szyfrowanej komunikacji.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Uwierzytelnianie użytkowników w ramach sesji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System Firewall musi umożliwiać weryfikację tożsamości użytkowników za pomocą:</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Haseł statycznych i definicji użytkowników przechowywanych w lokalnej bazie systemu.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Haseł statycznych i definicji użytkowników przechowywanych w bazach zgodnych z LDAP.</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Haseł dynamicznych (RADIUS, RSA </w:t>
            </w:r>
            <w:proofErr w:type="spellStart"/>
            <w:r>
              <w:rPr>
                <w:rFonts w:ascii="Verdana" w:hAnsi="Verdana"/>
                <w:sz w:val="18"/>
                <w:szCs w:val="18"/>
              </w:rPr>
              <w:t>SecurID</w:t>
            </w:r>
            <w:proofErr w:type="spellEnd"/>
            <w:r>
              <w:rPr>
                <w:rFonts w:ascii="Verdana" w:hAnsi="Verdana"/>
                <w:sz w:val="18"/>
                <w:szCs w:val="18"/>
              </w:rPr>
              <w:t xml:space="preserve">) w oparciu o zewnętrzne bazy danych. </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Musi istnieć możliwość zastosowania w tym procesie uwierzytelniania dwu-składnikowego.</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 xml:space="preserve">Rozwiązanie powinno umożliwiać budowę architektury uwierzytelniania typu Single </w:t>
            </w:r>
            <w:proofErr w:type="spellStart"/>
            <w:r>
              <w:rPr>
                <w:rFonts w:ascii="Verdana" w:hAnsi="Verdana"/>
                <w:sz w:val="18"/>
                <w:szCs w:val="18"/>
              </w:rPr>
              <w:t>Sign</w:t>
            </w:r>
            <w:proofErr w:type="spellEnd"/>
            <w:r>
              <w:rPr>
                <w:rFonts w:ascii="Verdana" w:hAnsi="Verdana"/>
                <w:sz w:val="18"/>
                <w:szCs w:val="18"/>
              </w:rPr>
              <w:t xml:space="preserve"> On przy integracji ze środowiskiem Active Directory oraz zastosowanie innych mechanizmów: RADIUS lub API.</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Uwierzytelnianie w oparciu o protokół SAML w politykach bezpieczeństwa systemu dotyczących ruchu HTTP.</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Zarządzanie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Elementy systemu bezpieczeństwa muszą mieć możliwość zarządzania lokalnego z wykorzystaniem protokołów: HTTPS oraz SSH, jak i powinny mieć możliwość współpracy z dedykowanymi platformami  centralnego zarządzania i monitorowania.</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Komunikacja systemów zabezpieczeń z platformami  centralnego zarządzania musi być realizowana z wykorzystaniem szyfrowanych protokołów.</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Powinna istnieć możliwość włączenia mechanizmów uwierzytelniania dwu-składnikowego dla dostępu administracyjnego.</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 xml:space="preserve">System musi współpracować z rozwiązaniami monitorowania poprzez protokoły SNMP w wersjach 2c, 3 oraz umożliwiać przekazywanie statystyk ruchu za pomocą protokołów </w:t>
            </w:r>
            <w:proofErr w:type="spellStart"/>
            <w:r>
              <w:rPr>
                <w:rFonts w:ascii="Verdana" w:hAnsi="Verdana"/>
                <w:sz w:val="18"/>
                <w:szCs w:val="18"/>
              </w:rPr>
              <w:t>netflow</w:t>
            </w:r>
            <w:proofErr w:type="spellEnd"/>
            <w:r>
              <w:rPr>
                <w:rFonts w:ascii="Verdana" w:hAnsi="Verdana"/>
                <w:sz w:val="18"/>
                <w:szCs w:val="18"/>
              </w:rPr>
              <w:t xml:space="preserve"> lub </w:t>
            </w:r>
            <w:proofErr w:type="spellStart"/>
            <w:r>
              <w:rPr>
                <w:rFonts w:ascii="Verdana" w:hAnsi="Verdana"/>
                <w:sz w:val="18"/>
                <w:szCs w:val="18"/>
              </w:rPr>
              <w:t>sflow</w:t>
            </w:r>
            <w:proofErr w:type="spellEnd"/>
            <w:r>
              <w:rPr>
                <w:rFonts w:ascii="Verdana" w:hAnsi="Verdana"/>
                <w:sz w:val="18"/>
                <w:szCs w:val="18"/>
              </w:rPr>
              <w:t>.</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5.</w:t>
            </w:r>
            <w:r>
              <w:rPr>
                <w:rFonts w:ascii="Verdana" w:hAnsi="Verdana"/>
                <w:sz w:val="18"/>
                <w:szCs w:val="18"/>
              </w:rPr>
              <w:tab/>
              <w:t>System musi mieć możliwość zarządzania przez systemy firm trzecich poprzez API, do którego producent udostępnia dokumentację.</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6.</w:t>
            </w:r>
            <w:r>
              <w:rPr>
                <w:rFonts w:ascii="Verdana" w:hAnsi="Verdana"/>
                <w:sz w:val="18"/>
                <w:szCs w:val="18"/>
              </w:rPr>
              <w:tab/>
              <w:t xml:space="preserve">Element systemu pełniący funkcję </w:t>
            </w:r>
            <w:proofErr w:type="spellStart"/>
            <w:r>
              <w:rPr>
                <w:rFonts w:ascii="Verdana" w:hAnsi="Verdana"/>
                <w:sz w:val="18"/>
                <w:szCs w:val="18"/>
              </w:rPr>
              <w:t>Firewal</w:t>
            </w:r>
            <w:proofErr w:type="spellEnd"/>
            <w:r>
              <w:rPr>
                <w:rFonts w:ascii="Verdana" w:hAnsi="Verdana"/>
                <w:sz w:val="18"/>
                <w:szCs w:val="18"/>
              </w:rPr>
              <w:t xml:space="preserve"> musi posiadać wbudowane narzędzia diagnostyczne, przynajmniej: ping, </w:t>
            </w:r>
            <w:proofErr w:type="spellStart"/>
            <w:r>
              <w:rPr>
                <w:rFonts w:ascii="Verdana" w:hAnsi="Verdana"/>
                <w:sz w:val="18"/>
                <w:szCs w:val="18"/>
              </w:rPr>
              <w:t>traceroute</w:t>
            </w:r>
            <w:proofErr w:type="spellEnd"/>
            <w:r>
              <w:rPr>
                <w:rFonts w:ascii="Verdana" w:hAnsi="Verdana"/>
                <w:sz w:val="18"/>
                <w:szCs w:val="18"/>
              </w:rPr>
              <w:t>, podglądu pakietów, monitorowanie procesowania sesji oraz stanu sesji firewall.</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7.</w:t>
            </w:r>
            <w:r>
              <w:rPr>
                <w:rFonts w:ascii="Verdana" w:hAnsi="Verdana"/>
                <w:sz w:val="18"/>
                <w:szCs w:val="18"/>
              </w:rPr>
              <w:tab/>
              <w:t xml:space="preserve">Element systemu realizujący funkcję firewall musi umożliwiać wykonanie szeregu zmian przez administratora w CLI lub GUI, które nie zostaną zaimplementowane zanim </w:t>
            </w:r>
            <w:r>
              <w:rPr>
                <w:rFonts w:ascii="Verdana" w:hAnsi="Verdana"/>
                <w:sz w:val="18"/>
                <w:szCs w:val="18"/>
              </w:rPr>
              <w:lastRenderedPageBreak/>
              <w:t>nie zostaną zatwierdzone.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Logowanie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Pr>
                <w:rFonts w:ascii="Verdana" w:hAnsi="Verdana"/>
                <w:sz w:val="18"/>
                <w:szCs w:val="18"/>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w:t>
            </w:r>
            <w:r>
              <w:rPr>
                <w:rFonts w:ascii="Verdana" w:hAnsi="Verdana"/>
                <w:sz w:val="18"/>
                <w:szCs w:val="18"/>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3.</w:t>
            </w:r>
            <w:r>
              <w:rPr>
                <w:rFonts w:ascii="Verdana" w:hAnsi="Verdana"/>
                <w:sz w:val="18"/>
                <w:szCs w:val="18"/>
              </w:rPr>
              <w:tab/>
              <w:t>Logowanie musi obejmować zdarzenia dotyczące wszystkich modułów sieciowych i bezpieczeństwa oferowanego systemu.</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4.</w:t>
            </w:r>
            <w:r>
              <w:rPr>
                <w:rFonts w:ascii="Verdana" w:hAnsi="Verdana"/>
                <w:sz w:val="18"/>
                <w:szCs w:val="18"/>
              </w:rPr>
              <w:tab/>
              <w:t>Musi istnieć możliwość logowania do serwera SYSLOG.</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Certyfikaty</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Poszczególne elementy oferowanego systemu bezpieczeństwa powinny posiadać następujące certyfikacje: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ICSA lub EAL4 dla funkcji Firewall.</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Serwisy i licencje</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 ramach postępowania powinny zostać dostarczone licencje upoważniające do korzystania z aktualnych baz funkcji ochronnych producenta i serwisów. Powinny one obejmować:</w:t>
            </w:r>
          </w:p>
          <w:p>
            <w:pPr>
              <w:spacing w:after="21" w:line="276" w:lineRule="auto"/>
              <w:ind w:left="353" w:right="182"/>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t>
            </w:r>
            <w:r>
              <w:rPr>
                <w:rFonts w:ascii="Verdana" w:hAnsi="Verdana"/>
                <w:sz w:val="18"/>
                <w:szCs w:val="18"/>
              </w:rPr>
              <w:tab/>
              <w:t xml:space="preserve">Kontrola Aplikacji, IPS, Antywirus (z uwzględnieniem sygnatur do ochrony urządzeń mobilnych - co najmniej dla systemu operacyjnego Android), Analiza typu </w:t>
            </w:r>
            <w:proofErr w:type="spellStart"/>
            <w:r>
              <w:rPr>
                <w:rFonts w:ascii="Verdana" w:hAnsi="Verdana"/>
                <w:sz w:val="18"/>
                <w:szCs w:val="18"/>
              </w:rPr>
              <w:t>Sandbox</w:t>
            </w:r>
            <w:proofErr w:type="spellEnd"/>
            <w:r>
              <w:rPr>
                <w:rFonts w:ascii="Verdana" w:hAnsi="Verdana"/>
                <w:sz w:val="18"/>
                <w:szCs w:val="18"/>
              </w:rPr>
              <w:t xml:space="preserve">, </w:t>
            </w:r>
            <w:proofErr w:type="spellStart"/>
            <w:r>
              <w:rPr>
                <w:rFonts w:ascii="Verdana" w:hAnsi="Verdana"/>
                <w:sz w:val="18"/>
                <w:szCs w:val="18"/>
              </w:rPr>
              <w:t>Antyspam</w:t>
            </w:r>
            <w:proofErr w:type="spellEnd"/>
            <w:r>
              <w:rPr>
                <w:rFonts w:ascii="Verdana" w:hAnsi="Verdana"/>
                <w:sz w:val="18"/>
                <w:szCs w:val="18"/>
              </w:rPr>
              <w:t xml:space="preserve">, Web </w:t>
            </w:r>
            <w:proofErr w:type="spellStart"/>
            <w:r>
              <w:rPr>
                <w:rFonts w:ascii="Verdana" w:hAnsi="Verdana"/>
                <w:sz w:val="18"/>
                <w:szCs w:val="18"/>
              </w:rPr>
              <w:t>Filtering</w:t>
            </w:r>
            <w:proofErr w:type="spellEnd"/>
            <w:r>
              <w:rPr>
                <w:rFonts w:ascii="Verdana" w:hAnsi="Verdana"/>
                <w:sz w:val="18"/>
                <w:szCs w:val="18"/>
              </w:rPr>
              <w:t xml:space="preserve">, bazy </w:t>
            </w:r>
            <w:proofErr w:type="spellStart"/>
            <w:r>
              <w:rPr>
                <w:rFonts w:ascii="Verdana" w:hAnsi="Verdana"/>
                <w:sz w:val="18"/>
                <w:szCs w:val="18"/>
              </w:rPr>
              <w:t>reputacyjne</w:t>
            </w:r>
            <w:proofErr w:type="spellEnd"/>
            <w:r>
              <w:rPr>
                <w:rFonts w:ascii="Verdana" w:hAnsi="Verdana"/>
                <w:sz w:val="18"/>
                <w:szCs w:val="18"/>
              </w:rPr>
              <w:t xml:space="preserve"> adresów IP/domen na okres 36 miesięcy. </w:t>
            </w:r>
          </w:p>
          <w:p>
            <w:pPr>
              <w:spacing w:after="0" w:line="276" w:lineRule="auto"/>
              <w:ind w:left="2"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01" w:type="dxa"/>
          </w:tcPr>
          <w:p>
            <w:pPr>
              <w:spacing w:after="0" w:line="276" w:lineRule="auto"/>
              <w:ind w:left="0" w:right="0" w:firstLine="0"/>
              <w:jc w:val="left"/>
              <w:rPr>
                <w:rFonts w:ascii="Verdana" w:hAnsi="Verdana"/>
                <w:sz w:val="18"/>
                <w:szCs w:val="18"/>
              </w:rPr>
            </w:pPr>
            <w:r>
              <w:rPr>
                <w:rFonts w:ascii="Verdana" w:hAnsi="Verdana"/>
                <w:sz w:val="18"/>
                <w:szCs w:val="18"/>
              </w:rPr>
              <w:lastRenderedPageBreak/>
              <w:t>5.</w:t>
            </w:r>
            <w:r>
              <w:rPr>
                <w:rFonts w:ascii="Verdana" w:eastAsia="Arial" w:hAnsi="Verdana"/>
                <w:sz w:val="18"/>
                <w:szCs w:val="18"/>
              </w:rPr>
              <w:t xml:space="preserve"> </w:t>
            </w:r>
            <w:r>
              <w:rPr>
                <w:rFonts w:ascii="Verdana" w:hAnsi="Verdana"/>
                <w:sz w:val="18"/>
                <w:szCs w:val="18"/>
              </w:rPr>
              <w:t xml:space="preserve"> </w:t>
            </w:r>
          </w:p>
        </w:tc>
        <w:tc>
          <w:tcPr>
            <w:tcW w:w="2551" w:type="dxa"/>
          </w:tcPr>
          <w:p>
            <w:pPr>
              <w:spacing w:after="21" w:line="276" w:lineRule="auto"/>
              <w:ind w:right="182"/>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Gwarancja oraz wsparcie</w:t>
            </w:r>
          </w:p>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6137" w:type="dxa"/>
          </w:tcPr>
          <w:p>
            <w:pPr>
              <w:spacing w:after="0" w:line="276" w:lineRule="auto"/>
              <w:ind w:left="2"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w:t>
            </w:r>
          </w:p>
        </w:tc>
      </w:tr>
    </w:tbl>
    <w:p>
      <w:pPr>
        <w:spacing w:line="276" w:lineRule="auto"/>
        <w:rPr>
          <w:rFonts w:ascii="Verdana" w:hAnsi="Verdana"/>
          <w:sz w:val="18"/>
          <w:szCs w:val="18"/>
        </w:rPr>
      </w:pPr>
    </w:p>
    <w:p>
      <w:pPr>
        <w:pStyle w:val="Akapitzlist"/>
        <w:spacing w:line="276" w:lineRule="auto"/>
        <w:ind w:firstLine="0"/>
        <w:rPr>
          <w:rFonts w:ascii="Verdana" w:hAnsi="Verdana"/>
          <w:b/>
          <w:sz w:val="18"/>
          <w:szCs w:val="18"/>
        </w:rPr>
      </w:pPr>
      <w:r>
        <w:rPr>
          <w:rFonts w:ascii="Verdana" w:hAnsi="Verdana"/>
          <w:b/>
          <w:sz w:val="18"/>
          <w:szCs w:val="18"/>
        </w:rPr>
        <w:br/>
      </w:r>
      <w:r>
        <w:rPr>
          <w:rFonts w:ascii="Verdana" w:hAnsi="Verdana"/>
          <w:b/>
          <w:sz w:val="18"/>
          <w:szCs w:val="18"/>
        </w:rPr>
        <w:br/>
      </w:r>
    </w:p>
    <w:p>
      <w:pPr>
        <w:pStyle w:val="Akapitzlist"/>
        <w:numPr>
          <w:ilvl w:val="0"/>
          <w:numId w:val="83"/>
        </w:numPr>
        <w:spacing w:line="276" w:lineRule="auto"/>
        <w:rPr>
          <w:rFonts w:ascii="Verdana" w:hAnsi="Verdana"/>
          <w:b/>
          <w:sz w:val="18"/>
          <w:szCs w:val="18"/>
        </w:rPr>
      </w:pPr>
      <w:r>
        <w:rPr>
          <w:rFonts w:ascii="Verdana" w:hAnsi="Verdana"/>
          <w:b/>
          <w:sz w:val="18"/>
          <w:szCs w:val="18"/>
        </w:rPr>
        <w:t>Dostarczenie przełącznika FC - 1 szt.</w:t>
      </w:r>
    </w:p>
    <w:p>
      <w:pPr>
        <w:spacing w:line="276" w:lineRule="auto"/>
        <w:rPr>
          <w:rFonts w:ascii="Verdana" w:hAnsi="Verdana"/>
          <w:b/>
          <w:sz w:val="18"/>
          <w:szCs w:val="18"/>
        </w:rPr>
      </w:pPr>
    </w:p>
    <w:tbl>
      <w:tblPr>
        <w:tblStyle w:val="Zwykatabela31"/>
        <w:tblW w:w="9494" w:type="dxa"/>
        <w:tblLook w:val="04A0" w:firstRow="1" w:lastRow="0" w:firstColumn="1" w:lastColumn="0" w:noHBand="0" w:noVBand="1"/>
      </w:tblPr>
      <w:tblGrid>
        <w:gridCol w:w="537"/>
        <w:gridCol w:w="8957"/>
      </w:tblGrid>
      <w:tr>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9494" w:type="dxa"/>
            <w:gridSpan w:val="2"/>
          </w:tcPr>
          <w:p>
            <w:pPr>
              <w:spacing w:after="0" w:line="276" w:lineRule="auto"/>
              <w:ind w:left="1" w:right="0" w:firstLine="0"/>
              <w:jc w:val="left"/>
              <w:rPr>
                <w:rFonts w:ascii="Verdana" w:hAnsi="Verdana"/>
                <w:sz w:val="18"/>
                <w:szCs w:val="18"/>
              </w:rPr>
            </w:pPr>
            <w:r>
              <w:rPr>
                <w:rFonts w:ascii="Verdana" w:hAnsi="Verdana"/>
                <w:sz w:val="18"/>
                <w:szCs w:val="18"/>
              </w:rPr>
              <w:t xml:space="preserve">MINIMALNE WYMAGANIA TECHNICZNE </w:t>
            </w:r>
          </w:p>
        </w:tc>
      </w:tr>
      <w:tr>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1.</w:t>
            </w:r>
            <w:r>
              <w:rPr>
                <w:rFonts w:ascii="Verdana" w:eastAsia="Arial" w:hAnsi="Verdana"/>
                <w:sz w:val="18"/>
                <w:szCs w:val="18"/>
              </w:rPr>
              <w:t xml:space="preserve"> </w:t>
            </w:r>
          </w:p>
        </w:tc>
        <w:tc>
          <w:tcPr>
            <w:tcW w:w="8957" w:type="dxa"/>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być wykonany w technologii FC 32 </w:t>
            </w:r>
            <w:proofErr w:type="spellStart"/>
            <w:r>
              <w:rPr>
                <w:rFonts w:ascii="Verdana" w:hAnsi="Verdana"/>
                <w:sz w:val="18"/>
                <w:szCs w:val="18"/>
              </w:rPr>
              <w:t>Gb</w:t>
            </w:r>
            <w:proofErr w:type="spellEnd"/>
            <w:r>
              <w:rPr>
                <w:rFonts w:ascii="Verdana" w:hAnsi="Verdana"/>
                <w:sz w:val="18"/>
                <w:szCs w:val="18"/>
              </w:rPr>
              <w:t xml:space="preserve">/s i posiadać możliwość pracy portów FC z prędkościami 32, 16, 8  z funkcją </w:t>
            </w:r>
            <w:proofErr w:type="spellStart"/>
            <w:r>
              <w:rPr>
                <w:rFonts w:ascii="Verdana" w:hAnsi="Verdana"/>
                <w:sz w:val="18"/>
                <w:szCs w:val="18"/>
              </w:rPr>
              <w:t>autonegocjacji</w:t>
            </w:r>
            <w:proofErr w:type="spellEnd"/>
            <w:r>
              <w:rPr>
                <w:rFonts w:ascii="Verdana" w:hAnsi="Verdana"/>
                <w:sz w:val="18"/>
                <w:szCs w:val="18"/>
              </w:rPr>
              <w:t xml:space="preserve"> prędkości. </w:t>
            </w:r>
          </w:p>
        </w:tc>
      </w:tr>
      <w:tr>
        <w:trPr>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2.</w:t>
            </w:r>
            <w:r>
              <w:rPr>
                <w:rFonts w:ascii="Verdana" w:eastAsia="Arial" w:hAnsi="Verdana"/>
                <w:sz w:val="18"/>
                <w:szCs w:val="18"/>
              </w:rPr>
              <w:t xml:space="preserve"> </w:t>
            </w:r>
          </w:p>
        </w:tc>
        <w:tc>
          <w:tcPr>
            <w:tcW w:w="8957" w:type="dxa"/>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posiadać minimum 24 </w:t>
            </w:r>
            <w:proofErr w:type="spellStart"/>
            <w:r>
              <w:rPr>
                <w:rFonts w:ascii="Verdana" w:hAnsi="Verdana"/>
                <w:sz w:val="18"/>
                <w:szCs w:val="18"/>
              </w:rPr>
              <w:t>sloty</w:t>
            </w:r>
            <w:proofErr w:type="spellEnd"/>
            <w:r>
              <w:rPr>
                <w:rFonts w:ascii="Verdana" w:hAnsi="Verdana"/>
                <w:sz w:val="18"/>
                <w:szCs w:val="18"/>
              </w:rPr>
              <w:t xml:space="preserve"> na moduły FC. Wszystkie wymagane funkcje muszą być dostępne dla 8 portów FC przełącznika. </w:t>
            </w:r>
          </w:p>
        </w:tc>
      </w:tr>
      <w:tr>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3.</w:t>
            </w:r>
            <w:r>
              <w:rPr>
                <w:rFonts w:ascii="Verdana" w:eastAsia="Arial" w:hAnsi="Verdana"/>
                <w:sz w:val="18"/>
                <w:szCs w:val="18"/>
              </w:rPr>
              <w:t xml:space="preserve"> </w:t>
            </w:r>
          </w:p>
        </w:tc>
        <w:tc>
          <w:tcPr>
            <w:tcW w:w="8957" w:type="dxa"/>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Przełącznik musi być dostarczony wraz z minimum 8</w:t>
            </w:r>
            <w:r>
              <w:rPr>
                <w:rFonts w:ascii="Verdana" w:hAnsi="Verdana"/>
                <w:b/>
                <w:sz w:val="18"/>
                <w:szCs w:val="18"/>
              </w:rPr>
              <w:t xml:space="preserve"> </w:t>
            </w:r>
            <w:r>
              <w:rPr>
                <w:rFonts w:ascii="Verdana" w:hAnsi="Verdana"/>
                <w:sz w:val="18"/>
                <w:szCs w:val="18"/>
              </w:rPr>
              <w:t xml:space="preserve">modułami SFP FC 16 </w:t>
            </w:r>
            <w:proofErr w:type="spellStart"/>
            <w:r>
              <w:rPr>
                <w:rFonts w:ascii="Verdana" w:hAnsi="Verdana"/>
                <w:sz w:val="18"/>
                <w:szCs w:val="18"/>
              </w:rPr>
              <w:t>Gb</w:t>
            </w:r>
            <w:proofErr w:type="spellEnd"/>
            <w:r>
              <w:rPr>
                <w:rFonts w:ascii="Verdana" w:hAnsi="Verdana"/>
                <w:sz w:val="18"/>
                <w:szCs w:val="18"/>
              </w:rPr>
              <w:t xml:space="preserve">/s . </w:t>
            </w:r>
          </w:p>
        </w:tc>
      </w:tr>
      <w:tr>
        <w:trPr>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lastRenderedPageBreak/>
              <w:t>4.</w:t>
            </w:r>
            <w:r>
              <w:rPr>
                <w:rFonts w:ascii="Verdana" w:eastAsia="Arial" w:hAnsi="Verdana"/>
                <w:sz w:val="18"/>
                <w:szCs w:val="18"/>
              </w:rPr>
              <w:t xml:space="preserve"> </w:t>
            </w:r>
          </w:p>
        </w:tc>
        <w:tc>
          <w:tcPr>
            <w:tcW w:w="8957" w:type="dxa"/>
          </w:tcPr>
          <w:p>
            <w:pPr>
              <w:spacing w:after="0" w:line="276" w:lineRule="auto"/>
              <w:ind w:left="1" w:right="2258"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Rodzaj obsługiwanych portów: </w:t>
            </w:r>
            <w:proofErr w:type="spellStart"/>
            <w:r>
              <w:rPr>
                <w:rFonts w:ascii="Verdana" w:hAnsi="Verdana"/>
                <w:sz w:val="18"/>
                <w:szCs w:val="18"/>
              </w:rPr>
              <w:t>D_Port</w:t>
            </w:r>
            <w:proofErr w:type="spellEnd"/>
            <w:r>
              <w:rPr>
                <w:rFonts w:ascii="Verdana" w:hAnsi="Verdana"/>
                <w:sz w:val="18"/>
                <w:szCs w:val="18"/>
              </w:rPr>
              <w:t xml:space="preserve"> (</w:t>
            </w:r>
            <w:proofErr w:type="spellStart"/>
            <w:r>
              <w:rPr>
                <w:rFonts w:ascii="Verdana" w:hAnsi="Verdana"/>
                <w:sz w:val="18"/>
                <w:szCs w:val="18"/>
              </w:rPr>
              <w:t>ClearLink</w:t>
            </w:r>
            <w:proofErr w:type="spellEnd"/>
            <w:r>
              <w:rPr>
                <w:rFonts w:ascii="Verdana" w:hAnsi="Verdana"/>
                <w:sz w:val="18"/>
                <w:szCs w:val="18"/>
              </w:rPr>
              <w:t xml:space="preserve"> </w:t>
            </w:r>
            <w:proofErr w:type="spellStart"/>
            <w:r>
              <w:rPr>
                <w:rFonts w:ascii="Verdana" w:hAnsi="Verdana"/>
                <w:sz w:val="18"/>
                <w:szCs w:val="18"/>
              </w:rPr>
              <w:t>Diagnostic</w:t>
            </w:r>
            <w:proofErr w:type="spellEnd"/>
            <w:r>
              <w:rPr>
                <w:rFonts w:ascii="Verdana" w:hAnsi="Verdana"/>
                <w:sz w:val="18"/>
                <w:szCs w:val="18"/>
              </w:rPr>
              <w:t xml:space="preserve"> Port), </w:t>
            </w:r>
            <w:proofErr w:type="spellStart"/>
            <w:r>
              <w:rPr>
                <w:rFonts w:ascii="Verdana" w:hAnsi="Verdana"/>
                <w:sz w:val="18"/>
                <w:szCs w:val="18"/>
              </w:rPr>
              <w:t>E_Port</w:t>
            </w:r>
            <w:proofErr w:type="spellEnd"/>
            <w:r>
              <w:rPr>
                <w:rFonts w:ascii="Verdana" w:hAnsi="Verdana"/>
                <w:sz w:val="18"/>
                <w:szCs w:val="18"/>
              </w:rPr>
              <w:t xml:space="preserve">, </w:t>
            </w:r>
            <w:proofErr w:type="spellStart"/>
            <w:r>
              <w:rPr>
                <w:rFonts w:ascii="Verdana" w:hAnsi="Verdana"/>
                <w:sz w:val="18"/>
                <w:szCs w:val="18"/>
              </w:rPr>
              <w:t>F_Port</w:t>
            </w:r>
            <w:proofErr w:type="spellEnd"/>
            <w:r>
              <w:rPr>
                <w:rFonts w:ascii="Verdana" w:hAnsi="Verdana"/>
                <w:sz w:val="18"/>
                <w:szCs w:val="18"/>
              </w:rPr>
              <w:t xml:space="preserve">, </w:t>
            </w:r>
            <w:proofErr w:type="spellStart"/>
            <w:r>
              <w:rPr>
                <w:rFonts w:ascii="Verdana" w:hAnsi="Verdana"/>
                <w:sz w:val="18"/>
                <w:szCs w:val="18"/>
              </w:rPr>
              <w:t>M_Port</w:t>
            </w:r>
            <w:proofErr w:type="spellEnd"/>
            <w:r>
              <w:rPr>
                <w:rFonts w:ascii="Verdana" w:hAnsi="Verdana"/>
                <w:sz w:val="18"/>
                <w:szCs w:val="18"/>
              </w:rPr>
              <w:t xml:space="preserve"> (Mirror Port); </w:t>
            </w:r>
          </w:p>
        </w:tc>
      </w:tr>
      <w:tr>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5.</w:t>
            </w:r>
            <w:r>
              <w:rPr>
                <w:rFonts w:ascii="Verdana" w:eastAsia="Arial" w:hAnsi="Verdana"/>
                <w:sz w:val="18"/>
                <w:szCs w:val="18"/>
              </w:rPr>
              <w:t xml:space="preserve"> </w:t>
            </w:r>
          </w:p>
        </w:tc>
        <w:tc>
          <w:tcPr>
            <w:tcW w:w="8957" w:type="dxa"/>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mieć wysokość maksymalnie 1U  i szerokość 19” oraz zapewniać techniczną możliwość montażu w szafie 19”. </w:t>
            </w:r>
          </w:p>
        </w:tc>
      </w:tr>
      <w:tr>
        <w:trPr>
          <w:trHeight w:val="434"/>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6.</w:t>
            </w:r>
            <w:r>
              <w:rPr>
                <w:rFonts w:ascii="Verdana" w:eastAsia="Arial" w:hAnsi="Verdana"/>
                <w:sz w:val="18"/>
                <w:szCs w:val="18"/>
              </w:rPr>
              <w:t xml:space="preserve"> </w:t>
            </w:r>
          </w:p>
        </w:tc>
        <w:tc>
          <w:tcPr>
            <w:tcW w:w="8957" w:type="dxa"/>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posiadać nadmiarowe wentylatory N+1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7.</w:t>
            </w:r>
            <w:r>
              <w:rPr>
                <w:rFonts w:ascii="Verdana" w:eastAsia="Arial" w:hAnsi="Verdana"/>
                <w:sz w:val="18"/>
                <w:szCs w:val="18"/>
              </w:rPr>
              <w:t xml:space="preserve"> </w:t>
            </w:r>
          </w:p>
        </w:tc>
        <w:tc>
          <w:tcPr>
            <w:tcW w:w="8957" w:type="dxa"/>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Przełącznik FC musi być wykonany w tzw. architekturze „non-</w:t>
            </w:r>
            <w:proofErr w:type="spellStart"/>
            <w:r>
              <w:rPr>
                <w:rFonts w:ascii="Verdana" w:hAnsi="Verdana"/>
                <w:sz w:val="18"/>
                <w:szCs w:val="18"/>
              </w:rPr>
              <w:t>blocking</w:t>
            </w:r>
            <w:proofErr w:type="spellEnd"/>
            <w:r>
              <w:rPr>
                <w:rFonts w:ascii="Verdana" w:hAnsi="Verdana"/>
                <w:sz w:val="18"/>
                <w:szCs w:val="18"/>
              </w:rPr>
              <w:t xml:space="preserve">” uniemożliwiającej blokowanie się ruchu wewnątrz przełącznika przy pełnej prędkości pracy wszystkich portów. </w:t>
            </w:r>
          </w:p>
        </w:tc>
      </w:tr>
      <w:tr>
        <w:trPr>
          <w:trHeight w:val="538"/>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8.</w:t>
            </w:r>
            <w:r>
              <w:rPr>
                <w:rFonts w:ascii="Verdana" w:eastAsia="Arial" w:hAnsi="Verdana"/>
                <w:sz w:val="18"/>
                <w:szCs w:val="18"/>
              </w:rPr>
              <w:t xml:space="preserve"> </w:t>
            </w:r>
          </w:p>
        </w:tc>
        <w:tc>
          <w:tcPr>
            <w:tcW w:w="8957" w:type="dxa"/>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Urządzenie musi umożliwiać połączenie przełączników w jeden „</w:t>
            </w:r>
            <w:proofErr w:type="spellStart"/>
            <w:r>
              <w:rPr>
                <w:rFonts w:ascii="Verdana" w:hAnsi="Verdana"/>
                <w:sz w:val="18"/>
                <w:szCs w:val="18"/>
              </w:rPr>
              <w:t>fabric</w:t>
            </w:r>
            <w:proofErr w:type="spellEnd"/>
            <w:r>
              <w:rPr>
                <w:rFonts w:ascii="Verdana" w:hAnsi="Verdana"/>
                <w:sz w:val="18"/>
                <w:szCs w:val="18"/>
              </w:rPr>
              <w:t xml:space="preserve">” (funkcjonalność ISL), dostarczyć licencje jeśli wymagane.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jc w:val="left"/>
              <w:rPr>
                <w:rFonts w:ascii="Verdana" w:hAnsi="Verdana"/>
                <w:sz w:val="18"/>
                <w:szCs w:val="18"/>
              </w:rPr>
            </w:pPr>
            <w:r>
              <w:rPr>
                <w:rFonts w:ascii="Verdana" w:hAnsi="Verdana"/>
                <w:sz w:val="18"/>
                <w:szCs w:val="18"/>
              </w:rPr>
              <w:t>9.</w:t>
            </w:r>
            <w:r>
              <w:rPr>
                <w:rFonts w:ascii="Verdana" w:eastAsia="Arial" w:hAnsi="Verdana"/>
                <w:sz w:val="18"/>
                <w:szCs w:val="18"/>
              </w:rPr>
              <w:t xml:space="preserve"> </w:t>
            </w:r>
          </w:p>
        </w:tc>
        <w:tc>
          <w:tcPr>
            <w:tcW w:w="8957" w:type="dxa"/>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udostępniać usługę </w:t>
            </w:r>
            <w:proofErr w:type="spellStart"/>
            <w:r>
              <w:rPr>
                <w:rFonts w:ascii="Verdana" w:hAnsi="Verdana"/>
                <w:sz w:val="18"/>
                <w:szCs w:val="18"/>
              </w:rPr>
              <w:t>Name</w:t>
            </w:r>
            <w:proofErr w:type="spellEnd"/>
            <w:r>
              <w:rPr>
                <w:rFonts w:ascii="Verdana" w:hAnsi="Verdana"/>
                <w:sz w:val="18"/>
                <w:szCs w:val="18"/>
              </w:rPr>
              <w:t xml:space="preserve"> Server </w:t>
            </w:r>
            <w:proofErr w:type="spellStart"/>
            <w:r>
              <w:rPr>
                <w:rFonts w:ascii="Verdana" w:hAnsi="Verdana"/>
                <w:sz w:val="18"/>
                <w:szCs w:val="18"/>
              </w:rPr>
              <w:t>Zoning</w:t>
            </w:r>
            <w:proofErr w:type="spellEnd"/>
            <w:r>
              <w:rPr>
                <w:rFonts w:ascii="Verdana" w:hAnsi="Verdana"/>
                <w:sz w:val="18"/>
                <w:szCs w:val="18"/>
              </w:rPr>
              <w:t xml:space="preserve"> – tworzenia stref (zon) w oparciu bazę danych nazw serwerów. </w:t>
            </w:r>
          </w:p>
        </w:tc>
      </w:tr>
      <w:tr>
        <w:trPr>
          <w:trHeight w:val="538"/>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10.</w:t>
            </w:r>
            <w:r>
              <w:rPr>
                <w:rFonts w:ascii="Verdana" w:eastAsia="Arial" w:hAnsi="Verdana"/>
                <w:sz w:val="18"/>
                <w:szCs w:val="18"/>
              </w:rPr>
              <w:t xml:space="preserve"> </w:t>
            </w:r>
          </w:p>
        </w:tc>
        <w:tc>
          <w:tcPr>
            <w:tcW w:w="8957" w:type="dxa"/>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posiadać możliwość wymiany i aktywacji wersji </w:t>
            </w:r>
            <w:proofErr w:type="spellStart"/>
            <w:r>
              <w:rPr>
                <w:rFonts w:ascii="Verdana" w:hAnsi="Verdana"/>
                <w:sz w:val="18"/>
                <w:szCs w:val="18"/>
              </w:rPr>
              <w:t>firmware’u</w:t>
            </w:r>
            <w:proofErr w:type="spellEnd"/>
            <w:r>
              <w:rPr>
                <w:rFonts w:ascii="Verdana" w:hAnsi="Verdana"/>
                <w:sz w:val="18"/>
                <w:szCs w:val="18"/>
              </w:rPr>
              <w:t xml:space="preserve"> (zarówno na wersję wyższą jak i na niższą) w czasie pracy urządzenia, bez wymogu ponownego uruchomienia urządzeń w sieci SAN. </w:t>
            </w:r>
          </w:p>
        </w:tc>
      </w:tr>
      <w:tr>
        <w:trPr>
          <w:cnfStyle w:val="000000100000" w:firstRow="0" w:lastRow="0" w:firstColumn="0" w:lastColumn="0" w:oddVBand="0" w:evenVBand="0" w:oddHBand="1" w:evenHBand="0" w:firstRowFirstColumn="0" w:firstRowLastColumn="0" w:lastRowFirstColumn="0" w:lastRowLastColumn="0"/>
          <w:trHeight w:val="4107"/>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11.</w:t>
            </w:r>
            <w:r>
              <w:rPr>
                <w:rFonts w:ascii="Verdana" w:eastAsia="Arial" w:hAnsi="Verdana"/>
                <w:sz w:val="18"/>
                <w:szCs w:val="18"/>
              </w:rPr>
              <w:t xml:space="preserve"> </w:t>
            </w:r>
          </w:p>
        </w:tc>
        <w:tc>
          <w:tcPr>
            <w:tcW w:w="8957" w:type="dxa"/>
          </w:tcPr>
          <w:p>
            <w:pPr>
              <w:spacing w:after="19"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posiadać wsparcie dla następujących mechanizmów zwiększających poziom bezpieczeństwa: </w:t>
            </w:r>
          </w:p>
          <w:p>
            <w:pPr>
              <w:numPr>
                <w:ilvl w:val="0"/>
                <w:numId w:val="77"/>
              </w:numPr>
              <w:spacing w:after="51"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Listy Kontroli Dostępu definiujące urządzenia (przełączniki i urządzenia końcowe) uprawnione do pracy w sieci </w:t>
            </w:r>
            <w:proofErr w:type="spellStart"/>
            <w:r>
              <w:rPr>
                <w:rFonts w:ascii="Verdana" w:hAnsi="Verdana"/>
                <w:sz w:val="18"/>
                <w:szCs w:val="18"/>
              </w:rPr>
              <w:t>Fabric</w:t>
            </w:r>
            <w:proofErr w:type="spellEnd"/>
            <w:r>
              <w:rPr>
                <w:rFonts w:ascii="Verdana" w:hAnsi="Verdana"/>
                <w:sz w:val="18"/>
                <w:szCs w:val="18"/>
              </w:rPr>
              <w:t xml:space="preserve"> </w:t>
            </w:r>
          </w:p>
          <w:p>
            <w:pPr>
              <w:numPr>
                <w:ilvl w:val="0"/>
                <w:numId w:val="77"/>
              </w:numPr>
              <w:spacing w:after="25"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Możliwość uwierzytelnienia (autentykacji) przełączników z listy kontroli dostępu w sieci </w:t>
            </w:r>
            <w:proofErr w:type="spellStart"/>
            <w:r>
              <w:rPr>
                <w:rFonts w:ascii="Verdana" w:hAnsi="Verdana"/>
                <w:sz w:val="18"/>
                <w:szCs w:val="18"/>
              </w:rPr>
              <w:t>Fabric</w:t>
            </w:r>
            <w:proofErr w:type="spellEnd"/>
            <w:r>
              <w:rPr>
                <w:rFonts w:ascii="Verdana" w:hAnsi="Verdana"/>
                <w:sz w:val="18"/>
                <w:szCs w:val="18"/>
              </w:rPr>
              <w:t xml:space="preserve"> za pomocą protokołów DH-CHAP i FCAP </w:t>
            </w:r>
          </w:p>
          <w:p>
            <w:pPr>
              <w:numPr>
                <w:ilvl w:val="0"/>
                <w:numId w:val="77"/>
              </w:numPr>
              <w:spacing w:after="21"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Możliwość uwierzytelnienia (autentykacji) urządzeń końcowych z listy kontroli dostępu w sieci </w:t>
            </w:r>
            <w:proofErr w:type="spellStart"/>
            <w:r>
              <w:rPr>
                <w:rFonts w:ascii="Verdana" w:hAnsi="Verdana"/>
                <w:sz w:val="18"/>
                <w:szCs w:val="18"/>
              </w:rPr>
              <w:t>Fabric</w:t>
            </w:r>
            <w:proofErr w:type="spellEnd"/>
            <w:r>
              <w:rPr>
                <w:rFonts w:ascii="Verdana" w:hAnsi="Verdana"/>
                <w:sz w:val="18"/>
                <w:szCs w:val="18"/>
              </w:rPr>
              <w:t xml:space="preserve"> za pomocą protokołu DH-CHAP </w:t>
            </w:r>
          </w:p>
          <w:p>
            <w:pPr>
              <w:numPr>
                <w:ilvl w:val="0"/>
                <w:numId w:val="77"/>
              </w:numPr>
              <w:spacing w:after="12"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Kontrola dostępu administracyjnego definiująca możliwość zarządzania przełącznikiem tylko z określonych urządzeń oraz portów </w:t>
            </w:r>
          </w:p>
          <w:p>
            <w:pPr>
              <w:numPr>
                <w:ilvl w:val="0"/>
                <w:numId w:val="77"/>
              </w:numPr>
              <w:spacing w:after="42"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Szyfrowanie połączenia z konsolą administracyjną. Wsparcie dla SSHv2, </w:t>
            </w:r>
          </w:p>
          <w:p>
            <w:pPr>
              <w:numPr>
                <w:ilvl w:val="0"/>
                <w:numId w:val="77"/>
              </w:numPr>
              <w:spacing w:after="39"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Wskazanie nadrzędnych przełączników odpowiedzialnych za bezpieczeństwo w sieci typu </w:t>
            </w:r>
            <w:proofErr w:type="spellStart"/>
            <w:r>
              <w:rPr>
                <w:rFonts w:ascii="Verdana" w:hAnsi="Verdana"/>
                <w:sz w:val="18"/>
                <w:szCs w:val="18"/>
              </w:rPr>
              <w:t>Fabric</w:t>
            </w:r>
            <w:proofErr w:type="spellEnd"/>
            <w:r>
              <w:rPr>
                <w:rFonts w:ascii="Verdana" w:hAnsi="Verdana"/>
                <w:sz w:val="18"/>
                <w:szCs w:val="18"/>
              </w:rPr>
              <w:t xml:space="preserve">. </w:t>
            </w:r>
          </w:p>
          <w:p>
            <w:pPr>
              <w:numPr>
                <w:ilvl w:val="0"/>
                <w:numId w:val="77"/>
              </w:numPr>
              <w:spacing w:after="39"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Konta użytkowników definiowane w środowisku RADIUS lub LDAP </w:t>
            </w:r>
          </w:p>
          <w:p>
            <w:pPr>
              <w:numPr>
                <w:ilvl w:val="0"/>
                <w:numId w:val="77"/>
              </w:numPr>
              <w:spacing w:after="0"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Szyfrowanie komunikacji narzędzi administracyjnych za pomocą SSL/HTTPS</w:t>
            </w:r>
          </w:p>
          <w:p>
            <w:pPr>
              <w:numPr>
                <w:ilvl w:val="0"/>
                <w:numId w:val="77"/>
              </w:numPr>
              <w:spacing w:after="0" w:line="276" w:lineRule="auto"/>
              <w:ind w:right="0" w:hanging="36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Obsługa SNMP v3 </w:t>
            </w:r>
          </w:p>
        </w:tc>
      </w:tr>
      <w:tr>
        <w:trPr>
          <w:trHeight w:val="437"/>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12.</w:t>
            </w:r>
            <w:r>
              <w:rPr>
                <w:rFonts w:ascii="Verdana" w:eastAsia="Arial" w:hAnsi="Verdana"/>
                <w:sz w:val="18"/>
                <w:szCs w:val="18"/>
              </w:rPr>
              <w:t xml:space="preserve"> </w:t>
            </w:r>
          </w:p>
        </w:tc>
        <w:tc>
          <w:tcPr>
            <w:tcW w:w="8957" w:type="dxa"/>
          </w:tcPr>
          <w:p>
            <w:pPr>
              <w:spacing w:after="0" w:line="276"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posiadać możliwość konfiguracji przez komendy tekstowe w interfejsie znakowym oraz </w:t>
            </w:r>
          </w:p>
        </w:tc>
      </w:tr>
      <w:tr>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37" w:type="dxa"/>
          </w:tcPr>
          <w:p>
            <w:pPr>
              <w:spacing w:after="160" w:line="276" w:lineRule="auto"/>
              <w:ind w:left="0" w:right="0" w:firstLine="0"/>
              <w:jc w:val="left"/>
              <w:rPr>
                <w:rFonts w:ascii="Verdana" w:hAnsi="Verdana"/>
                <w:sz w:val="18"/>
                <w:szCs w:val="18"/>
              </w:rPr>
            </w:pPr>
          </w:p>
        </w:tc>
        <w:tc>
          <w:tcPr>
            <w:tcW w:w="8957"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przez przeglądarkę internetową z interfejsem graficznym.   </w:t>
            </w:r>
          </w:p>
        </w:tc>
      </w:tr>
      <w:tr>
        <w:trPr>
          <w:trHeight w:val="804"/>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13.</w:t>
            </w:r>
            <w:r>
              <w:rPr>
                <w:rFonts w:ascii="Verdana" w:eastAsia="Arial" w:hAnsi="Verdana"/>
                <w:sz w:val="18"/>
                <w:szCs w:val="18"/>
              </w:rPr>
              <w:t xml:space="preserve"> </w:t>
            </w:r>
          </w:p>
        </w:tc>
        <w:tc>
          <w:tcPr>
            <w:tcW w:w="8957" w:type="dxa"/>
          </w:tcPr>
          <w:p>
            <w:pPr>
              <w:spacing w:after="0" w:line="276" w:lineRule="auto"/>
              <w:ind w:left="0" w:right="54"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mieć możliwość instalacji </w:t>
            </w:r>
            <w:proofErr w:type="spellStart"/>
            <w:r>
              <w:rPr>
                <w:rFonts w:ascii="Verdana" w:hAnsi="Verdana"/>
                <w:sz w:val="18"/>
                <w:szCs w:val="18"/>
              </w:rPr>
              <w:t>jednomodowych</w:t>
            </w:r>
            <w:proofErr w:type="spellEnd"/>
            <w:r>
              <w:rPr>
                <w:rFonts w:ascii="Verdana" w:hAnsi="Verdana"/>
                <w:sz w:val="18"/>
                <w:szCs w:val="18"/>
              </w:rPr>
              <w:t xml:space="preserve"> SFP umożliwiających bezpośrednie połączenie (bez dodatkowych urządzeń pośredniczących) z innymi przełącznikami na odległość minimum 10km.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14.</w:t>
            </w:r>
            <w:r>
              <w:rPr>
                <w:rFonts w:ascii="Verdana" w:eastAsia="Arial" w:hAnsi="Verdana"/>
                <w:sz w:val="18"/>
                <w:szCs w:val="18"/>
              </w:rPr>
              <w:t xml:space="preserve"> </w:t>
            </w:r>
          </w:p>
        </w:tc>
        <w:tc>
          <w:tcPr>
            <w:tcW w:w="8957"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zapewnić możliwość jego zarządzania przez zintegrowany port Ethernet, RS232 oraz </w:t>
            </w:r>
            <w:proofErr w:type="spellStart"/>
            <w:r>
              <w:rPr>
                <w:rFonts w:ascii="Verdana" w:hAnsi="Verdana"/>
                <w:sz w:val="18"/>
                <w:szCs w:val="18"/>
              </w:rPr>
              <w:t>inband</w:t>
            </w:r>
            <w:proofErr w:type="spellEnd"/>
            <w:r>
              <w:rPr>
                <w:rFonts w:ascii="Verdana" w:hAnsi="Verdana"/>
                <w:sz w:val="18"/>
                <w:szCs w:val="18"/>
              </w:rPr>
              <w:t xml:space="preserve"> IP-</w:t>
            </w:r>
            <w:proofErr w:type="spellStart"/>
            <w:r>
              <w:rPr>
                <w:rFonts w:ascii="Verdana" w:hAnsi="Verdana"/>
                <w:sz w:val="18"/>
                <w:szCs w:val="18"/>
              </w:rPr>
              <w:t>over</w:t>
            </w:r>
            <w:proofErr w:type="spellEnd"/>
            <w:r>
              <w:rPr>
                <w:rFonts w:ascii="Verdana" w:hAnsi="Verdana"/>
                <w:sz w:val="18"/>
                <w:szCs w:val="18"/>
              </w:rPr>
              <w:t xml:space="preserve">-FC </w:t>
            </w:r>
          </w:p>
        </w:tc>
      </w:tr>
      <w:tr>
        <w:trPr>
          <w:trHeight w:val="538"/>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15.</w:t>
            </w:r>
            <w:r>
              <w:rPr>
                <w:rFonts w:ascii="Verdana" w:eastAsia="Arial" w:hAnsi="Verdana"/>
                <w:sz w:val="18"/>
                <w:szCs w:val="18"/>
              </w:rPr>
              <w:t xml:space="preserve"> </w:t>
            </w:r>
          </w:p>
        </w:tc>
        <w:tc>
          <w:tcPr>
            <w:tcW w:w="8957"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zapewniać wsparcie dla standardu zarządzającego SMI-S v1.1 (powinien zawierać agenta SMI-S zgodnego z wersją standardu v1.1)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16.</w:t>
            </w:r>
            <w:r>
              <w:rPr>
                <w:rFonts w:ascii="Verdana" w:eastAsia="Arial" w:hAnsi="Verdana"/>
                <w:sz w:val="18"/>
                <w:szCs w:val="18"/>
              </w:rPr>
              <w:t xml:space="preserve"> </w:t>
            </w:r>
          </w:p>
        </w:tc>
        <w:tc>
          <w:tcPr>
            <w:tcW w:w="8957"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zapewniać możliwość nadawania adresu IP dla zarządzającego portu Ethernet za pomocą protokołu DHCP </w:t>
            </w:r>
          </w:p>
        </w:tc>
      </w:tr>
      <w:tr>
        <w:trPr>
          <w:trHeight w:val="538"/>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17.</w:t>
            </w:r>
            <w:r>
              <w:rPr>
                <w:rFonts w:ascii="Verdana" w:eastAsia="Arial" w:hAnsi="Verdana"/>
                <w:sz w:val="18"/>
                <w:szCs w:val="18"/>
              </w:rPr>
              <w:t xml:space="preserve"> </w:t>
            </w:r>
          </w:p>
        </w:tc>
        <w:tc>
          <w:tcPr>
            <w:tcW w:w="8957" w:type="dxa"/>
          </w:tcPr>
          <w:p>
            <w:pPr>
              <w:spacing w:after="0" w:line="276" w:lineRule="auto"/>
              <w:ind w:left="0" w:right="51"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zapewniać możliwość dynamicznego aktywowania portów za pomocą zakupionych kluczy licencyjnych. </w:t>
            </w:r>
          </w:p>
        </w:tc>
      </w:tr>
      <w:tr>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18.</w:t>
            </w:r>
            <w:r>
              <w:rPr>
                <w:rFonts w:ascii="Verdana" w:eastAsia="Arial" w:hAnsi="Verdana"/>
                <w:sz w:val="18"/>
                <w:szCs w:val="18"/>
              </w:rPr>
              <w:t xml:space="preserve"> </w:t>
            </w:r>
          </w:p>
        </w:tc>
        <w:tc>
          <w:tcPr>
            <w:tcW w:w="8957" w:type="dxa"/>
          </w:tcPr>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zapewniać opóźnienie przy przesyłaniu ramek FC między dowolnymi portami nie większe niż 900ns. </w:t>
            </w:r>
          </w:p>
        </w:tc>
      </w:tr>
      <w:tr>
        <w:trPr>
          <w:trHeight w:val="434"/>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19.</w:t>
            </w:r>
            <w:r>
              <w:rPr>
                <w:rFonts w:ascii="Verdana" w:eastAsia="Arial" w:hAnsi="Verdana"/>
                <w:sz w:val="18"/>
                <w:szCs w:val="18"/>
              </w:rPr>
              <w:t xml:space="preserve"> </w:t>
            </w:r>
          </w:p>
        </w:tc>
        <w:tc>
          <w:tcPr>
            <w:tcW w:w="8957"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Przełącznik FC musi zapewniać sprzętową obsługę </w:t>
            </w:r>
            <w:proofErr w:type="spellStart"/>
            <w:r>
              <w:rPr>
                <w:rFonts w:ascii="Verdana" w:hAnsi="Verdana"/>
                <w:sz w:val="18"/>
                <w:szCs w:val="18"/>
              </w:rPr>
              <w:t>zoningu</w:t>
            </w:r>
            <w:proofErr w:type="spellEnd"/>
            <w:r>
              <w:rPr>
                <w:rFonts w:ascii="Verdana" w:hAnsi="Verdana"/>
                <w:sz w:val="18"/>
                <w:szCs w:val="18"/>
              </w:rPr>
              <w:t xml:space="preserve"> na podstawie portów i adresów WWN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20.</w:t>
            </w:r>
            <w:r>
              <w:rPr>
                <w:rFonts w:ascii="Verdana" w:eastAsia="Arial" w:hAnsi="Verdana"/>
                <w:sz w:val="18"/>
                <w:szCs w:val="18"/>
              </w:rPr>
              <w:t xml:space="preserve"> </w:t>
            </w:r>
          </w:p>
        </w:tc>
        <w:tc>
          <w:tcPr>
            <w:tcW w:w="8957" w:type="dxa"/>
          </w:tcPr>
          <w:p>
            <w:pPr>
              <w:spacing w:after="0" w:line="276" w:lineRule="auto"/>
              <w:ind w:left="0" w:right="7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Urządzenie musi wspierać mechanizm balansowania ruchem w połączeniach wewnątrz wielodomenowych sieci </w:t>
            </w:r>
            <w:proofErr w:type="spellStart"/>
            <w:r>
              <w:rPr>
                <w:rFonts w:ascii="Verdana" w:hAnsi="Verdana"/>
                <w:sz w:val="18"/>
                <w:szCs w:val="18"/>
              </w:rPr>
              <w:t>fabric</w:t>
            </w:r>
            <w:proofErr w:type="spellEnd"/>
            <w:r>
              <w:rPr>
                <w:rFonts w:ascii="Verdana" w:hAnsi="Verdana"/>
                <w:sz w:val="18"/>
                <w:szCs w:val="18"/>
              </w:rPr>
              <w:t xml:space="preserve"> w oparciu OXID. </w:t>
            </w:r>
          </w:p>
        </w:tc>
      </w:tr>
      <w:tr>
        <w:trPr>
          <w:trHeight w:val="434"/>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lastRenderedPageBreak/>
              <w:t>21.</w:t>
            </w:r>
            <w:r>
              <w:rPr>
                <w:rFonts w:ascii="Verdana" w:eastAsia="Arial" w:hAnsi="Verdana"/>
                <w:sz w:val="18"/>
                <w:szCs w:val="18"/>
              </w:rPr>
              <w:t xml:space="preserve"> </w:t>
            </w:r>
          </w:p>
        </w:tc>
        <w:tc>
          <w:tcPr>
            <w:tcW w:w="8957"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Możliwość wymiany w trybie „na gorąco”: minimum w odniesieniu do modułów portów </w:t>
            </w:r>
            <w:proofErr w:type="spellStart"/>
            <w:r>
              <w:rPr>
                <w:rFonts w:ascii="Verdana" w:hAnsi="Verdana"/>
                <w:sz w:val="18"/>
                <w:szCs w:val="18"/>
              </w:rPr>
              <w:t>Fibre</w:t>
            </w:r>
            <w:proofErr w:type="spellEnd"/>
            <w:r>
              <w:rPr>
                <w:rFonts w:ascii="Verdana" w:hAnsi="Verdana"/>
                <w:sz w:val="18"/>
                <w:szCs w:val="18"/>
              </w:rPr>
              <w:t xml:space="preserve"> Channel (SFP). </w:t>
            </w:r>
          </w:p>
        </w:tc>
      </w:tr>
      <w:tr>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22.</w:t>
            </w:r>
            <w:r>
              <w:rPr>
                <w:rFonts w:ascii="Verdana" w:eastAsia="Arial" w:hAnsi="Verdana"/>
                <w:sz w:val="18"/>
                <w:szCs w:val="18"/>
              </w:rPr>
              <w:t xml:space="preserve"> </w:t>
            </w:r>
          </w:p>
        </w:tc>
        <w:tc>
          <w:tcPr>
            <w:tcW w:w="8957" w:type="dxa"/>
          </w:tcPr>
          <w:p>
            <w:pPr>
              <w:spacing w:after="0" w:line="276" w:lineRule="auto"/>
              <w:ind w:left="0" w:right="44"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Wsparcie dla </w:t>
            </w:r>
            <w:proofErr w:type="spellStart"/>
            <w:r>
              <w:rPr>
                <w:rFonts w:ascii="Verdana" w:hAnsi="Verdana"/>
                <w:sz w:val="18"/>
                <w:szCs w:val="18"/>
              </w:rPr>
              <w:t>N_Port</w:t>
            </w:r>
            <w:proofErr w:type="spellEnd"/>
            <w:r>
              <w:rPr>
                <w:rFonts w:ascii="Verdana" w:hAnsi="Verdana"/>
                <w:sz w:val="18"/>
                <w:szCs w:val="18"/>
              </w:rPr>
              <w:t xml:space="preserve"> ID </w:t>
            </w:r>
            <w:proofErr w:type="spellStart"/>
            <w:r>
              <w:rPr>
                <w:rFonts w:ascii="Verdana" w:hAnsi="Verdana"/>
                <w:sz w:val="18"/>
                <w:szCs w:val="18"/>
              </w:rPr>
              <w:t>Virtualization</w:t>
            </w:r>
            <w:proofErr w:type="spellEnd"/>
            <w:r>
              <w:rPr>
                <w:rFonts w:ascii="Verdana" w:hAnsi="Verdana"/>
                <w:sz w:val="18"/>
                <w:szCs w:val="18"/>
              </w:rPr>
              <w:t xml:space="preserve"> (NPIV). Obsługa co najmniej 255 wirtualnych urządzeń na pojedynczym porcie przełącznika. </w:t>
            </w:r>
          </w:p>
        </w:tc>
      </w:tr>
      <w:tr>
        <w:trPr>
          <w:trHeight w:val="434"/>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23.</w:t>
            </w:r>
            <w:r>
              <w:rPr>
                <w:rFonts w:ascii="Verdana" w:eastAsia="Arial" w:hAnsi="Verdana"/>
                <w:sz w:val="18"/>
                <w:szCs w:val="18"/>
              </w:rPr>
              <w:t xml:space="preserve"> </w:t>
            </w:r>
          </w:p>
        </w:tc>
        <w:tc>
          <w:tcPr>
            <w:tcW w:w="8957" w:type="dxa"/>
          </w:tcPr>
          <w:p>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Szyny do montażu w szafie </w:t>
            </w:r>
            <w:proofErr w:type="spellStart"/>
            <w:r>
              <w:rPr>
                <w:rFonts w:ascii="Verdana" w:hAnsi="Verdana"/>
                <w:sz w:val="18"/>
                <w:szCs w:val="18"/>
              </w:rPr>
              <w:t>rack</w:t>
            </w:r>
            <w:proofErr w:type="spellEnd"/>
            <w:r>
              <w:rPr>
                <w:rFonts w:ascii="Verdana" w:hAnsi="Verdana"/>
                <w:sz w:val="18"/>
                <w:szCs w:val="18"/>
              </w:rPr>
              <w:t xml:space="preserve"> 19’’. </w:t>
            </w:r>
          </w:p>
        </w:tc>
      </w:tr>
      <w:tr>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7" w:type="dxa"/>
          </w:tcPr>
          <w:p>
            <w:pPr>
              <w:spacing w:after="0" w:line="276" w:lineRule="auto"/>
              <w:ind w:left="0" w:right="0" w:firstLine="0"/>
              <w:rPr>
                <w:rFonts w:ascii="Verdana" w:hAnsi="Verdana"/>
                <w:sz w:val="18"/>
                <w:szCs w:val="18"/>
              </w:rPr>
            </w:pPr>
            <w:r>
              <w:rPr>
                <w:rFonts w:ascii="Verdana" w:hAnsi="Verdana"/>
                <w:sz w:val="18"/>
                <w:szCs w:val="18"/>
              </w:rPr>
              <w:t>24.</w:t>
            </w:r>
            <w:r>
              <w:rPr>
                <w:rFonts w:ascii="Verdana" w:eastAsia="Arial" w:hAnsi="Verdana"/>
                <w:sz w:val="18"/>
                <w:szCs w:val="18"/>
              </w:rPr>
              <w:t xml:space="preserve"> </w:t>
            </w:r>
          </w:p>
        </w:tc>
        <w:tc>
          <w:tcPr>
            <w:tcW w:w="8957" w:type="dxa"/>
          </w:tcPr>
          <w:p>
            <w:pPr>
              <w:spacing w:after="56"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Okres gwarancji min 24 miesiące </w:t>
            </w:r>
          </w:p>
          <w:p>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Okres dostępności gwaranta 8x5xNBD</w:t>
            </w:r>
          </w:p>
        </w:tc>
      </w:tr>
    </w:tbl>
    <w:p>
      <w:pPr>
        <w:spacing w:line="276" w:lineRule="auto"/>
        <w:rPr>
          <w:rFonts w:ascii="Verdana" w:hAnsi="Verdana"/>
          <w:sz w:val="18"/>
          <w:szCs w:val="18"/>
        </w:rPr>
      </w:pPr>
    </w:p>
    <w:p>
      <w:pPr>
        <w:spacing w:line="276" w:lineRule="auto"/>
        <w:rPr>
          <w:rFonts w:ascii="Verdana" w:hAnsi="Verdana"/>
          <w:b/>
          <w:sz w:val="18"/>
          <w:szCs w:val="18"/>
        </w:rPr>
      </w:pPr>
    </w:p>
    <w:p>
      <w:pPr>
        <w:pStyle w:val="Akapitzlist"/>
        <w:numPr>
          <w:ilvl w:val="0"/>
          <w:numId w:val="83"/>
        </w:numPr>
        <w:spacing w:line="276" w:lineRule="auto"/>
        <w:jc w:val="left"/>
        <w:rPr>
          <w:rFonts w:ascii="Verdana" w:hAnsi="Verdana"/>
          <w:sz w:val="18"/>
          <w:szCs w:val="18"/>
        </w:rPr>
      </w:pPr>
      <w:r>
        <w:rPr>
          <w:rFonts w:ascii="Verdana" w:hAnsi="Verdana"/>
          <w:b/>
          <w:sz w:val="18"/>
          <w:szCs w:val="18"/>
        </w:rPr>
        <w:t>Dostarczenia licencji serwerowych systemów operacyjnych – 1 komplet</w:t>
      </w:r>
      <w:r>
        <w:rPr>
          <w:rFonts w:ascii="Verdana" w:hAnsi="Verdana"/>
          <w:b/>
          <w:sz w:val="18"/>
          <w:szCs w:val="18"/>
        </w:rPr>
        <w:br/>
      </w:r>
      <w:r>
        <w:rPr>
          <w:rFonts w:ascii="Verdana" w:hAnsi="Verdana"/>
          <w:b/>
          <w:sz w:val="18"/>
          <w:szCs w:val="18"/>
        </w:rPr>
        <w:br/>
      </w:r>
      <w:r>
        <w:rPr>
          <w:rFonts w:ascii="Verdana" w:hAnsi="Verdana"/>
          <w:sz w:val="18"/>
          <w:szCs w:val="18"/>
        </w:rPr>
        <w:t>Zamawiający oczekują dostarczenia serwerowych systemów operacyjnych umożliwiających zbudowanie domenowych usług sieciowych opartych o mechanizm usług katalogowych typu Active Directory wraz z niezbędnymi licencjami umożliwiającymi połączenia urządzeń do usług katalogowych typy Active Directory (200 licencji). Dostarczone systemy operacyjne muszą umożliwiać uruchomienie oprogramowania serwerowego firm trzecich dedykowanego na system Windows Serwer 2012R2 lub nowszy. Dostarczone licencja nie mogą być ograniczone czasowo.</w:t>
      </w:r>
      <w:r>
        <w:rPr>
          <w:rFonts w:ascii="Verdana" w:hAnsi="Verdana"/>
          <w:sz w:val="18"/>
          <w:szCs w:val="18"/>
        </w:rPr>
        <w:br/>
      </w:r>
      <w:r>
        <w:rPr>
          <w:rFonts w:ascii="Verdana" w:hAnsi="Verdana"/>
          <w:sz w:val="18"/>
          <w:szCs w:val="18"/>
        </w:rPr>
        <w:br/>
        <w:t>Zamawiający oczekuje dostarczenia:</w:t>
      </w:r>
    </w:p>
    <w:p>
      <w:pPr>
        <w:pStyle w:val="Akapitzlist"/>
        <w:spacing w:line="276" w:lineRule="auto"/>
        <w:ind w:firstLine="0"/>
        <w:rPr>
          <w:rFonts w:ascii="Verdana" w:hAnsi="Verdana"/>
          <w:sz w:val="18"/>
          <w:szCs w:val="18"/>
        </w:rPr>
      </w:pPr>
      <w:r>
        <w:rPr>
          <w:rFonts w:ascii="Verdana" w:hAnsi="Verdana"/>
          <w:sz w:val="18"/>
          <w:szCs w:val="18"/>
        </w:rPr>
        <w:t xml:space="preserve">- 2 sztuki licencji Microsoft Windows Server Datacenter 2022 16 rdzeni  64bit  lub równoważne, </w:t>
      </w:r>
    </w:p>
    <w:p>
      <w:pPr>
        <w:pStyle w:val="Akapitzlist"/>
        <w:spacing w:line="276" w:lineRule="auto"/>
        <w:ind w:firstLine="0"/>
        <w:rPr>
          <w:rFonts w:ascii="Verdana" w:hAnsi="Verdana"/>
          <w:sz w:val="18"/>
          <w:szCs w:val="18"/>
        </w:rPr>
      </w:pPr>
      <w:r>
        <w:rPr>
          <w:rFonts w:ascii="Verdana" w:hAnsi="Verdana"/>
          <w:sz w:val="18"/>
          <w:szCs w:val="18"/>
        </w:rPr>
        <w:t xml:space="preserve">- 200 sztuk licencji dostępowych CAL per </w:t>
      </w:r>
      <w:proofErr w:type="spellStart"/>
      <w:r>
        <w:rPr>
          <w:rFonts w:ascii="Verdana" w:hAnsi="Verdana"/>
          <w:sz w:val="18"/>
          <w:szCs w:val="18"/>
        </w:rPr>
        <w:t>device</w:t>
      </w:r>
      <w:proofErr w:type="spellEnd"/>
      <w:r>
        <w:rPr>
          <w:rFonts w:ascii="Verdana" w:hAnsi="Verdana"/>
          <w:sz w:val="18"/>
          <w:szCs w:val="18"/>
        </w:rPr>
        <w:t xml:space="preserve">   lub równoważne.</w:t>
      </w:r>
    </w:p>
    <w:p>
      <w:pPr>
        <w:pStyle w:val="Akapitzlist"/>
        <w:spacing w:line="276" w:lineRule="auto"/>
        <w:ind w:firstLine="0"/>
        <w:rPr>
          <w:rFonts w:ascii="Verdana" w:hAnsi="Verdana"/>
          <w:b/>
          <w:sz w:val="18"/>
          <w:szCs w:val="18"/>
        </w:rPr>
      </w:pPr>
    </w:p>
    <w:p>
      <w:pPr>
        <w:spacing w:line="276" w:lineRule="auto"/>
        <w:rPr>
          <w:rFonts w:ascii="Verdana" w:hAnsi="Verdana"/>
          <w:sz w:val="18"/>
          <w:szCs w:val="18"/>
        </w:rPr>
      </w:pPr>
    </w:p>
    <w:tbl>
      <w:tblPr>
        <w:tblStyle w:val="Zwykatabela31"/>
        <w:tblW w:w="9494" w:type="dxa"/>
        <w:tblLook w:val="04A0" w:firstRow="1" w:lastRow="0" w:firstColumn="1" w:lastColumn="0" w:noHBand="0" w:noVBand="1"/>
      </w:tblPr>
      <w:tblGrid>
        <w:gridCol w:w="410"/>
        <w:gridCol w:w="9084"/>
      </w:tblGrid>
      <w:tr>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9494" w:type="dxa"/>
            <w:gridSpan w:val="2"/>
          </w:tcPr>
          <w:p>
            <w:pPr>
              <w:spacing w:after="0" w:line="276" w:lineRule="auto"/>
              <w:ind w:left="1" w:right="0" w:firstLine="0"/>
              <w:jc w:val="left"/>
              <w:rPr>
                <w:rFonts w:ascii="Verdana" w:hAnsi="Verdana"/>
                <w:sz w:val="18"/>
                <w:szCs w:val="18"/>
              </w:rPr>
            </w:pPr>
            <w:r>
              <w:rPr>
                <w:rFonts w:ascii="Verdana" w:hAnsi="Verdana"/>
                <w:sz w:val="18"/>
                <w:szCs w:val="18"/>
              </w:rPr>
              <w:t xml:space="preserve">MINIMALNE WYMAGANIA TECHNICZNE </w:t>
            </w:r>
          </w:p>
        </w:tc>
      </w:tr>
      <w:tr>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0" w:type="dxa"/>
          </w:tcPr>
          <w:p>
            <w:pPr>
              <w:spacing w:after="0" w:line="276" w:lineRule="auto"/>
              <w:ind w:left="0" w:right="0" w:firstLine="0"/>
              <w:jc w:val="left"/>
              <w:rPr>
                <w:rFonts w:ascii="Verdana" w:hAnsi="Verdana"/>
                <w:sz w:val="18"/>
                <w:szCs w:val="18"/>
              </w:rPr>
            </w:pPr>
            <w:r>
              <w:rPr>
                <w:rFonts w:ascii="Verdana" w:hAnsi="Verdana"/>
                <w:sz w:val="18"/>
                <w:szCs w:val="18"/>
              </w:rPr>
              <w:t>1.</w:t>
            </w:r>
            <w:r>
              <w:rPr>
                <w:rFonts w:ascii="Verdana" w:eastAsia="Arial" w:hAnsi="Verdana"/>
                <w:sz w:val="18"/>
                <w:szCs w:val="18"/>
              </w:rPr>
              <w:t xml:space="preserve"> </w:t>
            </w:r>
          </w:p>
        </w:tc>
        <w:tc>
          <w:tcPr>
            <w:tcW w:w="9084" w:type="dxa"/>
          </w:tcPr>
          <w:p>
            <w:pPr>
              <w:pStyle w:val="Akapitzlist"/>
              <w:numPr>
                <w:ilvl w:val="0"/>
                <w:numId w:val="79"/>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licencje muszą mieć możliwość nielimitowanych instalacji na serwerach wirtualnych</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wbudowana zapora internetowa (firewall) z obsługą definiowanych reguł dla ochrony połączeń internetowych i intranetowych</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zlokalizowane w języku polskim, co najmniej następujące elementy: menu, przeglądarka internetowa, pomoc, komunikaty systemowe</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wsparcie dla większości powszechnie używanych urządzeń peryferyjnych (drukarek, urządzeń sieciowych, standardów USB, </w:t>
            </w:r>
            <w:proofErr w:type="spellStart"/>
            <w:r>
              <w:rPr>
                <w:rFonts w:ascii="Verdana" w:hAnsi="Verdana" w:cs="Calibri"/>
                <w:sz w:val="18"/>
                <w:szCs w:val="18"/>
              </w:rPr>
              <w:t>Plug&amp;Play</w:t>
            </w:r>
            <w:proofErr w:type="spellEnd"/>
            <w:r>
              <w:rPr>
                <w:rFonts w:ascii="Verdana" w:hAnsi="Verdana" w:cs="Calibri"/>
                <w:sz w:val="18"/>
                <w:szCs w:val="18"/>
              </w:rPr>
              <w:t>)</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graficzny interfejs użytkownika</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obsługa systemów wieloprocesorowych</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obsługa platform sprzętowych x86, x64</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zdalnej konfiguracji, administrowania oraz aktualizowania systemu</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implementacji następujących funkcjonalności bez potrzeby instalowania dodatkowego programowania:</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usługi sieciowe DNS i DHCP, </w:t>
            </w:r>
            <w:r>
              <w:rPr>
                <w:rFonts w:ascii="Verdana" w:hAnsi="Verdana" w:cs="Calibri"/>
                <w:sz w:val="18"/>
                <w:szCs w:val="18"/>
              </w:rPr>
              <w:tab/>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usługi katalogowe pozwalające na zarządzanie zasobami w sieci (użytkownicy, komputery, drukarki, udziały sieciowe),</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zdalna dystrybucja oprogramowania na stacje robocze,</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praca zdalna na serwerze z wykorzystaniem terminala (cienkiego klienta) lub odpowiednio skonfigurowanej stacji roboczej,</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PKI (Centrum Certyfikatów, obsługa klucza publicznego i prywatnego),</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szyfrowanie plików i folderów, szyfrowanie połączeń sieciowych pomiędzy serwerami oraz serwerami i stacjami roboczymi (</w:t>
            </w:r>
            <w:proofErr w:type="spellStart"/>
            <w:r>
              <w:rPr>
                <w:rFonts w:ascii="Verdana" w:hAnsi="Verdana" w:cs="Calibri"/>
                <w:sz w:val="18"/>
                <w:szCs w:val="18"/>
              </w:rPr>
              <w:t>IPSec</w:t>
            </w:r>
            <w:proofErr w:type="spellEnd"/>
            <w:r>
              <w:rPr>
                <w:rFonts w:ascii="Verdana" w:hAnsi="Verdana" w:cs="Calibri"/>
                <w:sz w:val="18"/>
                <w:szCs w:val="18"/>
              </w:rPr>
              <w:t>),</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rozłożenia obciążenia serwerów,</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serwis udostępniania stron WWW, serwis zarządzania polityką konsumpcji informacji w dokumentach (Digital </w:t>
            </w:r>
            <w:proofErr w:type="spellStart"/>
            <w:r>
              <w:rPr>
                <w:rFonts w:ascii="Verdana" w:hAnsi="Verdana" w:cs="Calibri"/>
                <w:sz w:val="18"/>
                <w:szCs w:val="18"/>
              </w:rPr>
              <w:t>Rights</w:t>
            </w:r>
            <w:proofErr w:type="spellEnd"/>
            <w:r>
              <w:rPr>
                <w:rFonts w:ascii="Verdana" w:hAnsi="Verdana" w:cs="Calibri"/>
                <w:sz w:val="18"/>
                <w:szCs w:val="18"/>
              </w:rPr>
              <w:t xml:space="preserve"> Management),</w:t>
            </w:r>
          </w:p>
          <w:p>
            <w:pPr>
              <w:pStyle w:val="Standard"/>
              <w:numPr>
                <w:ilvl w:val="0"/>
                <w:numId w:val="80"/>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wsparcie dla protokołu IP w wersji 6 (IPv6)</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Możliwość tworzenie serwerów wirtualnych, oprogramowanie wspierające tworzenie </w:t>
            </w:r>
            <w:r>
              <w:rPr>
                <w:rFonts w:ascii="Verdana" w:hAnsi="Verdana" w:cs="Calibri"/>
                <w:sz w:val="18"/>
                <w:szCs w:val="18"/>
              </w:rPr>
              <w:lastRenderedPageBreak/>
              <w:t>serwerów wirtualnych musi spełniać następujące wymagania funkcjonalne:</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warstwa wirtualizacji musi być zainstalowana bezpośrednio na sprzęcie fizycznym bez dodatkowych pośredniczących systemów operacyjnych</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licencja musi umożliwiać zmianę wersji oprogramowania na niższą (</w:t>
            </w:r>
            <w:proofErr w:type="spellStart"/>
            <w:r>
              <w:rPr>
                <w:rFonts w:ascii="Verdana" w:hAnsi="Verdana" w:cs="Calibri"/>
                <w:sz w:val="18"/>
                <w:szCs w:val="18"/>
              </w:rPr>
              <w:t>downgrade</w:t>
            </w:r>
            <w:proofErr w:type="spellEnd"/>
            <w:r>
              <w:rPr>
                <w:rFonts w:ascii="Verdana" w:hAnsi="Verdana" w:cs="Calibri"/>
                <w:sz w:val="18"/>
                <w:szCs w:val="18"/>
              </w:rPr>
              <w:t>)</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rozwiązanie musi zapewnić możliwość obsługi wielu instancji systemów operacyjnych na jednym serwerze</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skonfigurowania maszyn wirtualnych z których każda może mieć 1-4 wirtualnych kart sieciowych.</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przydzielania większej ilości pamięci RAM dla maszyn wirtualnych niż fizyczne zasoby RAM serwera w celu osiągnięcia maksymalnego współczynnika konsolidacji</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udostępniania maszynie wirtualnej większej ilości zasobów dyskowych niż jest fizycznie zarezerwowane na dyskach lokalnych serwera lub na macierzy</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konsola graficzną do zarządzania maszynami wirtualnymi i do konfigurowania innych funkcjonalności.</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bieżącego monitorowania wykorzystania zasobów fizycznych infrastruktury wirtualnej np. wykorzystanie procesorów, pamięci RAM, wykorzystanie przestrzeni na dyskach/wolumenach</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możliwość wykonywania kopii migawkowych instancji systemów operacyjnych (tzw. </w:t>
            </w:r>
            <w:proofErr w:type="spellStart"/>
            <w:r>
              <w:rPr>
                <w:rFonts w:ascii="Verdana" w:hAnsi="Verdana" w:cs="Calibri"/>
                <w:sz w:val="18"/>
                <w:szCs w:val="18"/>
              </w:rPr>
              <w:t>snapshot</w:t>
            </w:r>
            <w:proofErr w:type="spellEnd"/>
            <w:r>
              <w:rPr>
                <w:rFonts w:ascii="Verdana" w:hAnsi="Verdana" w:cs="Calibri"/>
                <w:sz w:val="18"/>
                <w:szCs w:val="18"/>
              </w:rPr>
              <w:t>) na potrzeby tworzenia kopii zapasowych bez przerywania ich pracy.</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możliwość klonowania systemów operacyjnych wraz z ich pełną </w:t>
            </w:r>
            <w:proofErr w:type="spellStart"/>
            <w:r>
              <w:rPr>
                <w:rFonts w:ascii="Verdana" w:hAnsi="Verdana" w:cs="Calibri"/>
                <w:sz w:val="18"/>
                <w:szCs w:val="18"/>
              </w:rPr>
              <w:t>konfiguracjąi</w:t>
            </w:r>
            <w:proofErr w:type="spellEnd"/>
            <w:r>
              <w:rPr>
                <w:rFonts w:ascii="Verdana" w:hAnsi="Verdana" w:cs="Calibri"/>
                <w:sz w:val="18"/>
                <w:szCs w:val="18"/>
              </w:rPr>
              <w:t xml:space="preserve"> danymi</w:t>
            </w:r>
          </w:p>
          <w:p>
            <w:pPr>
              <w:pStyle w:val="Standard"/>
              <w:numPr>
                <w:ilvl w:val="0"/>
                <w:numId w:val="82"/>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integracji z usługami katalogowymi Microsoft Active Directory.</w:t>
            </w:r>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mechanizm bezpiecznego uaktualniania warstwy </w:t>
            </w:r>
            <w:proofErr w:type="spellStart"/>
            <w:r>
              <w:rPr>
                <w:rFonts w:ascii="Verdana" w:hAnsi="Verdana" w:cs="Calibri"/>
                <w:sz w:val="18"/>
                <w:szCs w:val="18"/>
              </w:rPr>
              <w:t>wirtualizacyjnej</w:t>
            </w:r>
            <w:proofErr w:type="spellEnd"/>
            <w:r>
              <w:rPr>
                <w:rFonts w:ascii="Verdana" w:hAnsi="Verdana" w:cs="Calibri"/>
                <w:sz w:val="18"/>
                <w:szCs w:val="18"/>
              </w:rPr>
              <w:t xml:space="preserve"> (np. wgrywania krytycznych poprawek) bez potrzeby wyłączania wirtualnych maszyn</w:t>
            </w:r>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obsługa przełączania ścieżek SAN (bez utraty komunikacji) w przypadku awarii jednej z kilku dostępnych ścieżek.</w:t>
            </w:r>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przenoszenia maszyn wirtualnych w czasie ich pracy pomiędzy serwerami fizycznymi,</w:t>
            </w:r>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mechanizm wysokiej dostępności HA, w przypadku awarii  lub niedostępności serwera fizycznego wybrane przez administratora i uruchomione na nim wirtualne maszyny zostały uruchomione na innych serwerach z zainstalowanym oprogramowaniem </w:t>
            </w:r>
            <w:proofErr w:type="spellStart"/>
            <w:r>
              <w:rPr>
                <w:rFonts w:ascii="Verdana" w:hAnsi="Verdana" w:cs="Calibri"/>
                <w:sz w:val="18"/>
                <w:szCs w:val="18"/>
              </w:rPr>
              <w:t>wirtualizacyjnym</w:t>
            </w:r>
            <w:proofErr w:type="spellEnd"/>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funkcjonalność wirtualnego przełącznika (</w:t>
            </w:r>
            <w:proofErr w:type="spellStart"/>
            <w:r>
              <w:rPr>
                <w:rFonts w:ascii="Verdana" w:hAnsi="Verdana" w:cs="Calibri"/>
                <w:sz w:val="18"/>
                <w:szCs w:val="18"/>
              </w:rPr>
              <w:t>virtual</w:t>
            </w:r>
            <w:proofErr w:type="spellEnd"/>
            <w:r>
              <w:rPr>
                <w:rFonts w:ascii="Verdana" w:hAnsi="Verdana" w:cs="Calibri"/>
                <w:sz w:val="18"/>
                <w:szCs w:val="18"/>
              </w:rPr>
              <w:t xml:space="preserve"> </w:t>
            </w:r>
            <w:proofErr w:type="spellStart"/>
            <w:r>
              <w:rPr>
                <w:rFonts w:ascii="Verdana" w:hAnsi="Verdana" w:cs="Calibri"/>
                <w:sz w:val="18"/>
                <w:szCs w:val="18"/>
              </w:rPr>
              <w:t>switch</w:t>
            </w:r>
            <w:proofErr w:type="spellEnd"/>
            <w:r>
              <w:rPr>
                <w:rFonts w:ascii="Verdana" w:hAnsi="Verdana" w:cs="Calibri"/>
                <w:sz w:val="18"/>
                <w:szCs w:val="18"/>
              </w:rPr>
              <w:t>) umożliwiającego tworzenie sieci wirtualnej w obszarze hosta i pozwalającego połączyć maszyny wirtualne w obszarze jednego hosta, a także na zewnątrz sieci fizycznej.</w:t>
            </w:r>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pojedynczy wirtualny przełącznik musi posiadać możliwość przyłączania do niego dwóch  i więcej fizycznych kart sieciowych aby zapewnić bezpieczeństwo połączenia w razie awarii karty sieciowej</w:t>
            </w:r>
          </w:p>
          <w:p>
            <w:pPr>
              <w:pStyle w:val="Standard"/>
              <w:numPr>
                <w:ilvl w:val="0"/>
                <w:numId w:val="8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wirtualne przełączniki musza obsługiwać wirtualne sieci lokalne (VLAN)</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wykorzystania, co najmniej 320 logicznych procesorów oraz co najmniej 4 TB pamięci RAM w środowisku fizycznym</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wykorzystywania 64 procesorów wirtualnych oraz 1TB pamięci RAM i dysku o pojemności min. 64TB przez każdy wirtualny serwerowy system operacyjny.</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budowania klastrów składających się z 64 węzłów, z możliwością uruchamiania do 8000 maszyn wirtualnych.</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migracji maszyn wirtualnych bez zatrzymywania ich pracy między fizycznymi serwerami z uruchomionym mechanizmem wirtualizacji przez sieć Ethernet, bez konieczności stosowania dodatkowych mechanizmów współdzielenia pamięci.</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Automatyczna weryfikacja cyfrowych sygnatur sterowników w celu sprawdzenia, czy sterownik przeszedł testy jakości przeprowadzone przez producenta systemu operacyjnego.</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Możliwość dynamicznego obniżania poboru energii przez rdzenie procesorów niewykorzystywane w bieżącej pracy. Mechanizm ten musi uwzględniać specyfikę procesorów wyposażonych w mechanizmy </w:t>
            </w:r>
            <w:proofErr w:type="spellStart"/>
            <w:r>
              <w:rPr>
                <w:rFonts w:ascii="Verdana" w:hAnsi="Verdana" w:cs="Calibri"/>
                <w:sz w:val="18"/>
                <w:szCs w:val="18"/>
              </w:rPr>
              <w:t>Hyper-Threading</w:t>
            </w:r>
            <w:proofErr w:type="spellEnd"/>
            <w:r>
              <w:rPr>
                <w:rFonts w:ascii="Verdana" w:hAnsi="Verdana" w:cs="Calibri"/>
                <w:sz w:val="18"/>
                <w:szCs w:val="18"/>
              </w:rPr>
              <w:t>.</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 xml:space="preserve">Wbudowany mechanizm klasyfikowania i indeksowania plików (dokumentów) w oparciu o </w:t>
            </w:r>
            <w:r>
              <w:rPr>
                <w:rFonts w:ascii="Verdana" w:hAnsi="Verdana" w:cs="Calibri"/>
                <w:sz w:val="18"/>
                <w:szCs w:val="18"/>
              </w:rPr>
              <w:lastRenderedPageBreak/>
              <w:t>ich zawartość.</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Wbudowane szyfrowanie dysków przy pomocy mechanizmów posiadających certyfikat FIPS 140-2 lub równoważny wydany przez NIST lub inną agendę rządową zajmującą się bezpieczeństwem informacji.</w:t>
            </w:r>
          </w:p>
          <w:p>
            <w:pPr>
              <w:pStyle w:val="Akapitzlist"/>
              <w:numPr>
                <w:ilvl w:val="0"/>
                <w:numId w:val="78"/>
              </w:numPr>
              <w:suppressAutoHyphens/>
              <w:autoSpaceDN w:val="0"/>
              <w:spacing w:after="0" w:line="276" w:lineRule="auto"/>
              <w:ind w:righ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sz w:val="18"/>
                <w:szCs w:val="18"/>
              </w:rPr>
              <w:t>Możliwość uruchamianie aplikacji internetowych wykorzystujących technologię ASP.NET</w:t>
            </w:r>
          </w:p>
          <w:p>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pPr>
        <w:spacing w:line="276" w:lineRule="auto"/>
        <w:rPr>
          <w:rFonts w:ascii="Verdana" w:hAnsi="Verdana"/>
          <w:b/>
          <w:sz w:val="18"/>
          <w:szCs w:val="18"/>
        </w:rPr>
      </w:pPr>
    </w:p>
    <w:p>
      <w:pPr>
        <w:spacing w:line="276" w:lineRule="auto"/>
        <w:rPr>
          <w:rFonts w:ascii="Verdana" w:hAnsi="Verdana"/>
          <w:b/>
          <w:sz w:val="18"/>
          <w:szCs w:val="18"/>
        </w:rPr>
      </w:pPr>
      <w:r>
        <w:rPr>
          <w:rFonts w:ascii="Verdana" w:hAnsi="Verdana"/>
          <w:b/>
          <w:sz w:val="18"/>
          <w:szCs w:val="18"/>
        </w:rPr>
        <w:t>Licencje dostępowe serwera:</w:t>
      </w:r>
    </w:p>
    <w:p>
      <w:pPr>
        <w:spacing w:line="276" w:lineRule="auto"/>
        <w:rPr>
          <w:rFonts w:ascii="Verdana" w:hAnsi="Verdana"/>
          <w:b/>
          <w:sz w:val="18"/>
          <w:szCs w:val="18"/>
        </w:rPr>
      </w:pPr>
    </w:p>
    <w:tbl>
      <w:tblPr>
        <w:tblStyle w:val="Zwykatabela31"/>
        <w:tblW w:w="9494" w:type="dxa"/>
        <w:tblLook w:val="04A0" w:firstRow="1" w:lastRow="0" w:firstColumn="1" w:lastColumn="0" w:noHBand="0" w:noVBand="1"/>
      </w:tblPr>
      <w:tblGrid>
        <w:gridCol w:w="410"/>
        <w:gridCol w:w="9084"/>
      </w:tblGrid>
      <w:tr>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9494" w:type="dxa"/>
            <w:gridSpan w:val="2"/>
          </w:tcPr>
          <w:p>
            <w:pPr>
              <w:spacing w:after="0" w:line="276" w:lineRule="auto"/>
              <w:ind w:left="1" w:right="0" w:firstLine="0"/>
              <w:jc w:val="left"/>
              <w:rPr>
                <w:rFonts w:ascii="Verdana" w:hAnsi="Verdana"/>
                <w:sz w:val="18"/>
                <w:szCs w:val="18"/>
              </w:rPr>
            </w:pPr>
            <w:r>
              <w:rPr>
                <w:rFonts w:ascii="Verdana" w:hAnsi="Verdana"/>
                <w:sz w:val="18"/>
                <w:szCs w:val="18"/>
              </w:rPr>
              <w:t xml:space="preserve">MINIMALNE WYMAGANIA TECHNICZNE </w:t>
            </w:r>
          </w:p>
        </w:tc>
      </w:tr>
      <w:tr>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0" w:type="dxa"/>
          </w:tcPr>
          <w:p>
            <w:pPr>
              <w:spacing w:after="0" w:line="276" w:lineRule="auto"/>
              <w:ind w:left="0" w:right="0" w:firstLine="0"/>
              <w:jc w:val="left"/>
              <w:rPr>
                <w:rFonts w:ascii="Verdana" w:hAnsi="Verdana"/>
                <w:sz w:val="18"/>
                <w:szCs w:val="18"/>
              </w:rPr>
            </w:pPr>
            <w:r>
              <w:rPr>
                <w:rFonts w:ascii="Verdana" w:hAnsi="Verdana"/>
                <w:sz w:val="18"/>
                <w:szCs w:val="18"/>
              </w:rPr>
              <w:t>1.</w:t>
            </w:r>
            <w:r>
              <w:rPr>
                <w:rFonts w:ascii="Verdana" w:eastAsia="Arial" w:hAnsi="Verdana"/>
                <w:sz w:val="18"/>
                <w:szCs w:val="18"/>
              </w:rPr>
              <w:t xml:space="preserve"> </w:t>
            </w:r>
          </w:p>
        </w:tc>
        <w:tc>
          <w:tcPr>
            <w:tcW w:w="9084" w:type="dxa"/>
          </w:tcPr>
          <w:p>
            <w:pPr>
              <w:spacing w:after="0" w:line="276"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Calibri"/>
                <w:bCs/>
                <w:iCs/>
                <w:sz w:val="18"/>
                <w:szCs w:val="18"/>
              </w:rPr>
              <w:t>200 licencji dostępowych na urządzenie, umożliwiających zarządzanie urządzeniami z poziomu serwera AD za pośrednictwem usługi Active Directory.</w:t>
            </w:r>
          </w:p>
        </w:tc>
      </w:tr>
    </w:tbl>
    <w:p>
      <w:pPr>
        <w:spacing w:line="276" w:lineRule="auto"/>
        <w:rPr>
          <w:rFonts w:ascii="Verdana" w:hAnsi="Verdana"/>
          <w:sz w:val="18"/>
          <w:szCs w:val="18"/>
        </w:rPr>
      </w:pPr>
    </w:p>
    <w:p>
      <w:pPr>
        <w:spacing w:before="240" w:after="0" w:line="276" w:lineRule="auto"/>
        <w:ind w:left="0" w:right="0" w:firstLine="0"/>
        <w:rPr>
          <w:rFonts w:ascii="Verdana" w:hAnsi="Verdana"/>
          <w:sz w:val="18"/>
          <w:szCs w:val="18"/>
        </w:rPr>
      </w:pPr>
    </w:p>
    <w:p>
      <w:pPr>
        <w:spacing w:line="276" w:lineRule="auto"/>
        <w:rPr>
          <w:rFonts w:ascii="Verdana" w:hAnsi="Verdana"/>
          <w:sz w:val="18"/>
          <w:szCs w:val="18"/>
        </w:rPr>
      </w:pPr>
    </w:p>
    <w:p>
      <w:pPr>
        <w:spacing w:after="0" w:line="276" w:lineRule="auto"/>
        <w:ind w:left="0" w:right="0" w:firstLine="0"/>
        <w:rPr>
          <w:rFonts w:ascii="Verdana" w:hAnsi="Verdana"/>
          <w:sz w:val="18"/>
          <w:szCs w:val="18"/>
        </w:rPr>
      </w:pPr>
    </w:p>
    <w:p>
      <w:pPr>
        <w:spacing w:after="14" w:line="276" w:lineRule="auto"/>
        <w:ind w:left="0" w:right="0" w:firstLine="0"/>
        <w:jc w:val="left"/>
        <w:rPr>
          <w:rFonts w:ascii="Verdana" w:hAnsi="Verdana"/>
          <w:sz w:val="18"/>
          <w:szCs w:val="18"/>
        </w:rPr>
      </w:pPr>
      <w:r>
        <w:rPr>
          <w:rFonts w:ascii="Verdana" w:hAnsi="Verdana"/>
          <w:b/>
          <w:bCs/>
          <w:sz w:val="18"/>
          <w:szCs w:val="18"/>
          <w:u w:val="single"/>
        </w:rPr>
        <w:t>II.  ROZBUDOWA POSIADANEGO PRZEZ ZAMAWIAJĄCEGO SYSTEMU HIS – 1 komplet</w:t>
      </w:r>
    </w:p>
    <w:p>
      <w:pPr>
        <w:spacing w:line="276" w:lineRule="auto"/>
        <w:rPr>
          <w:rFonts w:ascii="Verdana" w:hAnsi="Verdana"/>
          <w:sz w:val="18"/>
          <w:szCs w:val="18"/>
        </w:rPr>
      </w:pPr>
    </w:p>
    <w:p>
      <w:pPr>
        <w:spacing w:before="60" w:after="120" w:line="276" w:lineRule="auto"/>
        <w:rPr>
          <w:rFonts w:ascii="Verdana" w:eastAsia="Calibri" w:hAnsi="Verdana"/>
          <w:color w:val="auto"/>
          <w:sz w:val="18"/>
          <w:szCs w:val="18"/>
          <w:lang w:eastAsia="en-US"/>
        </w:rPr>
      </w:pPr>
      <w:r>
        <w:rPr>
          <w:rFonts w:ascii="Verdana" w:eastAsia="Calibri" w:hAnsi="Verdana"/>
          <w:color w:val="auto"/>
          <w:sz w:val="18"/>
          <w:szCs w:val="18"/>
          <w:lang w:eastAsia="en-US"/>
        </w:rPr>
        <w:t xml:space="preserve">Szpital użytkuje system oprogramowania składający się na Szpitalny System Informatyczny (SSI) w części „białej” HIS: Eskulap produkcji </w:t>
      </w:r>
      <w:proofErr w:type="spellStart"/>
      <w:r>
        <w:rPr>
          <w:rFonts w:ascii="Verdana" w:eastAsia="Calibri" w:hAnsi="Verdana"/>
          <w:color w:val="auto"/>
          <w:sz w:val="18"/>
          <w:szCs w:val="18"/>
          <w:lang w:eastAsia="en-US"/>
        </w:rPr>
        <w:t>Nexus</w:t>
      </w:r>
      <w:proofErr w:type="spellEnd"/>
      <w:r>
        <w:rPr>
          <w:rFonts w:ascii="Verdana" w:eastAsia="Calibri" w:hAnsi="Verdana"/>
          <w:color w:val="auto"/>
          <w:sz w:val="18"/>
          <w:szCs w:val="18"/>
          <w:lang w:eastAsia="en-US"/>
        </w:rPr>
        <w:t xml:space="preserve"> Polska Sp. z o.o. </w:t>
      </w:r>
      <w:bookmarkStart w:id="1" w:name="_Toc15554027"/>
      <w:bookmarkStart w:id="2" w:name="_Toc16548839"/>
      <w:bookmarkStart w:id="3" w:name="_Toc498334537"/>
      <w:bookmarkStart w:id="4" w:name="_Toc503180731"/>
      <w:bookmarkStart w:id="5" w:name="_Toc503423853"/>
      <w:bookmarkStart w:id="6" w:name="_Toc504138652"/>
      <w:bookmarkStart w:id="7" w:name="_Toc504483266"/>
      <w:bookmarkStart w:id="8" w:name="_Hlk76925739"/>
    </w:p>
    <w:p>
      <w:pPr>
        <w:spacing w:before="60" w:after="120" w:line="276" w:lineRule="auto"/>
        <w:rPr>
          <w:rFonts w:ascii="Verdana" w:hAnsi="Verdana"/>
          <w:sz w:val="18"/>
          <w:szCs w:val="18"/>
        </w:rPr>
      </w:pPr>
      <w:r>
        <w:rPr>
          <w:rFonts w:ascii="Verdana" w:eastAsia="Lucida Sans Unicode" w:hAnsi="Verdana" w:cs="Calibri"/>
          <w:sz w:val="18"/>
          <w:szCs w:val="18"/>
          <w:lang w:eastAsia="ar-SA"/>
        </w:rPr>
        <w:t>Wykonawca zobowiązuje się dostarczyć Zamawiającemu wymagane funkcjonalności SSI poprzez zmodernizowanie i rozbudowanie istniejącego rozwiązania w taki sposób, aby w jak najszerszym zakresie zostały zaspokojone obecne i przyszłe potrzeby Zamawiającego. Koniecznym jest zachowanie pełnej wzajemnej interoperacyjności nowo wdrażanych modułów/grup funkcjonalności, a także pełnej interoperacyjności z modułami/grupami /systemami funkcjonalności już funkcjonującymi u Zamawiającego.</w:t>
      </w:r>
    </w:p>
    <w:p>
      <w:pPr>
        <w:pStyle w:val="Standard"/>
        <w:spacing w:line="276" w:lineRule="auto"/>
        <w:jc w:val="both"/>
        <w:rPr>
          <w:rFonts w:ascii="Verdana" w:hAnsi="Verdana"/>
          <w:sz w:val="18"/>
          <w:szCs w:val="18"/>
        </w:rPr>
      </w:pPr>
      <w:r>
        <w:rPr>
          <w:rFonts w:ascii="Verdana" w:eastAsia="Lucida Sans Unicode" w:hAnsi="Verdana" w:cs="Calibri"/>
          <w:sz w:val="18"/>
          <w:szCs w:val="18"/>
          <w:lang w:eastAsia="ar-SA"/>
        </w:rPr>
        <w:t>W przypadku rozbudowy i zmodernizowania istniejącego systemu Wykonawca ma obowiązek zachować (utrzymać status quo) funkcjonalnie pełną, istniejącą obecnie integrację z systemami i urządzeniami zewnętrznymi, które nie są przedmiotem wymiany lub rozbudowy w ramach Projektu oraz zapewnić dostęp do historycznych danych medycznych pacjentów bezpośrednio za pomocą nowego/zmodernizowanego rozwiązania.</w:t>
      </w:r>
    </w:p>
    <w:p>
      <w:pPr>
        <w:pStyle w:val="Standard"/>
        <w:spacing w:line="276" w:lineRule="auto"/>
        <w:jc w:val="both"/>
        <w:rPr>
          <w:rFonts w:ascii="Verdana" w:eastAsia="Lucida Sans Unicode" w:hAnsi="Verdana" w:cs="Calibri"/>
          <w:sz w:val="18"/>
          <w:szCs w:val="18"/>
          <w:lang w:eastAsia="ar-SA"/>
        </w:rPr>
      </w:pPr>
      <w:r>
        <w:rPr>
          <w:rFonts w:ascii="Verdana" w:eastAsia="Lucida Sans Unicode" w:hAnsi="Verdana" w:cs="Calibri"/>
          <w:sz w:val="18"/>
          <w:szCs w:val="18"/>
          <w:lang w:eastAsia="ar-SA"/>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p>
    <w:p>
      <w:pPr>
        <w:pStyle w:val="Standard"/>
        <w:spacing w:line="276" w:lineRule="auto"/>
        <w:jc w:val="both"/>
        <w:rPr>
          <w:rFonts w:ascii="Verdana" w:hAnsi="Verdana"/>
          <w:sz w:val="18"/>
          <w:szCs w:val="18"/>
        </w:rPr>
      </w:pPr>
      <w:r>
        <w:rPr>
          <w:rFonts w:ascii="Verdana" w:hAnsi="Verdana"/>
          <w:sz w:val="18"/>
          <w:szCs w:val="18"/>
        </w:rPr>
        <w:t>Zamawiający wymaga by Wykonawca dostarczył dodatkowe bezterminowe licencje nowych modułów SSI lub równoważnego w takiej ilości, aby uzyskać wymaganą liczbę licencji zgodnie z poniższą tabelą oraz dokonał ich pełnej integracji z modułami systemu medycznego posiadanego przez Zamawiającego.</w:t>
      </w:r>
    </w:p>
    <w:p>
      <w:pPr>
        <w:pStyle w:val="Standard"/>
        <w:spacing w:line="276" w:lineRule="auto"/>
        <w:jc w:val="both"/>
        <w:rPr>
          <w:rFonts w:ascii="Verdana" w:hAnsi="Verdana"/>
          <w:sz w:val="18"/>
          <w:szCs w:val="18"/>
        </w:rPr>
      </w:pPr>
    </w:p>
    <w:p>
      <w:pPr>
        <w:pStyle w:val="Standard"/>
        <w:spacing w:line="276" w:lineRule="auto"/>
        <w:jc w:val="both"/>
        <w:rPr>
          <w:rFonts w:ascii="Verdana" w:hAnsi="Verdana"/>
          <w:sz w:val="18"/>
          <w:szCs w:val="18"/>
        </w:rPr>
      </w:pPr>
      <w:r>
        <w:rPr>
          <w:rFonts w:ascii="Verdana" w:hAnsi="Verdana"/>
          <w:sz w:val="18"/>
          <w:szCs w:val="18"/>
        </w:rPr>
        <w:t>System HIS:</w:t>
      </w:r>
    </w:p>
    <w:tbl>
      <w:tblPr>
        <w:tblStyle w:val="Tabelasiatki4akcent11"/>
        <w:tblW w:w="5000" w:type="pct"/>
        <w:tblLook w:val="04A0" w:firstRow="1" w:lastRow="0" w:firstColumn="1" w:lastColumn="0" w:noHBand="0" w:noVBand="1"/>
      </w:tblPr>
      <w:tblGrid>
        <w:gridCol w:w="6851"/>
        <w:gridCol w:w="243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8" w:type="pct"/>
            <w:noWrap/>
            <w:hideMark/>
          </w:tcPr>
          <w:p>
            <w:pPr>
              <w:spacing w:after="0" w:line="276" w:lineRule="auto"/>
              <w:ind w:left="0" w:right="0" w:firstLine="0"/>
              <w:jc w:val="left"/>
              <w:rPr>
                <w:rFonts w:ascii="Verdana" w:hAnsi="Verdana"/>
                <w:b w:val="0"/>
                <w:bCs w:val="0"/>
                <w:sz w:val="18"/>
                <w:szCs w:val="18"/>
              </w:rPr>
            </w:pPr>
            <w:r>
              <w:rPr>
                <w:rFonts w:ascii="Verdana" w:hAnsi="Verdana"/>
                <w:sz w:val="18"/>
                <w:szCs w:val="18"/>
              </w:rPr>
              <w:t>Licencja na moduł</w:t>
            </w:r>
          </w:p>
        </w:tc>
        <w:tc>
          <w:tcPr>
            <w:tcW w:w="1312" w:type="pct"/>
          </w:tcPr>
          <w:p>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sz w:val="18"/>
                <w:szCs w:val="18"/>
              </w:rPr>
              <w:t>Rozbudowa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8" w:type="pct"/>
            <w:noWrap/>
            <w:hideMark/>
          </w:tcPr>
          <w:p>
            <w:pPr>
              <w:spacing w:after="0" w:line="240" w:lineRule="auto"/>
              <w:ind w:left="0" w:right="0" w:firstLine="0"/>
              <w:rPr>
                <w:rFonts w:ascii="Verdana" w:hAnsi="Verdana" w:cs="Calibri"/>
                <w:b w:val="0"/>
                <w:bCs w:val="0"/>
                <w:sz w:val="18"/>
                <w:szCs w:val="18"/>
              </w:rPr>
            </w:pPr>
            <w:r>
              <w:rPr>
                <w:rFonts w:ascii="Verdana" w:hAnsi="Verdana" w:cs="Calibri"/>
                <w:b w:val="0"/>
                <w:bCs w:val="0"/>
                <w:sz w:val="18"/>
                <w:szCs w:val="18"/>
              </w:rPr>
              <w:t>Pulpit Lekarski</w:t>
            </w:r>
          </w:p>
        </w:tc>
        <w:tc>
          <w:tcPr>
            <w:tcW w:w="1312" w:type="pct"/>
          </w:tcPr>
          <w:p>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Open*</w:t>
            </w:r>
          </w:p>
        </w:tc>
      </w:tr>
      <w:tr>
        <w:tc>
          <w:tcPr>
            <w:cnfStyle w:val="001000000000" w:firstRow="0" w:lastRow="0" w:firstColumn="1" w:lastColumn="0" w:oddVBand="0" w:evenVBand="0" w:oddHBand="0" w:evenHBand="0" w:firstRowFirstColumn="0" w:firstRowLastColumn="0" w:lastRowFirstColumn="0" w:lastRowLastColumn="0"/>
            <w:tcW w:w="3688" w:type="pct"/>
            <w:noWrap/>
            <w:hideMark/>
          </w:tcPr>
          <w:p>
            <w:pPr>
              <w:jc w:val="left"/>
              <w:rPr>
                <w:rFonts w:ascii="Verdana" w:hAnsi="Verdana" w:cs="Calibri"/>
                <w:b w:val="0"/>
                <w:bCs w:val="0"/>
                <w:sz w:val="18"/>
                <w:szCs w:val="18"/>
              </w:rPr>
            </w:pPr>
            <w:proofErr w:type="spellStart"/>
            <w:r>
              <w:rPr>
                <w:rFonts w:ascii="Verdana" w:hAnsi="Verdana" w:cs="Calibri"/>
                <w:b w:val="0"/>
                <w:bCs w:val="0"/>
                <w:sz w:val="18"/>
                <w:szCs w:val="18"/>
              </w:rPr>
              <w:t>ePortal</w:t>
            </w:r>
            <w:proofErr w:type="spellEnd"/>
            <w:r>
              <w:rPr>
                <w:rFonts w:ascii="Verdana" w:hAnsi="Verdana" w:cs="Calibri"/>
                <w:b w:val="0"/>
                <w:bCs w:val="0"/>
                <w:sz w:val="18"/>
                <w:szCs w:val="18"/>
              </w:rPr>
              <w:t xml:space="preserve"> Pacjenta</w:t>
            </w:r>
          </w:p>
        </w:tc>
        <w:tc>
          <w:tcPr>
            <w:tcW w:w="1312" w:type="pct"/>
          </w:tcPr>
          <w:p>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Open*</w:t>
            </w:r>
          </w:p>
        </w:tc>
      </w:tr>
    </w:tbl>
    <w:p>
      <w:pPr>
        <w:spacing w:line="276" w:lineRule="auto"/>
        <w:rPr>
          <w:rFonts w:ascii="Verdana" w:hAnsi="Verdana"/>
          <w:sz w:val="16"/>
          <w:szCs w:val="16"/>
          <w:lang w:bidi="pl-PL"/>
        </w:rPr>
      </w:pPr>
      <w:r>
        <w:rPr>
          <w:rFonts w:ascii="Verdana" w:hAnsi="Verdana" w:cs="Calibri"/>
          <w:sz w:val="16"/>
          <w:szCs w:val="16"/>
        </w:rPr>
        <w:t>* nielimitowana liczba jednocześnie korzystających użytkowników</w:t>
      </w:r>
    </w:p>
    <w:p>
      <w:pPr>
        <w:spacing w:line="276" w:lineRule="auto"/>
        <w:rPr>
          <w:rFonts w:ascii="Verdana" w:hAnsi="Verdana"/>
          <w:sz w:val="18"/>
          <w:szCs w:val="18"/>
          <w:lang w:bidi="pl-PL"/>
        </w:rPr>
      </w:pPr>
    </w:p>
    <w:p>
      <w:pPr>
        <w:pStyle w:val="Nagwek2"/>
        <w:spacing w:line="276" w:lineRule="auto"/>
        <w:rPr>
          <w:rFonts w:ascii="Verdana" w:hAnsi="Verdana"/>
          <w:color w:val="000000" w:themeColor="text1"/>
          <w:sz w:val="18"/>
          <w:szCs w:val="18"/>
        </w:rPr>
      </w:pPr>
      <w:bookmarkStart w:id="9" w:name="_Toc91020398"/>
      <w:r>
        <w:rPr>
          <w:rFonts w:ascii="Verdana" w:hAnsi="Verdana"/>
          <w:color w:val="000000" w:themeColor="text1"/>
          <w:sz w:val="18"/>
          <w:szCs w:val="18"/>
        </w:rPr>
        <w:t>Rozbudowa systemu oprogramowania medycznego do wymaganych funkcjonalności:</w:t>
      </w:r>
      <w:bookmarkEnd w:id="9"/>
      <w:r>
        <w:rPr>
          <w:rFonts w:ascii="Verdana" w:hAnsi="Verdana"/>
          <w:color w:val="000000" w:themeColor="text1"/>
          <w:sz w:val="18"/>
          <w:szCs w:val="18"/>
        </w:rPr>
        <w:t xml:space="preserve"> </w:t>
      </w:r>
      <w:bookmarkEnd w:id="1"/>
      <w:bookmarkEnd w:id="2"/>
      <w:bookmarkEnd w:id="3"/>
      <w:bookmarkEnd w:id="4"/>
      <w:bookmarkEnd w:id="5"/>
      <w:bookmarkEnd w:id="6"/>
      <w:bookmarkEnd w:id="7"/>
    </w:p>
    <w:tbl>
      <w:tblPr>
        <w:tblStyle w:val="Tabelasiatki4akcent11"/>
        <w:tblW w:w="5000" w:type="pct"/>
        <w:tblLook w:val="04A0" w:firstRow="1" w:lastRow="0" w:firstColumn="1" w:lastColumn="0" w:noHBand="0" w:noVBand="1"/>
      </w:tblPr>
      <w:tblGrid>
        <w:gridCol w:w="940"/>
        <w:gridCol w:w="8348"/>
      </w:tblGrid>
      <w:tr>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pPr>
              <w:widowControl w:val="0"/>
              <w:overflowPunct w:val="0"/>
              <w:autoSpaceDE w:val="0"/>
              <w:snapToGrid w:val="0"/>
              <w:spacing w:line="276" w:lineRule="auto"/>
              <w:ind w:left="113"/>
              <w:jc w:val="left"/>
              <w:textAlignment w:val="baseline"/>
              <w:rPr>
                <w:rFonts w:ascii="Verdana" w:hAnsi="Verdana" w:cs="Calibri"/>
                <w:color w:val="000000" w:themeColor="text1"/>
                <w:sz w:val="18"/>
                <w:szCs w:val="18"/>
              </w:rPr>
            </w:pPr>
            <w:bookmarkStart w:id="10" w:name="_Toc519569852"/>
            <w:bookmarkStart w:id="11" w:name="_Toc519569853"/>
            <w:bookmarkStart w:id="12" w:name="_Toc519569854"/>
            <w:bookmarkEnd w:id="8"/>
            <w:bookmarkEnd w:id="10"/>
            <w:bookmarkEnd w:id="11"/>
            <w:bookmarkEnd w:id="12"/>
            <w:r>
              <w:rPr>
                <w:rFonts w:ascii="Verdana" w:hAnsi="Verdana" w:cs="Calibri"/>
                <w:color w:val="000000" w:themeColor="text1"/>
                <w:sz w:val="18"/>
                <w:szCs w:val="18"/>
              </w:rPr>
              <w:t xml:space="preserve">WYMAGANIA OGÓLNE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sz w:val="18"/>
                <w:szCs w:val="18"/>
              </w:rPr>
            </w:pPr>
            <w:r>
              <w:rPr>
                <w:rFonts w:ascii="Verdana" w:hAnsi="Verdana" w:cs="Calibri"/>
                <w:b/>
                <w:sz w:val="18"/>
                <w:szCs w:val="18"/>
              </w:rPr>
              <w:t>Architektura HIS</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działa w architekturze trójwarstwowej – rozumianej jako sytuacja, w której baza </w:t>
            </w:r>
            <w:r>
              <w:rPr>
                <w:rFonts w:ascii="Verdana" w:hAnsi="Verdana" w:cs="Calibri"/>
                <w:sz w:val="18"/>
                <w:szCs w:val="18"/>
              </w:rPr>
              <w:lastRenderedPageBreak/>
              <w:t xml:space="preserve">danych znajduje się na serwerze centralnym obsługującym zarządzanie i przetwarzanie danych, natomiast klientem jest przeglądarka internetowa (co najmniej: Mozilla </w:t>
            </w:r>
            <w:proofErr w:type="spellStart"/>
            <w:r>
              <w:rPr>
                <w:rFonts w:ascii="Verdana" w:hAnsi="Verdana" w:cs="Calibri"/>
                <w:sz w:val="18"/>
                <w:szCs w:val="18"/>
              </w:rPr>
              <w:t>Firefox</w:t>
            </w:r>
            <w:proofErr w:type="spellEnd"/>
            <w:r>
              <w:rPr>
                <w:rFonts w:ascii="Verdana" w:hAnsi="Verdana" w:cs="Calibri"/>
                <w:sz w:val="18"/>
                <w:szCs w:val="18"/>
              </w:rPr>
              <w:t>, Google Chrome, Internet Explorer) komunikująca się z użytkownikiem za pośrednictwem serwera aplikacji. Do podstawowej pracy z systemem nie jest wymagane żadne inne oprogramowanie (z zastrzeżeniem dwóch punktów poniżej).</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tabs>
                <w:tab w:val="left" w:pos="3990"/>
              </w:tabs>
              <w:overflowPunct w:val="0"/>
              <w:autoSpaceDE w:val="0"/>
              <w:snapToGrid w:val="0"/>
              <w:spacing w:before="20" w:line="276" w:lineRule="auto"/>
              <w:ind w:right="5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Aplikacje ewidencji podstawowych danych i zdarzeń zapewniających bieżącą obsługę pacjentów działają zarówno w architekturze trójwarstwowej, gdzie klientem jest przeglądarka internetowa oraz dwuwarstwowej (klient serwer). W przypadku niedostępności serwerów aplikacji system musi nadal pracować w wersji dwuwarstwowej, w wymienionych obszarach posiadać tożsamy zakres funkcjonalny:</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Ruchu pacjenta w obszarze izby przyjęć wraz z ewidencją danych niezbędnych do rozliczeń z NFZ,</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Obsługi zleceń medycznych w zakresie leków, diagnostyki laboratoryjnej i obrazowej w obszarze izby przyjęć, </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Ruchu pacjenta w obszarze hospitalizacji wraz z ewidencją danych niezbędnych do rozliczeń z NFZ,</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Obsługi zleceń medycznych w zakresie leków, diagnostyki laboratoryjnej i obrazowej w obszarze hospitalizacji,</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Ruchu pacjenta w obszarze porad specjalistycznych wraz z ewidencją danych niezbędnych do rozliczeń z NFZ,</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Rejestracji i wykonania badań laboratoryjnych w laboratorium,</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Rejestracji i wykonania badań diagnostycznych w pracowniach diagnostycznych,</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Bieżącego sprawozdawania świadczeń do NFZ.</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Operacji magazynowych w Aptece</w:t>
            </w:r>
          </w:p>
          <w:p>
            <w:pPr>
              <w:numPr>
                <w:ilvl w:val="0"/>
                <w:numId w:val="5"/>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Generacji i podpisywania dokumentów EDM </w:t>
            </w:r>
          </w:p>
          <w:p>
            <w:pPr>
              <w:widowControl w:val="0"/>
              <w:overflowPunct w:val="0"/>
              <w:autoSpaceDE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Obie wersje muszą posiadać te same funkcjonalności z dokładnością do pojedynczych argumentów, a zakres używanych skrótów klawiszowych musi być spójny między wersjami architektury systemu.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Raporty są tworzone przynajmniej w formacie PDF (w przypadku występowania raportów, dopuszcza się wymaganie instalacji na stacjach klienckich wskazanej przez dostawcę systemu przeglądarki PDF).</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 xml:space="preserve">Rozliczenia z NFZ są realizowane z obszaru całego systemu z jednej aplikacji. Nie dopuszcza się sprawozdawania świadczeń z jakichkolwiek dziedzin medycznych  (POZ, diagnostyka, transport medyczny) z innych modułów.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b/>
                <w:sz w:val="18"/>
                <w:szCs w:val="18"/>
              </w:rPr>
            </w:pPr>
            <w:r>
              <w:rPr>
                <w:rFonts w:ascii="Verdana" w:hAnsi="Verdana" w:cs="Calibri"/>
                <w:b/>
                <w:sz w:val="18"/>
                <w:szCs w:val="18"/>
              </w:rPr>
              <w:t>Aplikacja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 xml:space="preserve">HIS jest komercyjnie dostępnym rozwiązaniem, w którym wymagania określone w niniejszej tabeli, jak również dla poszczególnych aplikacji muszą być dostępne w systemie na dzień składania ofert.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Wszystkie Aplikacje muszą być dostarczone w najnowszych dostępnych na rynku wersjach, a w zakresie funkcjonalnym zgodnie z Dokumentacją Systemu. Zamawiający wymaga, aby funkcjonalność była nie mniejsza niż zadeklarowana w niniejszym załączniku.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50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 xml:space="preserve">System zapewnia dwa mechanizmy spójności danych tego samego rekordu edytowanych </w:t>
            </w:r>
            <w:r>
              <w:rPr>
                <w:rFonts w:ascii="Verdana" w:hAnsi="Verdana" w:cs="Calibri"/>
                <w:spacing w:val="-2"/>
                <w:sz w:val="18"/>
                <w:szCs w:val="18"/>
              </w:rPr>
              <w:lastRenderedPageBreak/>
              <w:t>w równoległych sesjach: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numPr>
                <w:ilvl w:val="0"/>
                <w:numId w:val="22"/>
              </w:numPr>
              <w:spacing w:after="0" w:line="276" w:lineRule="auto"/>
              <w:ind w:right="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automatyczne nadpisanie (np. data ostatniej edycji rekordu)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numPr>
                <w:ilvl w:val="0"/>
                <w:numId w:val="22"/>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pytanie użytkownika: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1"/>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numPr>
                <w:ilvl w:val="0"/>
                <w:numId w:val="23"/>
              </w:numPr>
              <w:spacing w:after="0" w:line="276" w:lineRule="auto"/>
              <w:ind w:right="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1"/>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numPr>
                <w:ilvl w:val="0"/>
                <w:numId w:val="23"/>
              </w:numPr>
              <w:spacing w:after="0" w:line="276" w:lineRule="auto"/>
              <w:ind w:right="0"/>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możliwość scalenia modyfikacji z różnych sesji (np. opis zabiegu - to samo pole mogą edytować równolegle różni użytkownicy, ostatecznie wszystkie zmiany są scalane w jeden tekst)</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1"/>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numPr>
                <w:ilvl w:val="0"/>
                <w:numId w:val="23"/>
              </w:numPr>
              <w:spacing w:after="0" w:line="276" w:lineRule="auto"/>
              <w:ind w:right="0"/>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blokada zatwierdzenia danych w przypadku wykrycia równoległej edycji kluczowych danych w różnych sesjach (np. status zabiegu)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System posiada narzędzie prezentujące ścieżkę zagłębienia użytkownika w danym momencie w aplikacji (np. </w:t>
            </w:r>
            <w:proofErr w:type="spellStart"/>
            <w:r>
              <w:rPr>
                <w:rFonts w:ascii="Verdana" w:hAnsi="Verdana" w:cs="Calibri"/>
                <w:sz w:val="18"/>
                <w:szCs w:val="18"/>
              </w:rPr>
              <w:t>breadcrumb</w:t>
            </w:r>
            <w:proofErr w:type="spellEnd"/>
            <w:r>
              <w:rPr>
                <w:rFonts w:ascii="Verdana" w:hAnsi="Verdana" w:cs="Calibri"/>
                <w:sz w:val="18"/>
                <w:szCs w:val="18"/>
              </w:rPr>
              <w:t>). Funkcja umożliwia śledzenie jego aktualnej lokalizacji w aplikacji oraz przyspieszoną nawigację dzięki umożliwieniu powrotu do dowolnego miejsca ścieżki.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HIS posiada możliwość pracy na platformach systemowych Windows wspieranych przez jego producenta. W odniesieniu do aplikacji z interfejsem dedykowanym na tablety wymaga się, żeby pracowały na systemie Android.</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HIS musi zapewniać proces wyszukiwania danych z zastosowaniem znaków polskich, znaków polskich diakrytycznych oraz znaków specjalnych, zastępujących co najmniej fragment wyszukiwanego tekstu lub pojedynczy znak(np. „*” - fragment tekstu, „?” – pojedynczy znak).</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przypadku braku interakcji z systemem użytkownika (tj. operacji na systemie plików i komunikacji z zewnętrznymi aplikacjami), system działa na systemach operacyjnych innych niż Windows (co najmniej Linux i Android).</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umożliwia operacje na plikach na stacji klienckiej.</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pacing w:val="-2"/>
                <w:sz w:val="18"/>
                <w:szCs w:val="18"/>
              </w:rPr>
            </w:pPr>
            <w:r>
              <w:rPr>
                <w:rFonts w:ascii="Verdana" w:hAnsi="Verdana" w:cs="Calibri"/>
                <w:spacing w:val="-2"/>
                <w:sz w:val="18"/>
                <w:szCs w:val="18"/>
              </w:rPr>
              <w:t xml:space="preserve">HIS posiada funkcję/narzędzie, dzięki któremu uaktualnienia aplikacji w sposób </w:t>
            </w:r>
            <w:r>
              <w:rPr>
                <w:rFonts w:ascii="Verdana" w:hAnsi="Verdana" w:cs="Calibri"/>
                <w:spacing w:val="-2"/>
                <w:sz w:val="18"/>
                <w:szCs w:val="18"/>
              </w:rPr>
              <w:lastRenderedPageBreak/>
              <w:t xml:space="preserve">automatyczny (uprzednio zdefiniowany) są rozpowszechniane na wszystkie stacje robocze/terminale bez konieczności wykonywania jakichkolwiek czynności poza obszarem serwerowym.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procesach wymagających nanoszenia/prezentacji obszernej ilości danych wykorzystywana jest tzw. zakładkowa architektura okienek umożliwiająca poruszanie się pomiędzy nimi bez konieczności kolejnego ich otwierania i zamykania.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może z poziomu aplikacji zmniejszyć lub powiększyć formularz, z którym pracuje oraz wyzerować powiększenie.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ma kilka wersji kolorystycznych (minimum 3), użytkownik ma możliwość wybrania zestawu kolorów dla wszystkich formularzy (zmiana zestawu kolorów nie zmienia układu formularzy).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HIS zaimplementowana jest obsługa skrótów klawiaturowych (kombinacje kilku klawiszy) dla najczęściej używanych funkcji.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uzyskania z poziomu aplikacji informacji o  lokalizacji rekordu danych w bazie danych powiązanego z polem, w którym znajduje się kursor</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stworzenia z poziomu aplikacji zapytania za pomocą </w:t>
            </w:r>
            <w:proofErr w:type="spellStart"/>
            <w:r>
              <w:rPr>
                <w:rFonts w:ascii="Verdana" w:hAnsi="Verdana" w:cs="Calibri"/>
                <w:sz w:val="18"/>
                <w:szCs w:val="18"/>
              </w:rPr>
              <w:t>sql</w:t>
            </w:r>
            <w:proofErr w:type="spellEnd"/>
            <w:r>
              <w:rPr>
                <w:rFonts w:ascii="Verdana" w:hAnsi="Verdana" w:cs="Calibri"/>
                <w:sz w:val="18"/>
                <w:szCs w:val="18"/>
              </w:rPr>
              <w:t xml:space="preserve"> do bazy danych w celu uzyskania żądanego wykazu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uzyskania z poziomu aplikacji informacji o nazwie i wersji formularza na którym obecnie użytkownik pracuje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uzyskania z poziomu aplikacji informacji o identyfikatorach zewnętrznych nadanych przez płatnika NFZ w komunikacji za pomocą formatu otwartego.</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Pola obligatoryjne, opcjonalne i wypełniane automatycznie muszą być jednoznacznie rozróżnialne przez użytkownika (np. inny kształt, kolor, itp.).</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dynamicznie w zależności od kontekstu pokazuje lub ukrywa przyciski.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zapewnia możliwość przenoszenia sesji użytkownika z jednego stanowiska komputerowego na drugie.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przypadku uruchomienia na jednej stacji wielu sesji przez użytkownika system zapewnia możliwość przeniesienia tylko jednej, wskazanej sesji.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zapewnia możliwość przeniesienia sesji z wypełnionymi polami, niezapisanymi zmianami do bazy danych bez utraty tych zmian po przeniesieniu.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System wyświetla na ekranie, z którego sesja została przeniesiona, informacje dokąd przeniesiono sesję.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Dla funkcjonalności przenoszenia sesji system HIS ma zapewnić możliwość:</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włączenia i wyłączenia funkcjonalności przenoszenia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odebrania definiowalnym użytkownikom funkcjonalności przenoszenia sesji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odebrania definiowalnym adresom IP możliwości przenoszenia sesji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ograniczenia widoków, z których w systemie można przenosić sesje.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HIS zapewnia obsługę listy wartości w cechami: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dynamiczne filtrowanie wyników na podstawie wprowadzanego tekstu.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stronicowanie list wartości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decydowania przez użytkownik o rozmiarze strony na liście wartości.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administrator ma możliwość ustalenia wielkości domyślnej rozmiaru listy wartości </w:t>
            </w:r>
            <w:r>
              <w:rPr>
                <w:rFonts w:ascii="Verdana" w:hAnsi="Verdana" w:cs="Calibri"/>
                <w:sz w:val="18"/>
                <w:szCs w:val="18"/>
              </w:rPr>
              <w:lastRenderedPageBreak/>
              <w:t>dla wszystkich użytkowników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prezentacja łącznej liczby wszystkich elementów w liście.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sz w:val="18"/>
                <w:szCs w:val="18"/>
              </w:rPr>
            </w:pPr>
            <w:r>
              <w:rPr>
                <w:rFonts w:ascii="Verdana" w:hAnsi="Verdana" w:cs="Calibri"/>
                <w:b/>
                <w:sz w:val="18"/>
                <w:szCs w:val="18"/>
              </w:rPr>
              <w:t>Zarządzanie Systemem</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agreguje funkcje administracyjne z wszystkich modułów stanowiących przedmiot zamówienia lub jego zakres licencyjny i pozwala administratorowi na uruchomienie tych modułów.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w wersji przeglądarkowej posiada dla administratora Menedżer sesji w zakresie zapewnienia podglądu: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wszystkich aktywnych sesji użytkowników w systemie w wersji przeglądarkowej z zapewnieniem prezentacji numeru IP każdej sesji, z czasem startu oraz czasem pracy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wszystkich sesji aplikacji, na których użytkownik się nie zalogował wraz z numerami IP, z których utworzono te sesje, z czasem startu oraz czasem pracy.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zakończenia przez administratora wybranej sesji z Menedżera sesji.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wysłania wiadomości z Menedżera sesji: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do wszystkich użytkowników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do wybranej sesji użytkownika, tak aby nie pokazała się w innych sesjach tego samego użytkownika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do wybranej sesji, na której nie zalogował się użytkownik.</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Administrator posiada możliwość przeglądu: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aktualnie pracujących w systemie użytkowników wraz z podaniem modułu i formularza, z którym pracują</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obiektów bazy danych blokowanych przez sesje użytkowników.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Administrator posiada możliwość:</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dodawania nowych przycisków na formatkach z przypisaniem uprawnień do ich uruchomienia, jak również przyporządkowania przyciskom już istniejącym nowego znaczenia bez ingerowania w kod źródłowy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ustawiania parametrów pracy całego systemu, poszczególnych modułów i jednostek organizacyjnych.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zapewnia możliwość wywoływania danego formularza lub raportu z różnych miejsc w systemie.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System zapewnia zarządzanie informacją o modułach (wchodzących w ich skład formularzach, raportach i obiektach bazy danych wraz z informacją o wersjach).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kontrolę poprawności wersji uruchamianych formularzy.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Obsługa połączenia z systemem: logowanie, wybór modułu, </w:t>
            </w:r>
            <w:proofErr w:type="spellStart"/>
            <w:r>
              <w:rPr>
                <w:rFonts w:ascii="Verdana" w:hAnsi="Verdana" w:cs="Calibri"/>
                <w:sz w:val="18"/>
                <w:szCs w:val="18"/>
              </w:rPr>
              <w:t>screenlock</w:t>
            </w:r>
            <w:proofErr w:type="spellEnd"/>
            <w:r>
              <w:rPr>
                <w:rFonts w:ascii="Verdana" w:hAnsi="Verdana" w:cs="Calibri"/>
                <w:sz w:val="18"/>
                <w:szCs w:val="18"/>
              </w:rPr>
              <w:t>, zmiana hasła, informacje o wersji formularza.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System zapewnia zarządzanie w zakresach: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zarządzanie księgami szpitalnymi wraz z wykonaniem operacji zamknięcia roku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definiowanie list oczekujących, zdarzeń i produktów kontraktowych nimi związanych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7"/>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przechowywanie, wprowadzanie i zarządzanie informacją o formularzach, raportach i raportach definiowalnych.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posiada możliwość ewidencji komunikatów o błędach pojawiających się w systemie.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administratorowi możliwość zastąpienia standardowych komunikatów własnymi.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Usuwanie (łączenie) kartotek pacjenta wraz z prezentowaniem listy usuniętych kartotek.</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obsługę automatycznej numeracji dokumentów, ksiąg.</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posiada mechanizmy umożliwiające zapis i przeglądanie danych o logowaniu użytkowników do HIS pozwalające na uzyskanie informacji o czasie i miejscach ich pracy.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rejestrację zmian danych: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rejestracja odbywa się niezależnie od mechanizmów wykorzystywanych przez bazę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konfiguracji przez administratora dowolnych tabel w bazie danych, dla których odbywa się rejestracja zmian</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rejestracja obejmuje zmiany wykonywane za pomocą HIS, ja również dowolnej aplikacji umożliwiającej dostęp do bazy danych (np. </w:t>
            </w:r>
            <w:proofErr w:type="spellStart"/>
            <w:r>
              <w:rPr>
                <w:rFonts w:ascii="Verdana" w:hAnsi="Verdana" w:cs="Calibri"/>
                <w:sz w:val="18"/>
                <w:szCs w:val="18"/>
              </w:rPr>
              <w:t>sql</w:t>
            </w:r>
            <w:proofErr w:type="spellEnd"/>
            <w:r>
              <w:rPr>
                <w:rFonts w:ascii="Verdana" w:hAnsi="Verdana" w:cs="Calibri"/>
                <w:sz w:val="18"/>
                <w:szCs w:val="18"/>
              </w:rPr>
              <w:t>).</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każda modyfikacja jest opisywana danymi: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587"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czas modyfikacji zapisany z maksymalną dostępną dokładnością (przynajmniej tysięczne części sekundy)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587" w:right="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identyfikator sesji w bazie danych (do powiązania wpisu z logami bazy danych)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587"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nazwa użytkownika zalogowanego do bazy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587" w:right="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nazwa użytkownika zalogowanego do systemu operacyjnego</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587"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adres IP sesji, z której dokonano modyfikacji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587" w:right="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narzędzie, za pomocą którego dokonano modyfikacji (nazwa modułu i formularza systemu HIS lub nazwa innego programu, za pomocą którego dokonano modyfikacji)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każdy rekord zmiany zawiera wyłącznie zmodyfikowane kolumny / dane, bez zapisu danych, które nie uległy zmianie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przypadku usunięcia rekordu zapisywana jest jego pełna wartość przed usunięciem</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tabela objęta mechanizmem logu zostanie zmodyfikowana podczas aktualizacji systemu, odpowiednie mechanizmy rejestru zmian (logu) zostaną automatycznie modyfikowane dostosowując go do nowej struktury tabeli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wyłączenie logu na danej tabeli nie ma powodować usunięcia danych z logu, jedynie rezygnację z zapisu nowych modyfikacji do logu. Każda operacja włączenia i wyłączenia mechanizmu logu jest rejestrowana w odpowiedniej tabeli logu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4"/>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wszystkie operacje włączenia i wyłączenia mechanizmu logu na poszczególnych obiektach oraz operacje zmiany na obiektach logu są rejestrowane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Aplikacja zapewnia narzędzia do pielęgnowania i przeglądania danych logu.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przeglądu danych rejestru zmian (logu) bezpośrednio w aplikacji w ujęciach: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shd w:val="clear" w:color="auto" w:fill="FFFF00"/>
              </w:rPr>
            </w:pPr>
          </w:p>
        </w:tc>
        <w:tc>
          <w:tcPr>
            <w:tcW w:w="4494" w:type="pct"/>
          </w:tcPr>
          <w:p>
            <w:pPr>
              <w:widowControl w:val="0"/>
              <w:numPr>
                <w:ilvl w:val="0"/>
                <w:numId w:val="11"/>
              </w:numPr>
              <w:overflowPunct w:val="0"/>
              <w:autoSpaceDE w:val="0"/>
              <w:snapToGrid w:val="0"/>
              <w:spacing w:before="20" w:after="20" w:line="276" w:lineRule="auto"/>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przekrojowym: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0"/>
              </w:numPr>
              <w:overflowPunct w:val="0"/>
              <w:autoSpaceDE w:val="0"/>
              <w:snapToGrid w:val="0"/>
              <w:spacing w:before="20" w:after="20" w:line="276" w:lineRule="auto"/>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lista zmian filtrowana wg rożnych kryteriów (czas, użytkownik, sesja)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0"/>
              </w:numPr>
              <w:overflowPunct w:val="0"/>
              <w:autoSpaceDE w:val="0"/>
              <w:snapToGrid w:val="0"/>
              <w:spacing w:before="20" w:after="20" w:line="276" w:lineRule="auto"/>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pozwalającym na ustalenie, co się działo w bazie o określonym czasie, albo co robił konkretny użytkownik</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0"/>
              </w:numPr>
              <w:overflowPunct w:val="0"/>
              <w:autoSpaceDE w:val="0"/>
              <w:snapToGrid w:val="0"/>
              <w:spacing w:before="20" w:after="20" w:line="276" w:lineRule="auto"/>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opis zmian prezentowany w postaci pełnego opisu zmienionych danych lub listy zmodyfikowanych kolumn</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0"/>
              </w:numPr>
              <w:overflowPunct w:val="0"/>
              <w:autoSpaceDE w:val="0"/>
              <w:snapToGrid w:val="0"/>
              <w:spacing w:before="20" w:after="20" w:line="276" w:lineRule="auto"/>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Zapewniający bezpośrednie przejście do formularza prezentującego historię zmian wskazanego rekordu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0"/>
              </w:numPr>
              <w:overflowPunct w:val="0"/>
              <w:autoSpaceDE w:val="0"/>
              <w:snapToGrid w:val="0"/>
              <w:spacing w:before="20" w:after="20" w:line="276" w:lineRule="auto"/>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historii zmian jednego rekordu: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7"/>
              </w:numPr>
              <w:overflowPunct w:val="0"/>
              <w:autoSpaceDE w:val="0"/>
              <w:snapToGrid w:val="0"/>
              <w:spacing w:before="20" w:after="20" w:line="276" w:lineRule="auto"/>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ograniczenia listy do modyfikacji wybranej kolumny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7"/>
              </w:numPr>
              <w:overflowPunct w:val="0"/>
              <w:autoSpaceDE w:val="0"/>
              <w:snapToGrid w:val="0"/>
              <w:spacing w:before="20" w:after="20" w:line="276" w:lineRule="auto"/>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automatycznego wyświetlenia logu tabel powiązanych przez klucze obce z synchronizacją czasu rekordów w logu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7"/>
              </w:numPr>
              <w:overflowPunct w:val="0"/>
              <w:autoSpaceDE w:val="0"/>
              <w:snapToGrid w:val="0"/>
              <w:spacing w:before="20" w:after="20" w:line="276" w:lineRule="auto"/>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wyróżnianie rekordów rejestru zmian (logu), w których wykryto manipulację danymi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7"/>
              </w:numPr>
              <w:overflowPunct w:val="0"/>
              <w:autoSpaceDE w:val="0"/>
              <w:snapToGrid w:val="0"/>
              <w:spacing w:before="20" w:after="20" w:line="276" w:lineRule="auto"/>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przejścia do prezentacji przekrojowej opisującej okres wybranej zmiany.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System umożliwia administratorowi podgląd i analizę zmian wybranego wpisu w bazie danych bezpośrednio z okien ewidencyjnych w systemie.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rejestrację dostępu do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0"/>
              </w:numPr>
              <w:overflowPunct w:val="0"/>
              <w:autoSpaceDE w:val="0"/>
              <w:snapToGrid w:val="0"/>
              <w:spacing w:before="20" w:after="20" w:line="276" w:lineRule="auto"/>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dla wszystkich formularzy zdefiniowanych w konfiguracji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0"/>
              </w:numPr>
              <w:overflowPunct w:val="0"/>
              <w:autoSpaceDE w:val="0"/>
              <w:snapToGrid w:val="0"/>
              <w:spacing w:before="20" w:after="20" w:line="276" w:lineRule="auto"/>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z informacją o kontekście wywołania, uzupełnioną w konfiguracji.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rejestrację dostępu do danych, z zapisaniem:</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1"/>
              </w:numPr>
              <w:overflowPunct w:val="0"/>
              <w:autoSpaceDE w:val="0"/>
              <w:snapToGrid w:val="0"/>
              <w:spacing w:before="20" w:after="20" w:line="276" w:lineRule="auto"/>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czas dostępu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1"/>
              </w:numPr>
              <w:overflowPunct w:val="0"/>
              <w:autoSpaceDE w:val="0"/>
              <w:snapToGrid w:val="0"/>
              <w:spacing w:before="20" w:after="20" w:line="276" w:lineRule="auto"/>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bazy dany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1"/>
              </w:numPr>
              <w:overflowPunct w:val="0"/>
              <w:autoSpaceDE w:val="0"/>
              <w:snapToGrid w:val="0"/>
              <w:spacing w:before="20" w:after="20" w:line="276" w:lineRule="auto"/>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identyfikator sesji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1"/>
              </w:numPr>
              <w:overflowPunct w:val="0"/>
              <w:autoSpaceDE w:val="0"/>
              <w:snapToGrid w:val="0"/>
              <w:spacing w:before="20" w:after="20" w:line="276" w:lineRule="auto"/>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nazwa formularza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1"/>
              </w:numPr>
              <w:overflowPunct w:val="0"/>
              <w:autoSpaceDE w:val="0"/>
              <w:snapToGrid w:val="0"/>
              <w:spacing w:before="20" w:after="20" w:line="276" w:lineRule="auto"/>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identyfikator pacjenta, w kontekście którego zrealizowano dostęp (jeśli jest dostępny)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21"/>
              </w:numPr>
              <w:overflowPunct w:val="0"/>
              <w:autoSpaceDE w:val="0"/>
              <w:snapToGrid w:val="0"/>
              <w:spacing w:before="20" w:after="20" w:line="276" w:lineRule="auto"/>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dodatkowy opis kontekstu (np. identyfikator pobytu na oddziale).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sz w:val="18"/>
                <w:szCs w:val="18"/>
              </w:rPr>
            </w:pPr>
            <w:r>
              <w:rPr>
                <w:rFonts w:ascii="Verdana" w:hAnsi="Verdana" w:cs="Calibri"/>
                <w:b/>
                <w:sz w:val="18"/>
                <w:szCs w:val="18"/>
              </w:rPr>
              <w:t>Uwierzytelnianie i zarządzanie uprawnieniami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w zakresie wszystkich aplikacji oprócz mobilnych musi zostać zintegrowany z usługą Active Directory w ten sposób, że użytkownik po zalogowaniu do systemu operacyjnego nie musiał się ponownie logować do aplikacji.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2"/>
              </w:numPr>
              <w:overflowPunct w:val="0"/>
              <w:autoSpaceDE w:val="0"/>
              <w:snapToGrid w:val="0"/>
              <w:spacing w:before="20" w:after="20" w:line="276" w:lineRule="auto"/>
              <w:ind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Integracja z AD musi być realizowana w zakresie minimum: tworzenia, modyfikacji, usuwania, blokowania użytkowników.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2"/>
              </w:numPr>
              <w:overflowPunct w:val="0"/>
              <w:autoSpaceDE w:val="0"/>
              <w:snapToGrid w:val="0"/>
              <w:spacing w:before="20" w:after="20" w:line="276" w:lineRule="auto"/>
              <w:ind w:right="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Każdy użytkownik w AD musi mieć swój unikalny odpowiednik w bazie danych (Nie dopuszcza się rozwiązań, w których kilku użytkowników w AD jest reprezentowanych w bazie danych w postaci jednego użytkownika).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2"/>
              </w:numPr>
              <w:overflowPunct w:val="0"/>
              <w:autoSpaceDE w:val="0"/>
              <w:snapToGrid w:val="0"/>
              <w:spacing w:before="20" w:after="20" w:line="276" w:lineRule="auto"/>
              <w:ind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Wszystkie hasła użytkowników HIS są przechowywane w bazie danych w postaci niejawnej (zaszyfrowanej).</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2"/>
              </w:numPr>
              <w:overflowPunct w:val="0"/>
              <w:autoSpaceDE w:val="0"/>
              <w:snapToGrid w:val="0"/>
              <w:spacing w:before="20" w:after="20" w:line="276" w:lineRule="auto"/>
              <w:ind w:right="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Hasła użytkowników mogą być tworzone ręcznie lub automatycznie. Mechanizm automatyczny generuje ciąg losowych znaków (30 znaków lub więcej) i przypisuje go jako hasło użytkownika.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2"/>
              </w:numPr>
              <w:overflowPunct w:val="0"/>
              <w:autoSpaceDE w:val="0"/>
              <w:snapToGrid w:val="0"/>
              <w:spacing w:before="20" w:after="20" w:line="276" w:lineRule="auto"/>
              <w:ind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50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celu przyspieszenia procesu logowania i rozpoczęcia pracy w systemie przez użytkownika system umożliwia administratorowi definiowanie domyślnego modułu oraz domyślnej jednostki organizacyjnej dla każdego użytkownika indywidualnie: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8"/>
              </w:numPr>
              <w:overflowPunct w:val="0"/>
              <w:autoSpaceDE w:val="0"/>
              <w:snapToGrid w:val="0"/>
              <w:spacing w:before="20" w:after="20" w:line="276" w:lineRule="auto"/>
              <w:ind w:right="0"/>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niezależnie od stanowiska komputerowego</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8"/>
              </w:numPr>
              <w:overflowPunct w:val="0"/>
              <w:autoSpaceDE w:val="0"/>
              <w:snapToGrid w:val="0"/>
              <w:spacing w:before="20" w:after="20" w:line="276" w:lineRule="auto"/>
              <w:ind w:right="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 możliwością rozróżnienia ustawień dla poszczególnych stanowisk komputerowych.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zapewnia wykorzystanie tego samego mechanizm logowania przez wersję trójwarstwową i aplikacje mobilne.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umożliwia w trakcie logowania wybór bazy danych, do której użytkownik chce się </w:t>
            </w:r>
            <w:r>
              <w:rPr>
                <w:rFonts w:ascii="Verdana" w:hAnsi="Verdana" w:cs="Calibri"/>
                <w:sz w:val="18"/>
                <w:szCs w:val="18"/>
              </w:rPr>
              <w:lastRenderedPageBreak/>
              <w:t xml:space="preserve">zalogować. Funkcja jako domyślną przyjmuje bazę produkcyjną i wymaga wskazania bazy jedynie w przypadku logowania do innej bazy (np. testowej). Wywołanie funkcji zmiany bazy jest dostępne także za pomocą skrótu klawiaturowego.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zapewnia możliwość niezależnego zalogowania kilku różnych użytkowników w tej samej sesji przeglądarki, w sąsiednich kartach tego samego okna.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zapewnia możliwość niezależnego zalogowania kilku różnych użytkowników w tej samej sesji przeglądarki bez potrzeby korzystania z tzw. trybu prywatnego przeglądarki.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automatyczne wylogowanie użytkownika z systemu (przy przekroczeniu zadanego czasu bezczynności ustanowionego uprzednio przez Administratora).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przechowywanie, wprowadzanie i zarządzanie informacją: o użytkownikach i administratorach systemu oraz pracownikach szpitala nie mających dostępu do aplikacji.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automatyczne blokowanie niewykorzystywanych kont użytkowników po zidentyfikowaniu braku  logowania przez zadany okres czasu.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HIS są zaimplementowane mechanizmy walidacji haseł zgodnie z wymaganiami ustawowymi przewidzianymi dla rodzaju danych przetwarzanych przez HIS. Umożliwia w szczególności określenie reguł powtarzalności haseł minimum w zakresie:</w:t>
            </w:r>
          </w:p>
          <w:p>
            <w:pPr>
              <w:widowControl w:val="0"/>
              <w:numPr>
                <w:ilvl w:val="0"/>
                <w:numId w:val="15"/>
              </w:numPr>
              <w:overflowPunct w:val="0"/>
              <w:autoSpaceDE w:val="0"/>
              <w:spacing w:before="20" w:after="20" w:line="276" w:lineRule="auto"/>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okresu, w jakim nie może być ponownie wykorzystane hasło</w:t>
            </w:r>
          </w:p>
          <w:p>
            <w:pPr>
              <w:widowControl w:val="0"/>
              <w:numPr>
                <w:ilvl w:val="0"/>
                <w:numId w:val="15"/>
              </w:numPr>
              <w:overflowPunct w:val="0"/>
              <w:autoSpaceDE w:val="0"/>
              <w:spacing w:before="20" w:after="20" w:line="276" w:lineRule="auto"/>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liczby znaków, którą muszą różnić się kolejne hasła.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niezależną konfigurację reguł złożoności haseł dla administratorów i użytkowników.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wygenerowanie hasła tymczasowego w przypadku np. zagubienia karty (innego nośnika certyfikatu).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umożliwia zdefiniowanie </w:t>
            </w:r>
            <w:proofErr w:type="spellStart"/>
            <w:r>
              <w:rPr>
                <w:rFonts w:ascii="Verdana" w:hAnsi="Verdana" w:cs="Calibri"/>
                <w:sz w:val="18"/>
                <w:szCs w:val="18"/>
              </w:rPr>
              <w:t>super_użytkowników</w:t>
            </w:r>
            <w:proofErr w:type="spellEnd"/>
            <w:r>
              <w:rPr>
                <w:rFonts w:ascii="Verdana" w:hAnsi="Verdana" w:cs="Calibri"/>
                <w:sz w:val="18"/>
                <w:szCs w:val="18"/>
              </w:rPr>
              <w:t>, nie będących administratorami, posiadającymi możliwość zmiany hasła innych użytkowników (w celu scedowania zadań związanych ze zmianą haseł z administratorów np. na kierowników komórek organizacyjnych, pion organizacyjny).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umożliwia konfigurację dla każdego </w:t>
            </w:r>
            <w:proofErr w:type="spellStart"/>
            <w:r>
              <w:rPr>
                <w:rFonts w:ascii="Verdana" w:hAnsi="Verdana" w:cs="Calibri"/>
                <w:sz w:val="18"/>
                <w:szCs w:val="18"/>
              </w:rPr>
              <w:t>super_użytkownika</w:t>
            </w:r>
            <w:proofErr w:type="spellEnd"/>
            <w:r>
              <w:rPr>
                <w:rFonts w:ascii="Verdana" w:hAnsi="Verdana" w:cs="Calibri"/>
                <w:sz w:val="18"/>
                <w:szCs w:val="18"/>
              </w:rPr>
              <w:t xml:space="preserve"> listy użytkowników, dla których może on zmieniać hasło.</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administratorowi z poziomu aplikacji definiowanie i zmianę praw dostępu (uprawnień) dla poszczególnych użytkowników i grup użytkowników z dokładnością do poszczególnych: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3"/>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Modułów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3"/>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jednostek organizacyjnych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3"/>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opcji menu</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3"/>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formularzy, w tym również przycisków w obrębie formularzy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3"/>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Raportów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3"/>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obiektów bazy danych (tabel, perspektyw, funkcji itd.) z rozróżnieniem praw.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przydzielenie pracownikowi różnych schematów uprawnień osobno dla każdej jednostki organizacyjnej, w której pracownik ma pracować w systemie.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umożliwia administratorowi: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eksportowanie, importowanie, przenoszenie, duplikowanie schematów uprawnień</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kopiowanie schematów uprawnień z jednego pracownika na innego pracownika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raportowanie różnic pomiędzy poszczególnymi schematami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ręczne zablokowanie konta użytkownika przez administratora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ewidencję daty zablokowania konta w przyszłości, z zapewnieniem automatycznego zablokowania kontra przez system po upływie wprowadzonej daty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usuwania konta użytkownika.</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b/>
                <w:sz w:val="18"/>
                <w:szCs w:val="18"/>
              </w:rPr>
            </w:pPr>
            <w:r>
              <w:rPr>
                <w:rFonts w:ascii="Verdana" w:hAnsi="Verdana" w:cs="Calibri"/>
                <w:b/>
                <w:sz w:val="18"/>
                <w:szCs w:val="18"/>
              </w:rPr>
              <w:t>Słowniki, współprace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administratorowi zarządzanie danymi podmiotu  (nazwa, adres, NIP, REGON).</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umożliwia administratorowi i uprawnionym użytkownikom z poziomu aplikacji definiowanie i zmianę następujących słowników: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proofErr w:type="spellStart"/>
            <w:r>
              <w:rPr>
                <w:rFonts w:ascii="Verdana" w:hAnsi="Verdana" w:cs="Calibri"/>
                <w:sz w:val="18"/>
                <w:szCs w:val="18"/>
              </w:rPr>
              <w:t>rozpoznań</w:t>
            </w:r>
            <w:proofErr w:type="spellEnd"/>
            <w:r>
              <w:rPr>
                <w:rFonts w:ascii="Verdana" w:hAnsi="Verdana" w:cs="Calibri"/>
                <w:sz w:val="18"/>
                <w:szCs w:val="18"/>
              </w:rPr>
              <w:t xml:space="preserve"> zgodnie z klasyfikacją ICD-10</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procedur medycznych zgodnie z nową edycją klasyfikacji procedur ICD-9</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kodów terytorialnych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Województw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Powiatów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Gmin</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Miejscowości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Ulic</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kodów pocztowych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płatników (w tym oddziałów NFZ)</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jednostek i lekarzy kierujących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Kontrahentów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6"/>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innych uznanych przez producenta za niezbędne.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ma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HIS zapewnia przechowywanie, wprowadzanie i zarządzanie informacją o jednostkach organizacyjnych wraz ustaleniem ich hierarchii.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 współpracuje z wieloma bazami produktów leczniczych jednocześnie w tym co najmniej BAZYL i BLOZ.</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miejscach przyjęć Pacjenta HIS współpracuje z klawiaturami z wbudowanym OCR umożliwiającym skanowanie imienia i nazwiska Pacjenta z dowodu osobistego.</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w:t>
            </w:r>
            <w:proofErr w:type="spellStart"/>
            <w:r>
              <w:rPr>
                <w:rFonts w:ascii="Verdana" w:hAnsi="Verdana" w:cs="Calibri"/>
                <w:sz w:val="18"/>
                <w:szCs w:val="18"/>
              </w:rPr>
              <w:t>digitalizowanego</w:t>
            </w:r>
            <w:proofErr w:type="spellEnd"/>
            <w:r>
              <w:rPr>
                <w:rFonts w:ascii="Verdana" w:hAnsi="Verdana" w:cs="Calibri"/>
                <w:sz w:val="18"/>
                <w:szCs w:val="18"/>
              </w:rPr>
              <w:t xml:space="preserve"> dokumentu, następnie po zakończonym procesie skanowania, dokument zapisze się w Elektronicznym Rekordzie Pacjenta.  </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pozwala na generowania kodów kreskowych zgodnych ze standardem GS1.</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System pozwala na generowanie i wydruk kodów kreskowych w formacie </w:t>
            </w:r>
            <w:proofErr w:type="spellStart"/>
            <w:r>
              <w:rPr>
                <w:rFonts w:ascii="Verdana" w:hAnsi="Verdana" w:cs="Calibri"/>
                <w:sz w:val="18"/>
                <w:szCs w:val="18"/>
              </w:rPr>
              <w:t>Code</w:t>
            </w:r>
            <w:proofErr w:type="spellEnd"/>
            <w:r>
              <w:rPr>
                <w:rFonts w:ascii="Verdana" w:hAnsi="Verdana" w:cs="Calibri"/>
                <w:sz w:val="18"/>
                <w:szCs w:val="18"/>
              </w:rPr>
              <w:t xml:space="preserve"> 128:</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kod musi zawierać dowolne znaki ASCII z zakresu 32-127 (cyfry, duże i małe litery, znaki specjalne)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do zapisu ciągów cyfr wykorzystywany musi być zestaw kodów C podwójnej gęstości (dwie cyfry na symbol)</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podczas kodowania wykonywana ma być optymalizacja długości kodu - ciągi cyfr występujące w treści alfanumerycznej przedstawiane są za pomocą symboli podwójnej gęstości, jeżeli jest to korzystne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powyższe zasady dotyczą również generowanych kodów GS1-128.</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Kody mogą być drukowane z systemu na różnych nośnikach: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kartkach z  raportami, wydrukami z systemu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naklejkach drukowanych w postaci arkuszy naklejek lub pojedynczo na specjalizowanych drukarkach naklejek</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opaskach identyfikujących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innych nośniki minimum na kasetkach i szkiełkach w histopatologii.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musi współpracować z dowolnym czytnikiem kodów kreskowych symulującym wejście z klawiatury.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b/>
                <w:sz w:val="18"/>
                <w:szCs w:val="18"/>
              </w:rPr>
            </w:pPr>
            <w:r>
              <w:rPr>
                <w:rFonts w:ascii="Verdana" w:hAnsi="Verdana" w:cs="Calibri"/>
                <w:b/>
                <w:sz w:val="18"/>
                <w:szCs w:val="18"/>
              </w:rPr>
              <w:t>Raporty</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umożliwia drukowanie, wyświetlanie i zapisywanie raportów.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Generowanie raportów i zestawień może być automatycznie przekierowywane na drukarkę i nie wymaga ich wyświetlania ani żadnego dodatkowego potwierdzania wydruku (wymóg nie dotyczy raportów wymagających podpisu elektronicznego).</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obsługuje drukowanie raportów przeznaczonych na dedykowane drukarki (np. na drukarkę kodów kreskowych) bez pytania użytkownika o wybór drukarki (o ile taka została skonfigurowana w systemie).</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możliwość wydrukowania raportu bez wyświetlenia tego raportu na dedykowaną drukowaną.</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zapewnia możliwość włączenia/wyłączenia powiadomienia użytkownika o wysłaniu wydruku na drukarkę.</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raporty umożliwiają eksport danych do formatu xls</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raporty umożliwiają eksport danych do formatu MS Office/ Open Office</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raporty umożliwiają eksport danych do formatu </w:t>
            </w:r>
            <w:proofErr w:type="spellStart"/>
            <w:r>
              <w:rPr>
                <w:rFonts w:ascii="Verdana" w:hAnsi="Verdana" w:cs="Calibri"/>
                <w:sz w:val="18"/>
                <w:szCs w:val="18"/>
              </w:rPr>
              <w:t>html</w:t>
            </w:r>
            <w:proofErr w:type="spellEnd"/>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HIS jest możliwy podgląd wszystkich dostępnych raportów z jednego miejsca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numPr>
                <w:ilvl w:val="0"/>
                <w:numId w:val="19"/>
              </w:numPr>
              <w:overflowPunct w:val="0"/>
              <w:autoSpaceDE w:val="0"/>
              <w:snapToGrid w:val="0"/>
              <w:spacing w:before="20" w:after="20" w:line="276" w:lineRule="auto"/>
              <w:ind w:left="454" w:right="0" w:hanging="227"/>
              <w:jc w:val="left"/>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każdej jednostce organizacyjnej można zdefiniować odrębny zakres raportów.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142"/>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b/>
                <w:sz w:val="18"/>
                <w:szCs w:val="18"/>
              </w:rPr>
            </w:pPr>
            <w:r>
              <w:rPr>
                <w:rFonts w:ascii="Verdana" w:hAnsi="Verdana" w:cs="Calibri"/>
                <w:b/>
                <w:sz w:val="18"/>
                <w:szCs w:val="18"/>
              </w:rPr>
              <w:t>Wymagania ogólne dla rozwiązań mobilnych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Działanie na tabletach z system operacyjnym Google Android 4.0 lub nowszym.</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Działanie na tabletach z ekranem 5.88 cali lub większym.</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wyboru zestawu kolorów aplikacji z listy predefiniowanych zestawów.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wyboru rozmiaru czcionki w aplikacji z listy predefiniowanych rozmiarów.</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ograniczenia hasłem dostępu do konfiguracji aplikacji na urządzeniu mobilnym.</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zalogowania do aplikacji z wykorzystaniem nazwy użytkownika i hasła.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zalogowania do aplikacji z wykorzystaniem karty inteligentnej zgodnej z normą PKN-CEN/TS 15480-2.</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Obsługa skanowania kodów kreskowych za pomocą czytnika kodów kreskowych wbudowanego w tablet.</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snapToGrid w:val="0"/>
              <w:spacing w:line="276" w:lineRule="auto"/>
              <w:ind w:left="502" w:hanging="360"/>
              <w:jc w:val="center"/>
              <w:textAlignment w:val="baseline"/>
              <w:rPr>
                <w:rFonts w:ascii="Verdana" w:hAnsi="Verdana" w:cs="Calibri"/>
                <w:b w:val="0"/>
                <w:bCs w:val="0"/>
                <w:sz w:val="18"/>
                <w:szCs w:val="18"/>
              </w:rPr>
            </w:pPr>
            <w:bookmarkStart w:id="13" w:name="_Hlk72679625"/>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sz w:val="18"/>
                <w:szCs w:val="18"/>
              </w:rPr>
            </w:pPr>
            <w:r>
              <w:rPr>
                <w:rFonts w:ascii="Verdana" w:hAnsi="Verdana" w:cs="Calibri"/>
                <w:b/>
                <w:sz w:val="18"/>
                <w:szCs w:val="18"/>
              </w:rPr>
              <w:t>Motor bazy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Motor bazy danych (RDBMS) musi być dostępny na platformy systemów operacyjnych: Windows, Linux, Unix.</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zapewnia niezależność platformy systemowej dla oprogramowania klienckiego od platformy systemowej bazy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RDBMS posiada komercyjne wsparcie producenta. Nie dopuszcza się zastosowania RBD typu open-</w:t>
            </w:r>
            <w:proofErr w:type="spellStart"/>
            <w:r>
              <w:rPr>
                <w:rFonts w:ascii="Verdana" w:hAnsi="Verdana" w:cs="Calibri"/>
                <w:sz w:val="18"/>
                <w:szCs w:val="18"/>
              </w:rPr>
              <w:t>source</w:t>
            </w:r>
            <w:proofErr w:type="spellEnd"/>
            <w:r>
              <w:rPr>
                <w:rFonts w:ascii="Verdana" w:hAnsi="Verdana" w:cs="Calibri"/>
                <w:sz w:val="18"/>
                <w:szCs w:val="18"/>
              </w:rPr>
              <w:t>.</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umożliwia eksport i import danych z bazy danych w formacie tekstowym z uwzględnieniem polskiego standardu znaków.</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Przeniesienie i </w:t>
            </w:r>
            <w:proofErr w:type="spellStart"/>
            <w:r>
              <w:rPr>
                <w:rFonts w:ascii="Verdana" w:hAnsi="Verdana" w:cs="Calibri"/>
                <w:sz w:val="18"/>
                <w:szCs w:val="18"/>
              </w:rPr>
              <w:t>tuning</w:t>
            </w:r>
            <w:proofErr w:type="spellEnd"/>
            <w:r>
              <w:rPr>
                <w:rFonts w:ascii="Verdana" w:hAnsi="Verdana" w:cs="Calibri"/>
                <w:sz w:val="18"/>
                <w:szCs w:val="18"/>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Dostarczone licencje nie mogą ograniczać liczby użytkowników końcowych korzystających z oprogramowania ani liczby przetwarzanych lub przechowywanych dokumentów, plików, rekordów, żądań, etc. Licencje nie mogą być ograniczone czasowo.</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RDBMS zapewnia wsparcie dla protokołu XA.</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zapewnia wsparcie dla standardu JDBC 3.0.</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RDBMS zapewnia zgodność ze standardem ANSI/ISO SQL 2003 lub nowszym.</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zapewnia obsługę wyrażeń regularnych zgodną ze standardem POSIX dostępna z poziomu języka SQL jak i procedur/funkcji składowanych w bazie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RDBMS posiada możliwość zagnieżdżania transakcji – uruchomienia niezależnej transakcji wewnątrz transakcji nadrzędnej.</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RDBMS umożliwia zmianę domyślnego trybu izolowania transakcji (Read </w:t>
            </w:r>
            <w:proofErr w:type="spellStart"/>
            <w:r>
              <w:rPr>
                <w:rFonts w:ascii="Verdana" w:hAnsi="Verdana" w:cs="Calibri"/>
                <w:sz w:val="18"/>
                <w:szCs w:val="18"/>
              </w:rPr>
              <w:t>Commited</w:t>
            </w:r>
            <w:proofErr w:type="spellEnd"/>
            <w:r>
              <w:rPr>
                <w:rFonts w:ascii="Verdana" w:hAnsi="Verdana" w:cs="Calibri"/>
                <w:sz w:val="18"/>
                <w:szCs w:val="18"/>
              </w:rPr>
              <w:t xml:space="preserve">) na inny (Read </w:t>
            </w:r>
            <w:proofErr w:type="spellStart"/>
            <w:r>
              <w:rPr>
                <w:rFonts w:ascii="Verdana" w:hAnsi="Verdana" w:cs="Calibri"/>
                <w:sz w:val="18"/>
                <w:szCs w:val="18"/>
              </w:rPr>
              <w:t>Only</w:t>
            </w:r>
            <w:proofErr w:type="spellEnd"/>
            <w:r>
              <w:rPr>
                <w:rFonts w:ascii="Verdana" w:hAnsi="Verdana" w:cs="Calibri"/>
                <w:sz w:val="18"/>
                <w:szCs w:val="18"/>
              </w:rPr>
              <w:t xml:space="preserve">, </w:t>
            </w:r>
            <w:proofErr w:type="spellStart"/>
            <w:r>
              <w:rPr>
                <w:rFonts w:ascii="Verdana" w:hAnsi="Verdana" w:cs="Calibri"/>
                <w:sz w:val="18"/>
                <w:szCs w:val="18"/>
              </w:rPr>
              <w:t>Serializable</w:t>
            </w:r>
            <w:proofErr w:type="spellEnd"/>
            <w:r>
              <w:rPr>
                <w:rFonts w:ascii="Verdana" w:hAnsi="Verdana" w:cs="Calibri"/>
                <w:sz w:val="18"/>
                <w:szCs w:val="18"/>
              </w:rPr>
              <w:t>) za pomocą komend serwera bazy danych.</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RDBMS umożliwia migrację bazy danych utrzymujących dane znakowe w 8-bitowej stronie kodowej do </w:t>
            </w:r>
            <w:proofErr w:type="spellStart"/>
            <w:r>
              <w:rPr>
                <w:rFonts w:ascii="Verdana" w:hAnsi="Verdana" w:cs="Calibri"/>
                <w:sz w:val="18"/>
                <w:szCs w:val="18"/>
              </w:rPr>
              <w:t>Unicode</w:t>
            </w:r>
            <w:proofErr w:type="spellEnd"/>
            <w:r>
              <w:rPr>
                <w:rFonts w:ascii="Verdana" w:hAnsi="Verdana" w:cs="Calibri"/>
                <w:sz w:val="18"/>
                <w:szCs w:val="18"/>
              </w:rPr>
              <w:t>.</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umożliwia definiowanie w przestrzeni danych (plików) dla danych użytkownika obszarów o innym niż domyślny rozmiarze bloku.</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Pr>
                <w:rFonts w:ascii="Verdana" w:hAnsi="Verdana" w:cs="Calibri"/>
                <w:sz w:val="18"/>
                <w:szCs w:val="18"/>
              </w:rPr>
              <w:t>backup'ów</w:t>
            </w:r>
            <w:proofErr w:type="spellEnd"/>
            <w:r>
              <w:rPr>
                <w:rFonts w:ascii="Verdana" w:hAnsi="Verdana" w:cs="Calibri"/>
                <w:sz w:val="18"/>
                <w:szCs w:val="18"/>
              </w:rPr>
              <w:t>. Wykonywanie kopii bezpieczeństwa musi być możliwe w trybie offline oraz w trybie online(hot backup).</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trPr>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pPr>
              <w:numPr>
                <w:ilvl w:val="0"/>
                <w:numId w:val="18"/>
              </w:numPr>
              <w:snapToGrid w:val="0"/>
              <w:spacing w:after="0" w:line="276" w:lineRule="auto"/>
              <w:ind w:right="0"/>
              <w:jc w:val="center"/>
              <w:textAlignment w:val="baseline"/>
              <w:rPr>
                <w:rFonts w:ascii="Verdana" w:hAnsi="Verdana" w:cs="Calibri"/>
                <w:b w:val="0"/>
                <w:bCs w:val="0"/>
                <w:sz w:val="18"/>
                <w:szCs w:val="18"/>
              </w:rPr>
            </w:pPr>
          </w:p>
        </w:tc>
        <w:tc>
          <w:tcPr>
            <w:tcW w:w="4494" w:type="pct"/>
          </w:tcPr>
          <w:p>
            <w:pPr>
              <w:widowControl w:val="0"/>
              <w:overflowPunct w:val="0"/>
              <w:autoSpaceDE w:val="0"/>
              <w:snapToGrid w:val="0"/>
              <w:spacing w:before="20" w:after="20" w:line="276" w:lineRule="auto"/>
              <w:ind w:left="113" w:right="5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RDBMS musi mieć możliwość rozbudowy do wersji wspierającej możliwość synchronicznej replikacji danych w dwóch niezależnych centrach danych.</w:t>
            </w:r>
          </w:p>
        </w:tc>
      </w:tr>
      <w:bookmarkEnd w:id="13"/>
    </w:tbl>
    <w:p>
      <w:pPr>
        <w:spacing w:line="276" w:lineRule="auto"/>
        <w:rPr>
          <w:rFonts w:ascii="Verdana" w:hAnsi="Verdana"/>
          <w:sz w:val="18"/>
          <w:szCs w:val="18"/>
        </w:rPr>
      </w:pPr>
    </w:p>
    <w:tbl>
      <w:tblPr>
        <w:tblStyle w:val="Tabelasiatki4akcent11"/>
        <w:tblW w:w="5003" w:type="pct"/>
        <w:tblLook w:val="04A0" w:firstRow="1" w:lastRow="0" w:firstColumn="1" w:lastColumn="0" w:noHBand="0" w:noVBand="1"/>
      </w:tblPr>
      <w:tblGrid>
        <w:gridCol w:w="840"/>
        <w:gridCol w:w="845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pPr>
              <w:suppressAutoHyphens/>
              <w:spacing w:line="276" w:lineRule="auto"/>
              <w:jc w:val="left"/>
              <w:rPr>
                <w:rFonts w:ascii="Verdana" w:eastAsia="Calibri" w:hAnsi="Verdana" w:cs="Calibri"/>
                <w:b w:val="0"/>
                <w:bCs w:val="0"/>
                <w:color w:val="auto"/>
                <w:sz w:val="18"/>
                <w:szCs w:val="18"/>
                <w:lang w:eastAsia="ar-SA"/>
              </w:rPr>
            </w:pPr>
            <w:r>
              <w:rPr>
                <w:rFonts w:ascii="Verdana" w:eastAsia="Calibri" w:hAnsi="Verdana" w:cs="Calibri"/>
                <w:color w:val="auto"/>
                <w:sz w:val="18"/>
                <w:szCs w:val="18"/>
                <w:lang w:eastAsia="ar-SA"/>
              </w:rPr>
              <w:t xml:space="preserve">PULPIT LEKARSKI </w:t>
            </w:r>
            <w:r>
              <w:rPr>
                <w:rFonts w:ascii="Verdana" w:hAnsi="Verdana"/>
                <w:bCs w:val="0"/>
                <w:color w:val="000000" w:themeColor="text1"/>
                <w:sz w:val="18"/>
                <w:szCs w:val="18"/>
              </w:rPr>
              <w:t>– WYMAGANIA MINIMALNE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Pulpit musi umożliwiać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Aplikacja musi posiadać menu górne, które zawiera, co najmniej następujące pozycje:</w:t>
            </w:r>
          </w:p>
          <w:p>
            <w:pPr>
              <w:numPr>
                <w:ilvl w:val="1"/>
                <w:numId w:val="24"/>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pacjenci,</w:t>
            </w:r>
          </w:p>
          <w:p>
            <w:pPr>
              <w:numPr>
                <w:ilvl w:val="1"/>
                <w:numId w:val="24"/>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lista konsultacji (wraz z szybką informacją w postaci cyfrowej informującej o liczbie konsultacji czekających na obsłużenie),</w:t>
            </w:r>
          </w:p>
          <w:p>
            <w:pPr>
              <w:numPr>
                <w:ilvl w:val="1"/>
                <w:numId w:val="24"/>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lista dokumentów EDM (wraz z szybką informacją w postaci cyfrowej informującej o liczbie dokumentów oczekających na podpisanie).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Pozycje w menu górnym muszą reprezentować podstawowe konteksty pracy lekarza:</w:t>
            </w:r>
          </w:p>
          <w:p>
            <w:pPr>
              <w:numPr>
                <w:ilvl w:val="0"/>
                <w:numId w:val="25"/>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Pacjenci - podczas pracy z pacjentami lekarz może oglądać i ewidencjonować dokumentację medyczną pacjenta,</w:t>
            </w:r>
          </w:p>
          <w:p>
            <w:pPr>
              <w:numPr>
                <w:ilvl w:val="0"/>
                <w:numId w:val="25"/>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Konsultacje - lekarz ma podgląd dokumentacji w celu wykonania konsultacji lekarskiej,</w:t>
            </w:r>
          </w:p>
          <w:p>
            <w:pPr>
              <w:numPr>
                <w:ilvl w:val="0"/>
                <w:numId w:val="25"/>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Dokumenty EDM - lekarz ma podgląd powstającej elektronicznej dokumentacji medycznej.</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 wyborze z menu górnego odpowiedniego kontekstu, aplikacja musi prezentować listę danych w ramach kontekstu z możliwością przełączania między trybami: pełna lista (prezentowana na całej szerokości ekranu), skrócona lista z obszarem roboczym (lista prezentowana jest tylko z lewej strony ekranu), tylko obszar roboczy.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Obszary robocze muszą prezentować dane zorganizowane w dziedzinowe bloki danych.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 obszarów roboczych możliwe jest przejście do ekranów szczegółowych umożliwiających podgląd i ewidencję danych dziedzinowych.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color w:val="FF0000"/>
                <w:sz w:val="18"/>
                <w:szCs w:val="18"/>
              </w:rPr>
            </w:pPr>
            <w:r>
              <w:rPr>
                <w:rFonts w:ascii="Verdana" w:hAnsi="Verdana" w:cs="Calibri"/>
                <w:sz w:val="18"/>
                <w:szCs w:val="18"/>
              </w:rPr>
              <w:t xml:space="preserve">Pulpit musi wykorzystywać tzw. pływający przycisk (ang. </w:t>
            </w:r>
            <w:proofErr w:type="spellStart"/>
            <w:r>
              <w:rPr>
                <w:rFonts w:ascii="Verdana" w:hAnsi="Verdana" w:cs="Calibri"/>
                <w:sz w:val="18"/>
                <w:szCs w:val="18"/>
              </w:rPr>
              <w:t>floating</w:t>
            </w:r>
            <w:proofErr w:type="spellEnd"/>
            <w:r>
              <w:rPr>
                <w:rFonts w:ascii="Verdana" w:hAnsi="Verdana" w:cs="Calibri"/>
                <w:sz w:val="18"/>
                <w:szCs w:val="18"/>
              </w:rPr>
              <w:t xml:space="preserve"> </w:t>
            </w:r>
            <w:proofErr w:type="spellStart"/>
            <w:r>
              <w:rPr>
                <w:rFonts w:ascii="Verdana" w:hAnsi="Verdana" w:cs="Calibri"/>
                <w:sz w:val="18"/>
                <w:szCs w:val="18"/>
              </w:rPr>
              <w:t>button</w:t>
            </w:r>
            <w:proofErr w:type="spellEnd"/>
            <w:r>
              <w:rPr>
                <w:rFonts w:ascii="Verdana" w:hAnsi="Verdana" w:cs="Calibri"/>
                <w:sz w:val="18"/>
                <w:szCs w:val="18"/>
              </w:rPr>
              <w:t>). Przycisk ten zapewnia szybki dostęp do akcji w systemie. Razem z menu górnym umożliwia szybką i łatwą nawigację pomiędzy podstawowymi kontekstami pracy lekarza oraz ewidencją danych dziedzinowych w ekranach szczegółowych.</w:t>
            </w:r>
          </w:p>
        </w:tc>
      </w:tr>
      <w:tr>
        <w:tc>
          <w:tcPr>
            <w:cnfStyle w:val="001000000000" w:firstRow="0" w:lastRow="0" w:firstColumn="1" w:lastColumn="0" w:oddVBand="0" w:evenVBand="0" w:oddHBand="0" w:evenHBand="0" w:firstRowFirstColumn="0" w:firstRowLastColumn="0" w:lastRowFirstColumn="0" w:lastRowLastColumn="0"/>
            <w:tcW w:w="5000" w:type="pct"/>
            <w:gridSpan w:val="2"/>
            <w:hideMark/>
          </w:tcPr>
          <w:p>
            <w:pPr>
              <w:spacing w:line="276" w:lineRule="auto"/>
              <w:ind w:right="57"/>
              <w:jc w:val="center"/>
              <w:rPr>
                <w:rFonts w:ascii="Verdana" w:hAnsi="Verdana" w:cs="Calibri"/>
                <w:b w:val="0"/>
                <w:bCs w:val="0"/>
                <w:sz w:val="18"/>
                <w:szCs w:val="18"/>
              </w:rPr>
            </w:pPr>
            <w:r>
              <w:rPr>
                <w:rFonts w:ascii="Verdana" w:hAnsi="Verdana" w:cs="Calibri"/>
                <w:b w:val="0"/>
                <w:bCs w:val="0"/>
                <w:sz w:val="18"/>
                <w:szCs w:val="18"/>
              </w:rPr>
              <w:t>Opis wymagań dotyczących kontekstu pacjentów</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Po wyborze z menu górnego pozycji pacjenci, aplikacja musi prezentować wykaz </w:t>
            </w:r>
            <w:r>
              <w:rPr>
                <w:rFonts w:ascii="Verdana" w:hAnsi="Verdana" w:cs="Calibri"/>
                <w:sz w:val="18"/>
                <w:szCs w:val="18"/>
              </w:rPr>
              <w:lastRenderedPageBreak/>
              <w:t>pacjentów na oddziale z możliwością przełączania między trybami: pełna listy pacjentów (prezentowana na całej szerokości ekranu), skrócona listy pacjentów (prezentowana jest tylko z lewej strony ekranu).</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Aplikacja musi zapewniać pełny widok listy pacjentów, prezentuje dane w zakresie co najmniej:</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nr księgi głównej,</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nr księgi oddziałowej,</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nazwisko,</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imię,</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PESEL,</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data przyjęcia,</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lekarz prowadzący,</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oddział,</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łóżko,</w:t>
            </w:r>
          </w:p>
          <w:p>
            <w:pPr>
              <w:numPr>
                <w:ilvl w:val="0"/>
                <w:numId w:val="2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sala.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Aplikacja musi prezentować skrócony widok listy pacjentów prezentuje dane w zakresie co najmniej:</w:t>
            </w:r>
          </w:p>
          <w:p>
            <w:pPr>
              <w:numPr>
                <w:ilvl w:val="0"/>
                <w:numId w:val="27"/>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imię,</w:t>
            </w:r>
          </w:p>
          <w:p>
            <w:pPr>
              <w:numPr>
                <w:ilvl w:val="0"/>
                <w:numId w:val="27"/>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nazwisko.</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Moduł musi umożliwiać wyszukiwanie pacjentów na listach pacjentów minimum według następujących filtrów: </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imię, </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nazwisko, </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PESEL,</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nr księgi głównej, </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nr księgi oddziałowej, </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lekarz prowadzący,</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data przyjęcia na oddział (zakres od-do),</w:t>
            </w:r>
          </w:p>
          <w:p>
            <w:pPr>
              <w:numPr>
                <w:ilvl w:val="0"/>
                <w:numId w:val="2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data urodzenia pacjenta (zakres od-do).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posiadać możliwość sortowania pacjentów na liście minimum według następujących kryteriów:</w:t>
            </w:r>
          </w:p>
          <w:p>
            <w:pPr>
              <w:numPr>
                <w:ilvl w:val="0"/>
                <w:numId w:val="29"/>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nr księgi oddziałowej,</w:t>
            </w:r>
          </w:p>
          <w:p>
            <w:pPr>
              <w:numPr>
                <w:ilvl w:val="0"/>
                <w:numId w:val="29"/>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nr księgi głównej,</w:t>
            </w:r>
          </w:p>
          <w:p>
            <w:pPr>
              <w:numPr>
                <w:ilvl w:val="0"/>
                <w:numId w:val="29"/>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nazwisko,</w:t>
            </w:r>
          </w:p>
          <w:p>
            <w:pPr>
              <w:numPr>
                <w:ilvl w:val="0"/>
                <w:numId w:val="29"/>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imię,</w:t>
            </w:r>
          </w:p>
          <w:p>
            <w:pPr>
              <w:numPr>
                <w:ilvl w:val="0"/>
                <w:numId w:val="29"/>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data przyjęcia.</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grupowanie pacjentów na liście minimum według następujących kryteriów:</w:t>
            </w:r>
          </w:p>
          <w:p>
            <w:pPr>
              <w:numPr>
                <w:ilvl w:val="1"/>
                <w:numId w:val="30"/>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według sali,</w:t>
            </w:r>
          </w:p>
          <w:p>
            <w:pPr>
              <w:numPr>
                <w:ilvl w:val="1"/>
                <w:numId w:val="30"/>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według lekarza prowadzącego,</w:t>
            </w:r>
          </w:p>
          <w:p>
            <w:pPr>
              <w:numPr>
                <w:ilvl w:val="1"/>
                <w:numId w:val="30"/>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według daty przyjęcia.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Skrócona lista pacjentów musi być ukrywana i ujawniana za pomocą jednego kliknięcia myszką.</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 wyborze pacjenta na liście pacjentów system musi prezentować dane i dokumentację medyczną wytypowanego pacjenta w formie obszaru roboczego, tj. panelu prezentującego zbiorczo wiele zakładek i bloków zawierających dane i dokumentację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przypadku zmiany pacjenta na skróconej liście pacjentów system musi automatycznie zaktualizować dane prezentowane w obszarze roboczym i zaprezentować je w kontekście wybranego pacjenta.</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Dane w obszarze roboczym muszą być prezentowane w oparciu o dane źródłowe pochodzące z HIS, w zależności od wdrożonych zakresów funkcjonalnych HIS. Przy założeniu, że dany zakres funkcjonalny HIS stanowi przedmiot projektu system umożliwia odpowiednio:</w:t>
            </w:r>
          </w:p>
          <w:p>
            <w:pPr>
              <w:numPr>
                <w:ilvl w:val="1"/>
                <w:numId w:val="3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lastRenderedPageBreak/>
              <w:t>podgląd zużytych leków i materiałów (Apteczka),</w:t>
            </w:r>
          </w:p>
          <w:p>
            <w:pPr>
              <w:numPr>
                <w:ilvl w:val="1"/>
                <w:numId w:val="3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udostępnianie danych zleconych badań diagnostycznych i ich wyników (Pracownia Diagnostyczna),</w:t>
            </w:r>
          </w:p>
          <w:p>
            <w:pPr>
              <w:numPr>
                <w:ilvl w:val="1"/>
                <w:numId w:val="3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udostępnianie danych zleconych badań laboratoryjnych i ich wyników (Laboratorium),</w:t>
            </w:r>
          </w:p>
          <w:p>
            <w:pPr>
              <w:numPr>
                <w:ilvl w:val="1"/>
                <w:numId w:val="3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udostępnianie danych zleconych badań histopatologicznych i danych o ich wykonaniu (Histopatologia),</w:t>
            </w:r>
          </w:p>
          <w:p>
            <w:pPr>
              <w:numPr>
                <w:ilvl w:val="1"/>
                <w:numId w:val="3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podgląd danych uzupełnianych przez pielęgniarki (Dokumentacja medyczna pielęgniarska),</w:t>
            </w:r>
          </w:p>
          <w:p>
            <w:pPr>
              <w:numPr>
                <w:ilvl w:val="1"/>
                <w:numId w:val="3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dostęp do danych dotyczących zabiegów operacyjnych (Blok operacyjny).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pPr>
              <w:spacing w:line="276" w:lineRule="auto"/>
              <w:ind w:left="57" w:right="57"/>
              <w:jc w:val="center"/>
              <w:rPr>
                <w:rFonts w:ascii="Verdana" w:hAnsi="Verdana" w:cs="Calibri"/>
                <w:b w:val="0"/>
                <w:bCs w:val="0"/>
                <w:sz w:val="18"/>
                <w:szCs w:val="18"/>
              </w:rPr>
            </w:pPr>
            <w:r>
              <w:rPr>
                <w:rFonts w:ascii="Verdana" w:hAnsi="Verdana" w:cs="Calibri"/>
                <w:b w:val="0"/>
                <w:bCs w:val="0"/>
                <w:sz w:val="18"/>
                <w:szCs w:val="18"/>
              </w:rPr>
              <w:lastRenderedPageBreak/>
              <w:t>Opis wymagań dotyczących obszaru roboczego</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obszarze roboczym system musi umożliwiać prezentację danych pogrupowanych w zakładkach.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Liczba i nazwy zakładek muszą być konfigurowane przez administratora dla każdego oddziału oddzielnie w oparciu o dostępne w systemie dziedzinowe bloki danych.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mieć możliwość dowolnego konfigurowania obszaru roboczego poprzez utworzenie własnego układu zakładek i dziedzinowych bloków danych.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mieć możliwość wyboru między układem domyślnym stworzonym przez administratora, a układem stworzonym przez siebie.</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 każdej zakładce można umieścić wiele dziedzinowych bloków danych, prezentujących merytorycznie powiązaną treść minimum w zakresach:</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karta pacjenta,</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wywiad,</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badanie przedmiotowe,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diagnostyczne,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diagnostycznych,</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laboratoryjne,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laboratoryjnych,</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histopatologiczne,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histopatologicznych,</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obserwacje lekarskie,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konsultacje lekarskie,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zabiegi operacyjne,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rozpoznania,</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zrealizowane procedury medyczne,</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wypis,</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szczegóły pobytu,</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zużyte środki,</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lista dostępnych raportów,</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lista dostępnych dodatkowych formularzy w systemie HIS,</w:t>
            </w:r>
          </w:p>
          <w:p>
            <w:pPr>
              <w:numPr>
                <w:ilvl w:val="1"/>
                <w:numId w:val="32"/>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lista dostępnych  do wglądu zakresów informacji w dokumentacji pielęgniarskiej.</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Każdy z bloków danych musi być wykorzystywany w minimum 2 różnych rozmiarach z dostępnych poniżej:</w:t>
            </w:r>
          </w:p>
          <w:p>
            <w:pPr>
              <w:numPr>
                <w:ilvl w:val="1"/>
                <w:numId w:val="33"/>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1/2 ekranu,</w:t>
            </w:r>
          </w:p>
          <w:p>
            <w:pPr>
              <w:numPr>
                <w:ilvl w:val="1"/>
                <w:numId w:val="33"/>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1/4 ekranu,</w:t>
            </w:r>
          </w:p>
          <w:p>
            <w:pPr>
              <w:numPr>
                <w:ilvl w:val="1"/>
                <w:numId w:val="33"/>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1/8 ekranu,</w:t>
            </w:r>
          </w:p>
          <w:p>
            <w:pPr>
              <w:numPr>
                <w:ilvl w:val="1"/>
                <w:numId w:val="33"/>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1/16 ekranu.</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Dane w każdym bloku muszą być ładowane niezależnie od pozostałych. Ładowanie danych w bloku nie blokuje pozostałych elementów systemu.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musi umożliwiać filtrowanie danych wyświetlanych w dziedzinowych blokach danych na podstawie zakresów:</w:t>
            </w:r>
          </w:p>
          <w:p>
            <w:pPr>
              <w:numPr>
                <w:ilvl w:val="1"/>
                <w:numId w:val="3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pobyt oddziałowy,</w:t>
            </w:r>
          </w:p>
          <w:p>
            <w:pPr>
              <w:numPr>
                <w:ilvl w:val="1"/>
                <w:numId w:val="3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hospitalizacja,</w:t>
            </w:r>
          </w:p>
          <w:p>
            <w:pPr>
              <w:numPr>
                <w:ilvl w:val="1"/>
                <w:numId w:val="3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dane </w:t>
            </w:r>
            <w:proofErr w:type="spellStart"/>
            <w:r>
              <w:rPr>
                <w:rFonts w:ascii="Verdana" w:hAnsi="Verdana" w:cs="Calibri"/>
                <w:sz w:val="18"/>
                <w:szCs w:val="18"/>
              </w:rPr>
              <w:t>przyjęciowe</w:t>
            </w:r>
            <w:proofErr w:type="spellEnd"/>
            <w:r>
              <w:rPr>
                <w:rFonts w:ascii="Verdana" w:hAnsi="Verdana" w:cs="Calibri"/>
                <w:sz w:val="18"/>
                <w:szCs w:val="18"/>
              </w:rPr>
              <w:t>,</w:t>
            </w:r>
          </w:p>
          <w:p>
            <w:pPr>
              <w:numPr>
                <w:ilvl w:val="1"/>
                <w:numId w:val="3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lastRenderedPageBreak/>
              <w:t>wszystkie dostępne dane pacjenta.</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musi umożliwiać filtrowanie danych na podstawie zakresów, w co najmniej poniższych dziedzinowych blokach danych:</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badanie przedmiotowe,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obserwacje lekarskie,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diagnostyczne,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diagnostycznych,</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laboratoryjne,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laboratoryjnych,</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histopatologiczne,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histopatologicznych,</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konsultacje lekarskie,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zabiegi operacyjne,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rozpoznania,</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zrealizowane procedury medyczne,</w:t>
            </w:r>
          </w:p>
          <w:p>
            <w:pPr>
              <w:numPr>
                <w:ilvl w:val="1"/>
                <w:numId w:val="35"/>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zużyte środki.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Szczególnym rodzajem bloku danych jest widok, który prezentuje historię leczenia danego pacjenta w pojedynczym oknie na osi czasu w układzie chronologicznym, w postaci rozwijanego drzewa wszystkich zdarzeń medycznych. </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Widok historii leczenia musi umożliwiać filtrowanie według wybranego przez użytkownika:</w:t>
            </w:r>
          </w:p>
          <w:p>
            <w:pPr>
              <w:numPr>
                <w:ilvl w:val="1"/>
                <w:numId w:val="36"/>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rodzaju zdarzeń medycznych (np. skierowania, wyniki, obserwacje),</w:t>
            </w:r>
          </w:p>
          <w:p>
            <w:pPr>
              <w:numPr>
                <w:ilvl w:val="1"/>
                <w:numId w:val="36"/>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czasu wystąpienia zdarzenia,</w:t>
            </w:r>
          </w:p>
          <w:p>
            <w:pPr>
              <w:numPr>
                <w:ilvl w:val="1"/>
                <w:numId w:val="36"/>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zakresu danych.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Wybór bloku dziedzinowego (lub zdarzenia medycznego z osi czasu) musi powodować wywołanie odpowiedniego widoku prezentującego dane szczegółowe poszczególnych obszarów merytorycznych.</w:t>
            </w:r>
          </w:p>
        </w:tc>
      </w:tr>
      <w:tr>
        <w:tc>
          <w:tcPr>
            <w:cnfStyle w:val="001000000000" w:firstRow="0" w:lastRow="0" w:firstColumn="1" w:lastColumn="0" w:oddVBand="0" w:evenVBand="0" w:oddHBand="0" w:evenHBand="0" w:firstRowFirstColumn="0" w:firstRowLastColumn="0" w:lastRowFirstColumn="0" w:lastRowLastColumn="0"/>
            <w:tcW w:w="5000" w:type="pct"/>
            <w:gridSpan w:val="2"/>
            <w:hideMark/>
          </w:tcPr>
          <w:p>
            <w:pPr>
              <w:spacing w:line="276" w:lineRule="auto"/>
              <w:ind w:left="57" w:right="57"/>
              <w:jc w:val="center"/>
              <w:rPr>
                <w:rFonts w:ascii="Verdana" w:hAnsi="Verdana" w:cs="Calibri"/>
                <w:b w:val="0"/>
                <w:bCs w:val="0"/>
                <w:sz w:val="18"/>
                <w:szCs w:val="18"/>
              </w:rPr>
            </w:pPr>
            <w:r>
              <w:rPr>
                <w:rFonts w:ascii="Verdana" w:hAnsi="Verdana" w:cs="Calibri"/>
                <w:b w:val="0"/>
                <w:bCs w:val="0"/>
                <w:sz w:val="18"/>
                <w:szCs w:val="18"/>
              </w:rPr>
              <w:t>Opis wymagań dotyczących ekranów szczegółowych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Ekrany szczegółowe muszą być uruchamiane z poziomu obszaru roboczego lub poprzez tzw. pływający przycisk (ang. </w:t>
            </w:r>
            <w:proofErr w:type="spellStart"/>
            <w:r>
              <w:rPr>
                <w:rFonts w:ascii="Verdana" w:hAnsi="Verdana" w:cs="Calibri"/>
                <w:sz w:val="18"/>
                <w:szCs w:val="18"/>
              </w:rPr>
              <w:t>floating</w:t>
            </w:r>
            <w:proofErr w:type="spellEnd"/>
            <w:r>
              <w:rPr>
                <w:rFonts w:ascii="Verdana" w:hAnsi="Verdana" w:cs="Calibri"/>
                <w:sz w:val="18"/>
                <w:szCs w:val="18"/>
              </w:rPr>
              <w:t xml:space="preserve"> </w:t>
            </w:r>
            <w:proofErr w:type="spellStart"/>
            <w:r>
              <w:rPr>
                <w:rFonts w:ascii="Verdana" w:hAnsi="Verdana" w:cs="Calibri"/>
                <w:sz w:val="18"/>
                <w:szCs w:val="18"/>
              </w:rPr>
              <w:t>button</w:t>
            </w:r>
            <w:proofErr w:type="spellEnd"/>
            <w:r>
              <w:rPr>
                <w:rFonts w:ascii="Verdana" w:hAnsi="Verdana" w:cs="Calibri"/>
                <w:sz w:val="18"/>
                <w:szCs w:val="18"/>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 musi umożliwiać ewidencję danych co najmniej w ekranach szczegółowych:</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wywiad,</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badania przedmiotowe,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diagnostyczne,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laboratoryjne,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histopatologiczne,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obserwacje lekarskie,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konsultacje lekarskie,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zabiegi operacyjne,</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rozpoznania,</w:t>
            </w:r>
          </w:p>
          <w:p>
            <w:pPr>
              <w:numPr>
                <w:ilvl w:val="1"/>
                <w:numId w:val="37"/>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wypis.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ekranach szczegółowych aplikacja musi umożliwiać podzielenie ekranu w celu jednoczesnego wprowadzania danych i wyświetlaniem danych z innej dziedziny (w zakresach dostępnych ekranów szczegółowych). Przykładowym oczekiwanym efektem są np.:</w:t>
            </w:r>
          </w:p>
          <w:p>
            <w:pPr>
              <w:numPr>
                <w:ilvl w:val="0"/>
                <w:numId w:val="38"/>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umożliwia jednoczesne wprowadzanie danych dotyczących zlecenia medycznego i wyświetlanie poprzednich wyników pacjenta,</w:t>
            </w:r>
          </w:p>
          <w:p>
            <w:pPr>
              <w:numPr>
                <w:ilvl w:val="0"/>
                <w:numId w:val="38"/>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umożliwia jednoczesne wprowadzenie danych dotyczących konsultacji i wyświetlanie danych dotyczących wywiadu.</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Moduł musi dysponować dodatkowym menu bocznym, umożliwiającym szybkie przełączanie pomiędzy ekranami szczegółowymi, bez konieczności powrotu do obszaru roboczego. Ekrany szczegółowe prezentują dane minimum w poniższych zakresach, </w:t>
            </w:r>
            <w:r>
              <w:rPr>
                <w:rFonts w:ascii="Verdana" w:hAnsi="Verdana" w:cs="Calibri"/>
                <w:sz w:val="18"/>
                <w:szCs w:val="18"/>
              </w:rPr>
              <w:lastRenderedPageBreak/>
              <w:t>w przypadku, gdy dane istnieją w HIS:</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karta pacjenta,</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wywiad,</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badanie przedmiotowe,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obserwacje lekarskie,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historia pobytów pacjenta,</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diagnostyczne,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diagnostycznych,</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laboratoryjne,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laboratoryjnych,</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skierowania na badania histopatologiczne,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wyniki badań histopatologicznych,</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konsultacje lekarskie,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zabiegi operacyjne,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rozpoznania,</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zrealizowane procedury medyczne,</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zużyte środki,</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wypis,</w:t>
            </w:r>
          </w:p>
          <w:p>
            <w:pPr>
              <w:numPr>
                <w:ilvl w:val="1"/>
                <w:numId w:val="39"/>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dieta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pPr>
              <w:spacing w:line="276" w:lineRule="auto"/>
              <w:ind w:left="57" w:right="57"/>
              <w:jc w:val="center"/>
              <w:rPr>
                <w:rFonts w:ascii="Verdana" w:hAnsi="Verdana" w:cs="Calibri"/>
                <w:b w:val="0"/>
                <w:bCs w:val="0"/>
                <w:sz w:val="18"/>
                <w:szCs w:val="18"/>
              </w:rPr>
            </w:pPr>
            <w:r>
              <w:rPr>
                <w:rFonts w:ascii="Verdana" w:hAnsi="Verdana" w:cs="Calibri"/>
                <w:b w:val="0"/>
                <w:bCs w:val="0"/>
                <w:sz w:val="18"/>
                <w:szCs w:val="18"/>
              </w:rPr>
              <w:lastRenderedPageBreak/>
              <w:t>Opis wymagań dotyczących pływającego przycisku</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Użytkownik musi mieć możliwość z każdego miejsca pracy w systemie łatwego przejścia do akcji dostępnych w systemie poprzez kliknięcie pływającego przycisku (ang. </w:t>
            </w:r>
            <w:proofErr w:type="spellStart"/>
            <w:r>
              <w:rPr>
                <w:rFonts w:ascii="Verdana" w:hAnsi="Verdana" w:cs="Calibri"/>
                <w:sz w:val="18"/>
                <w:szCs w:val="18"/>
              </w:rPr>
              <w:t>floating</w:t>
            </w:r>
            <w:proofErr w:type="spellEnd"/>
            <w:r>
              <w:rPr>
                <w:rFonts w:ascii="Verdana" w:hAnsi="Verdana" w:cs="Calibri"/>
                <w:sz w:val="18"/>
                <w:szCs w:val="18"/>
              </w:rPr>
              <w:t xml:space="preserve"> </w:t>
            </w:r>
            <w:proofErr w:type="spellStart"/>
            <w:r>
              <w:rPr>
                <w:rFonts w:ascii="Verdana" w:hAnsi="Verdana" w:cs="Calibri"/>
                <w:sz w:val="18"/>
                <w:szCs w:val="18"/>
              </w:rPr>
              <w:t>button</w:t>
            </w:r>
            <w:proofErr w:type="spellEnd"/>
            <w:r>
              <w:rPr>
                <w:rFonts w:ascii="Verdana" w:hAnsi="Verdana" w:cs="Calibri"/>
                <w:sz w:val="18"/>
                <w:szCs w:val="18"/>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Na dostępne akcje muszą składać się:</w:t>
            </w:r>
          </w:p>
          <w:p>
            <w:pPr>
              <w:numPr>
                <w:ilvl w:val="1"/>
                <w:numId w:val="40"/>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przejścia do ekranów szczegółowych, (co najmniej do karty pacjenta, wywiadu i wypisu),</w:t>
            </w:r>
          </w:p>
          <w:p>
            <w:pPr>
              <w:numPr>
                <w:ilvl w:val="1"/>
                <w:numId w:val="40"/>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polecenia ewidencji nowych danych (co najmniej skierowania na badania diagnostyczne / laboratoryjne / histopatologiczne, obserwacje lekarskie, konsultacje lekarskie, zabiegi operacyjne, badania przedmiotowe, rozpoznania),</w:t>
            </w:r>
          </w:p>
          <w:p>
            <w:pPr>
              <w:numPr>
                <w:ilvl w:val="1"/>
                <w:numId w:val="40"/>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dodatkowe akcje skojarzone z odpowiednimi dziedzinowymi blokami (co najmniej w zakresie uzupełniania badań przedmiotowych).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Dostępne akcje wyświetlane po kliknięciu pływającego przycisku muszą być podzielone na trzy zbiory:</w:t>
            </w:r>
          </w:p>
          <w:p>
            <w:pPr>
              <w:numPr>
                <w:ilvl w:val="1"/>
                <w:numId w:val="4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wszystkie dostępne akcje,</w:t>
            </w:r>
          </w:p>
          <w:p>
            <w:pPr>
              <w:numPr>
                <w:ilvl w:val="1"/>
                <w:numId w:val="4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najczęściej wykorzystywane przez użytkownika akcje,</w:t>
            </w:r>
          </w:p>
          <w:p>
            <w:pPr>
              <w:numPr>
                <w:ilvl w:val="1"/>
                <w:numId w:val="41"/>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akcje powiązane z bieżącym ekranem.</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W ramach listy najczęściej używanych akcji, wyświetlanej poprzez kliknięcie na pływający przycisk, użytkownik musi mieć możliwość wyszukania interesującej go akcji po jej nazwie.</w:t>
            </w:r>
          </w:p>
        </w:tc>
      </w:tr>
      <w:tr>
        <w:tc>
          <w:tcPr>
            <w:cnfStyle w:val="001000000000" w:firstRow="0" w:lastRow="0" w:firstColumn="1" w:lastColumn="0" w:oddVBand="0" w:evenVBand="0" w:oddHBand="0" w:evenHBand="0" w:firstRowFirstColumn="0" w:firstRowLastColumn="0" w:lastRowFirstColumn="0" w:lastRowLastColumn="0"/>
            <w:tcW w:w="5000" w:type="pct"/>
            <w:gridSpan w:val="2"/>
            <w:hideMark/>
          </w:tcPr>
          <w:p>
            <w:pPr>
              <w:spacing w:line="276" w:lineRule="auto"/>
              <w:ind w:left="57" w:right="57"/>
              <w:jc w:val="center"/>
              <w:rPr>
                <w:rFonts w:ascii="Verdana" w:hAnsi="Verdana" w:cs="Calibri"/>
                <w:b w:val="0"/>
                <w:bCs w:val="0"/>
                <w:sz w:val="18"/>
                <w:szCs w:val="18"/>
              </w:rPr>
            </w:pPr>
            <w:r>
              <w:rPr>
                <w:rFonts w:ascii="Verdana" w:hAnsi="Verdana" w:cs="Calibri"/>
                <w:b w:val="0"/>
                <w:bCs w:val="0"/>
                <w:sz w:val="18"/>
                <w:szCs w:val="18"/>
              </w:rPr>
              <w:t>Opis wymagań dotyczących komunikatora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mieć dostęp do powiadomień generowanych przez wewnętrzny system komunikacji.</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Obsługa powiadomień nie może blokować bieżącej pracy użytkownika za wyjątkiem powiadomień wymuszających taką blokadę.</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musi informować użytkownika o liczbie nieprzeczytanych powiadomień.</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Z poziomu pulpitu lekarskiego system musi umożliwiać obsługę powiadomień:</w:t>
            </w:r>
          </w:p>
          <w:p>
            <w:pPr>
              <w:numPr>
                <w:ilvl w:val="0"/>
                <w:numId w:val="42"/>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systemowych (np. informacja o pojawieniu się wyniku do zleconego badania, informacja o konieczności udzielenia konsultacji),</w:t>
            </w:r>
          </w:p>
          <w:p>
            <w:pPr>
              <w:numPr>
                <w:ilvl w:val="0"/>
                <w:numId w:val="42"/>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przysłanych przez administratora (np. informacja o aktualizacji sytemu HIS),</w:t>
            </w:r>
          </w:p>
          <w:p>
            <w:pPr>
              <w:numPr>
                <w:ilvl w:val="0"/>
                <w:numId w:val="42"/>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przysłanych przez innych użytkowników (np. w postaci wewnętrznego komunikatora).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pPr>
              <w:spacing w:line="276" w:lineRule="auto"/>
              <w:ind w:left="57" w:right="57"/>
              <w:jc w:val="center"/>
              <w:rPr>
                <w:rFonts w:ascii="Verdana" w:hAnsi="Verdana" w:cs="Calibri"/>
                <w:b w:val="0"/>
                <w:bCs w:val="0"/>
                <w:sz w:val="18"/>
                <w:szCs w:val="18"/>
              </w:rPr>
            </w:pPr>
            <w:r>
              <w:rPr>
                <w:rFonts w:ascii="Verdana" w:hAnsi="Verdana" w:cs="Calibri"/>
                <w:b w:val="0"/>
                <w:bCs w:val="0"/>
                <w:sz w:val="18"/>
                <w:szCs w:val="18"/>
              </w:rPr>
              <w:t>Opis wymagań dotyczących kontekstu dokumentów</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Po wyborze z menu górnego pozycji Dokumenty EDM, aplikacja musi prezentować wykaz </w:t>
            </w:r>
            <w:r>
              <w:rPr>
                <w:rFonts w:ascii="Verdana" w:hAnsi="Verdana" w:cs="Calibri"/>
                <w:sz w:val="18"/>
                <w:szCs w:val="18"/>
              </w:rPr>
              <w:lastRenderedPageBreak/>
              <w:t>dokumentów EDM z możliwością przełączania między trybami: pełna lista dokumentów (prezentowana na całej szerokości ekranu), skrócona lista dokumentów (prezentowana jest tylko z lewej strony ekranu).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wyszukiwanie dokumentów EDM po nazwie.</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ograniczania listy dokumentów według zakresów: </w:t>
            </w:r>
          </w:p>
          <w:p>
            <w:pPr>
              <w:numPr>
                <w:ilvl w:val="1"/>
                <w:numId w:val="43"/>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wszystkie dokumenty użytkownika w oddziale,</w:t>
            </w:r>
          </w:p>
          <w:p>
            <w:pPr>
              <w:numPr>
                <w:ilvl w:val="1"/>
                <w:numId w:val="43"/>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wszystkie dokumenty w oddziale,</w:t>
            </w:r>
          </w:p>
          <w:p>
            <w:pPr>
              <w:numPr>
                <w:ilvl w:val="1"/>
                <w:numId w:val="43"/>
              </w:numPr>
              <w:suppressAutoHyphens/>
              <w:spacing w:after="0" w:line="276" w:lineRule="auto"/>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wszystkie dokumenty użytkownika.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filtrowanie dokumentów. Dostępne filtry:</w:t>
            </w:r>
          </w:p>
          <w:p>
            <w:pPr>
              <w:numPr>
                <w:ilvl w:val="1"/>
                <w:numId w:val="4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podpisany,</w:t>
            </w:r>
          </w:p>
          <w:p>
            <w:pPr>
              <w:numPr>
                <w:ilvl w:val="1"/>
                <w:numId w:val="4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do podpisu,</w:t>
            </w:r>
          </w:p>
          <w:p>
            <w:pPr>
              <w:numPr>
                <w:ilvl w:val="1"/>
                <w:numId w:val="4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bez podpisu,</w:t>
            </w:r>
          </w:p>
          <w:p>
            <w:pPr>
              <w:numPr>
                <w:ilvl w:val="1"/>
                <w:numId w:val="44"/>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aktualne.</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Dla każdego dokumentu EDM moduł musi prezentować:</w:t>
            </w:r>
          </w:p>
          <w:p>
            <w:pPr>
              <w:numPr>
                <w:ilvl w:val="0"/>
                <w:numId w:val="45"/>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dane o autorze dokumentu,</w:t>
            </w:r>
          </w:p>
          <w:p>
            <w:pPr>
              <w:numPr>
                <w:ilvl w:val="0"/>
                <w:numId w:val="45"/>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czy dokument jest podpisany,</w:t>
            </w:r>
          </w:p>
          <w:p>
            <w:pPr>
              <w:numPr>
                <w:ilvl w:val="0"/>
                <w:numId w:val="45"/>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dane pracownika, który podpisał dokument,</w:t>
            </w:r>
          </w:p>
          <w:p>
            <w:pPr>
              <w:numPr>
                <w:ilvl w:val="0"/>
                <w:numId w:val="45"/>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cel podpisu,</w:t>
            </w:r>
          </w:p>
          <w:p>
            <w:pPr>
              <w:numPr>
                <w:ilvl w:val="0"/>
                <w:numId w:val="45"/>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datę podpisu,</w:t>
            </w:r>
          </w:p>
          <w:p>
            <w:pPr>
              <w:numPr>
                <w:ilvl w:val="0"/>
                <w:numId w:val="45"/>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podgląd dokumentu.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Aplikacja musi umożliwiać wydruk dokumentu EDM.</w:t>
            </w:r>
          </w:p>
        </w:tc>
      </w:tr>
      <w:tr>
        <w:tc>
          <w:tcPr>
            <w:cnfStyle w:val="001000000000" w:firstRow="0" w:lastRow="0" w:firstColumn="1" w:lastColumn="0" w:oddVBand="0" w:evenVBand="0" w:oddHBand="0" w:evenHBand="0" w:firstRowFirstColumn="0" w:firstRowLastColumn="0" w:lastRowFirstColumn="0" w:lastRowLastColumn="0"/>
            <w:tcW w:w="5000" w:type="pct"/>
            <w:gridSpan w:val="2"/>
            <w:hideMark/>
          </w:tcPr>
          <w:p>
            <w:pPr>
              <w:spacing w:line="276" w:lineRule="auto"/>
              <w:ind w:left="57" w:right="57"/>
              <w:jc w:val="center"/>
              <w:rPr>
                <w:rFonts w:ascii="Verdana" w:hAnsi="Verdana" w:cs="Calibri"/>
                <w:b w:val="0"/>
                <w:bCs w:val="0"/>
                <w:sz w:val="18"/>
                <w:szCs w:val="18"/>
              </w:rPr>
            </w:pPr>
            <w:r>
              <w:rPr>
                <w:rFonts w:ascii="Verdana" w:hAnsi="Verdana" w:cs="Calibri"/>
                <w:b w:val="0"/>
                <w:bCs w:val="0"/>
                <w:sz w:val="18"/>
                <w:szCs w:val="18"/>
              </w:rPr>
              <w:t>Opis rozbudowanych wymagań dotyczących ekranów szczegółowych w zintegrowanym pulpicie lekarskim</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hideMark/>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Karta pacjenta i szczegóły pobytu</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podgląd karty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podgląd danych dotyczących pobytu pacjenta na oddziale.</w:t>
            </w:r>
          </w:p>
        </w:tc>
      </w:tr>
      <w:t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Obserwacje lekarskie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Użytkownik musi posiadać możliwość przeglądania obserwacji lekarskich wybranego pacjenta. </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 ramach przeglądania obserwacji możliwe jest wykorzystanie z predefiniowanych filtrów:</w:t>
            </w:r>
          </w:p>
          <w:p>
            <w:pPr>
              <w:numPr>
                <w:ilvl w:val="0"/>
                <w:numId w:val="4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pokaż wpisy z bieżącego pobytu oddziałowego,</w:t>
            </w:r>
          </w:p>
          <w:p>
            <w:pPr>
              <w:numPr>
                <w:ilvl w:val="0"/>
                <w:numId w:val="46"/>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pokaż wpisy z bieżącej hospitalizacji.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System musi umożliwiać wprowadzenie informacji o obserwacjach lekarskich.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wykorzystania klasyfikacji i szablonów dla obserwacji lekarskich.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generowania obserwacji lekarskich na podstawie udzielonych konsultacji.</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pobierania wyników diagnostycznych oraz laboratoryjnych z danego dnia do obserwacji lekarskich.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Konsultacje lekarskie</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posiadać możliwość przeglądania konsultacji lekarskich wybranego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Na liście konsultacji system musi prezentować dla każdej konsultacji jej status oraz pilność.</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wysłanie prośby o konsultację do danej jednostki z wskazaniem lekarza konsultującego lub bez wskazania lekarza.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oznaczenia konsultacji jako pilnej.</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Moduł musi umożliwiać przyjęcie konsultacji do opisu.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Badania przedmiotowe</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posiadać możliwość przeglądania badań przedmiotowych wybranego pacjenta w postaci listy.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ewidencji danych dotyczących badań przedmiotowych.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oznaczenia badania przedmiotowego, aby zostało ujęte na wypisie.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skopiowania poprzedniego wyniku badania do bieżącego z możliwością jego edycji po skopiowaniu.</w:t>
            </w:r>
          </w:p>
        </w:tc>
      </w:tr>
      <w:t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Rozpoznania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Użytkownik systemu musi posiadać możliwość przeglądania </w:t>
            </w:r>
            <w:proofErr w:type="spellStart"/>
            <w:r>
              <w:rPr>
                <w:rFonts w:ascii="Verdana" w:hAnsi="Verdana" w:cs="Calibri"/>
                <w:sz w:val="18"/>
                <w:szCs w:val="18"/>
              </w:rPr>
              <w:t>rozpoznań</w:t>
            </w:r>
            <w:proofErr w:type="spellEnd"/>
            <w:r>
              <w:rPr>
                <w:rFonts w:ascii="Verdana" w:hAnsi="Verdana" w:cs="Calibri"/>
                <w:sz w:val="18"/>
                <w:szCs w:val="18"/>
              </w:rPr>
              <w:t xml:space="preserve"> wybranego pacjenta w postaci listy:</w:t>
            </w:r>
          </w:p>
          <w:p>
            <w:pPr>
              <w:numPr>
                <w:ilvl w:val="0"/>
                <w:numId w:val="47"/>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z aktualnego pobytu,</w:t>
            </w:r>
          </w:p>
          <w:p>
            <w:pPr>
              <w:numPr>
                <w:ilvl w:val="0"/>
                <w:numId w:val="47"/>
              </w:numPr>
              <w:suppressAutoHyphens/>
              <w:spacing w:after="0" w:line="276" w:lineRule="auto"/>
              <w:ind w:right="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z poprzednich pobytów.</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mieć możliwość dodawania informacji dotyczących:</w:t>
            </w:r>
          </w:p>
          <w:p>
            <w:pPr>
              <w:numPr>
                <w:ilvl w:val="0"/>
                <w:numId w:val="4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proofErr w:type="spellStart"/>
            <w:r>
              <w:rPr>
                <w:rFonts w:ascii="Verdana" w:hAnsi="Verdana" w:cs="Calibri"/>
                <w:sz w:val="18"/>
                <w:szCs w:val="18"/>
              </w:rPr>
              <w:t>rozpoznań</w:t>
            </w:r>
            <w:proofErr w:type="spellEnd"/>
            <w:r>
              <w:rPr>
                <w:rFonts w:ascii="Verdana" w:hAnsi="Verdana" w:cs="Calibri"/>
                <w:sz w:val="18"/>
                <w:szCs w:val="18"/>
              </w:rPr>
              <w:t xml:space="preserve"> pacjenta,</w:t>
            </w:r>
          </w:p>
          <w:p>
            <w:pPr>
              <w:numPr>
                <w:ilvl w:val="0"/>
                <w:numId w:val="4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karty zgłoszenia choroby zakaźnej, </w:t>
            </w:r>
          </w:p>
          <w:p>
            <w:pPr>
              <w:numPr>
                <w:ilvl w:val="0"/>
                <w:numId w:val="4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karty nowotworowej,</w:t>
            </w:r>
          </w:p>
          <w:p>
            <w:pPr>
              <w:numPr>
                <w:ilvl w:val="0"/>
                <w:numId w:val="48"/>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proofErr w:type="spellStart"/>
            <w:r>
              <w:rPr>
                <w:rFonts w:ascii="Verdana" w:hAnsi="Verdana" w:cs="Calibri"/>
                <w:sz w:val="18"/>
                <w:szCs w:val="18"/>
              </w:rPr>
              <w:t>rozpoznań</w:t>
            </w:r>
            <w:proofErr w:type="spellEnd"/>
            <w:r>
              <w:rPr>
                <w:rFonts w:ascii="Verdana" w:hAnsi="Verdana" w:cs="Calibri"/>
                <w:sz w:val="18"/>
                <w:szCs w:val="18"/>
              </w:rPr>
              <w:t xml:space="preserve"> dodatkowych VY i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ewidencji </w:t>
            </w:r>
            <w:proofErr w:type="spellStart"/>
            <w:r>
              <w:rPr>
                <w:rFonts w:ascii="Verdana" w:hAnsi="Verdana" w:cs="Calibri"/>
                <w:sz w:val="18"/>
                <w:szCs w:val="18"/>
              </w:rPr>
              <w:t>rozpoznań</w:t>
            </w:r>
            <w:proofErr w:type="spellEnd"/>
            <w:r>
              <w:rPr>
                <w:rFonts w:ascii="Verdana" w:hAnsi="Verdana" w:cs="Calibri"/>
                <w:sz w:val="18"/>
                <w:szCs w:val="18"/>
              </w:rPr>
              <w:t xml:space="preserve"> pacjenta.</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oznaczenia rozpoznania jako kontynuacja leczenia.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left="57"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Zrealizowane procedury medyczne</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systemu musi mieć możliwość przeglądania ewidencji zrealizowanych procedur ICD-9 PL.</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filtrowania listy procedur medycznych według minimum: </w:t>
            </w:r>
          </w:p>
          <w:p>
            <w:pPr>
              <w:numPr>
                <w:ilvl w:val="1"/>
                <w:numId w:val="49"/>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dat realizacji procedur,</w:t>
            </w:r>
          </w:p>
          <w:p>
            <w:pPr>
              <w:numPr>
                <w:ilvl w:val="1"/>
                <w:numId w:val="49"/>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pokaż wszystkie,</w:t>
            </w:r>
          </w:p>
          <w:p>
            <w:pPr>
              <w:numPr>
                <w:ilvl w:val="1"/>
                <w:numId w:val="49"/>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pokaż procedury ICD-9 PL.</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wyszukiwania na liście procedur według symbolu czy nazwy procedury.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Wywiad</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prezentację danych dotyczących zebranego wywiadu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prezentację danych o stosowanych lekach i alergiach.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prezentację danych o przebytych chorobach pacjenta i chorobach w jego rodzinie.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prezentację danych ginekologicznych dla pacjentek.</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kopiowanie danych z poprzedniego wywiadu lub z innego dowolnego wcześniejszego wywiadu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edycję danych wywiadu lekarskiego.</w:t>
            </w:r>
          </w:p>
        </w:tc>
      </w:tr>
      <w:t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Zużyte środki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przeglądanie listy zużytych środków na pacjenta oraz podgląd danych szczegółowych.</w:t>
            </w:r>
          </w:p>
        </w:tc>
      </w:tr>
      <w:t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Skierowania na badania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prezentować listę zleconych badań wraz z informacją o statusie skierowania i jego pilności.</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Dla każdego skierowania system musi prezentować dane szczegółowe.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mieć możliwość powtórzenia danego skierowania lub skopiowania badań z poprzedniego skierowania.</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W ramach skierowania laboratoryjnego i diagnostycznego moduł musi umożliwiać przetwarzanie danych dot. </w:t>
            </w:r>
            <w:proofErr w:type="spellStart"/>
            <w:r>
              <w:rPr>
                <w:rFonts w:ascii="Verdana" w:hAnsi="Verdana" w:cs="Calibri"/>
                <w:sz w:val="18"/>
                <w:szCs w:val="18"/>
              </w:rPr>
              <w:t>rozpoznań</w:t>
            </w:r>
            <w:proofErr w:type="spellEnd"/>
            <w:r>
              <w:rPr>
                <w:rFonts w:ascii="Verdana" w:hAnsi="Verdana" w:cs="Calibri"/>
                <w:sz w:val="18"/>
                <w:szCs w:val="18"/>
              </w:rPr>
              <w:t xml:space="preserve"> i informacji dodatkowych.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Wyniki zleconych badań</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prezentować listę wyników do zleconych badań.</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Dla każdego wyniku badań system musi prezentować dane szczegółowe wyniku.</w:t>
            </w:r>
          </w:p>
        </w:tc>
      </w:tr>
      <w:t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Zabiegi operacyjne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prezentować listę zleconych oraz wykonanych zabiegów chirurgicznych.</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dodanie nowego skierowania na zabieg.</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Wypis</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umożliwiać prezentację danych dotyczących wypisu pacjenta.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automatycznego pobierania danych do pozycji wypisu na karcie informacyjnej </w:t>
            </w:r>
            <w:r>
              <w:rPr>
                <w:rFonts w:ascii="Verdana" w:hAnsi="Verdana" w:cs="Calibri"/>
                <w:sz w:val="18"/>
                <w:szCs w:val="18"/>
              </w:rPr>
              <w:lastRenderedPageBreak/>
              <w:t xml:space="preserve">w oparciu o zgromadzone dane o leczeniu (np. wyniki laboratoryjne, diagnostyczne, rozpoznania, procedury). </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definiowania przez administratora szablonów dla poszczególnych pozycji zawartych w karcie informacyjnej.</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korzystania przez użytkownika z szablonów dla poszczególnych pozycji zawartych w karcie informacyjnej.</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Możliwość pobrania do karty informacyjnej wpisów z poprzedniego lub wybranego pobytu.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Raporty</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musi prezentować listę dostępnych raportów dla danego użytkownika.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Użytkownik musi mieć możliwość przeszukiwania listy raportów według nazwy raportu.</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Dla każdego raportu użytkownik musi mieć możliwość:</w:t>
            </w:r>
          </w:p>
          <w:p>
            <w:pPr>
              <w:numPr>
                <w:ilvl w:val="0"/>
                <w:numId w:val="50"/>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wprowadzenia liczby kopii do wydrukowania zaznaczonego raportu,</w:t>
            </w:r>
          </w:p>
          <w:p>
            <w:pPr>
              <w:numPr>
                <w:ilvl w:val="0"/>
                <w:numId w:val="50"/>
              </w:numPr>
              <w:suppressAutoHyphens/>
              <w:spacing w:after="0" w:line="276" w:lineRule="auto"/>
              <w:ind w:right="57"/>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możliwość wyboru przeznaczenia wybranego raportu, czy wydruk ma zostać zaprezentowany na ekranie, czy od razu wydrukowany za pomocą drukarki.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spacing w:line="276" w:lineRule="auto"/>
              <w:ind w:left="57" w:right="57"/>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Podgląd dokumentacji pielęgniarskiej</w:t>
            </w:r>
          </w:p>
        </w:tc>
      </w:tr>
      <w:t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Moduł prezentuje listę dostępnych formularzy dot. dokumentacji pielęgniarskiej.</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pPr>
              <w:numPr>
                <w:ilvl w:val="0"/>
                <w:numId w:val="52"/>
              </w:numPr>
              <w:suppressAutoHyphens/>
              <w:spacing w:after="0" w:line="276" w:lineRule="auto"/>
              <w:ind w:right="0"/>
              <w:jc w:val="center"/>
              <w:rPr>
                <w:rFonts w:ascii="Verdana" w:hAnsi="Verdana" w:cs="Calibri"/>
                <w:b w:val="0"/>
                <w:bCs w:val="0"/>
                <w:sz w:val="18"/>
                <w:szCs w:val="18"/>
              </w:rPr>
            </w:pPr>
          </w:p>
        </w:tc>
        <w:tc>
          <w:tcPr>
            <w:tcW w:w="4548" w:type="pct"/>
            <w:hideMark/>
          </w:tcPr>
          <w:p>
            <w:pPr>
              <w:spacing w:line="276" w:lineRule="auto"/>
              <w:ind w:right="57"/>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Użytkownik systemu musi mieć możliwość przeglądania dokumentacji pielęgniarskiej w minimum w poniższym zakresie, jeżeli dane występują w HIS: </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karty parametrów życiowych,</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realizacji opieki,</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karty indywidualnej opieki,</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karty gorączkowej,</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profilaktyki odleżyn,</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pielęgnacji odleżyn,</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gospodarki wodnej,</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ewidencji wkłuć,</w:t>
            </w:r>
          </w:p>
          <w:p>
            <w:pPr>
              <w:numPr>
                <w:ilvl w:val="1"/>
                <w:numId w:val="51"/>
              </w:numPr>
              <w:suppressAutoHyphens/>
              <w:spacing w:after="0" w:line="276" w:lineRule="auto"/>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kategorii pielęgniarskich.</w:t>
            </w:r>
          </w:p>
        </w:tc>
      </w:tr>
    </w:tbl>
    <w:p>
      <w:pPr>
        <w:spacing w:line="276" w:lineRule="auto"/>
        <w:rPr>
          <w:rFonts w:ascii="Verdana" w:hAnsi="Verdana"/>
          <w:sz w:val="18"/>
          <w:szCs w:val="18"/>
        </w:rPr>
      </w:pPr>
    </w:p>
    <w:p>
      <w:pPr>
        <w:spacing w:line="276" w:lineRule="auto"/>
        <w:rPr>
          <w:rFonts w:ascii="Verdana" w:hAnsi="Verdana"/>
          <w:sz w:val="18"/>
          <w:szCs w:val="18"/>
        </w:rPr>
      </w:pPr>
    </w:p>
    <w:tbl>
      <w:tblPr>
        <w:tblStyle w:val="Tabelasiatki4akcent51"/>
        <w:tblW w:w="0" w:type="auto"/>
        <w:tblLook w:val="04A0" w:firstRow="1" w:lastRow="0" w:firstColumn="1" w:lastColumn="0" w:noHBand="0" w:noVBand="1"/>
      </w:tblPr>
      <w:tblGrid>
        <w:gridCol w:w="804"/>
        <w:gridCol w:w="848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3" w:type="dxa"/>
            <w:gridSpan w:val="2"/>
            <w:noWrap/>
            <w:hideMark/>
          </w:tcPr>
          <w:p>
            <w:pPr>
              <w:spacing w:line="276" w:lineRule="auto"/>
              <w:rPr>
                <w:rFonts w:ascii="Verdana" w:hAnsi="Verdana" w:cs="Calibri"/>
                <w:sz w:val="18"/>
                <w:szCs w:val="18"/>
              </w:rPr>
            </w:pPr>
            <w:r>
              <w:rPr>
                <w:rFonts w:ascii="Verdana" w:hAnsi="Verdana" w:cs="Calibri"/>
                <w:sz w:val="18"/>
                <w:szCs w:val="18"/>
              </w:rPr>
              <w:t>PORTAL PACJENTA – WYMAGANIA MINIMALNE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3" w:type="dxa"/>
            <w:gridSpan w:val="2"/>
            <w:noWrap/>
          </w:tcPr>
          <w:p>
            <w:pPr>
              <w:spacing w:line="276" w:lineRule="auto"/>
              <w:rPr>
                <w:rFonts w:ascii="Verdana" w:hAnsi="Verdana" w:cs="Calibri"/>
                <w:sz w:val="18"/>
                <w:szCs w:val="18"/>
              </w:rPr>
            </w:pPr>
            <w:r>
              <w:rPr>
                <w:rFonts w:ascii="Verdana" w:hAnsi="Verdana" w:cs="Calibri"/>
                <w:sz w:val="18"/>
                <w:szCs w:val="18"/>
              </w:rPr>
              <w:t>Bezpieczeństwo</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Portal obsługuje dostarczony przez Zamawiającego certyfikat SSL. Wymagany jest certyfikat typu </w:t>
            </w:r>
            <w:proofErr w:type="spellStart"/>
            <w:r>
              <w:rPr>
                <w:rFonts w:ascii="Verdana" w:hAnsi="Verdana" w:cs="Calibri"/>
                <w:sz w:val="18"/>
                <w:szCs w:val="18"/>
              </w:rPr>
              <w:t>wildcard</w:t>
            </w:r>
            <w:proofErr w:type="spellEnd"/>
            <w:r>
              <w:rPr>
                <w:rFonts w:ascii="Verdana" w:hAnsi="Verdana" w:cs="Calibri"/>
                <w:sz w:val="18"/>
                <w:szCs w:val="18"/>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Portal umożliwia nadanie odpowiedniej nazwy domenowej uzgodnionej z Zamawiającym. W dostarczonym certyfikacie nazwa domenowa będzie umieszczona w certyfikacie (pole </w:t>
            </w:r>
            <w:proofErr w:type="spellStart"/>
            <w:r>
              <w:rPr>
                <w:rFonts w:ascii="Verdana" w:hAnsi="Verdana" w:cs="Calibri"/>
                <w:sz w:val="18"/>
                <w:szCs w:val="18"/>
              </w:rPr>
              <w:t>Common</w:t>
            </w:r>
            <w:proofErr w:type="spellEnd"/>
            <w:r>
              <w:rPr>
                <w:rFonts w:ascii="Verdana" w:hAnsi="Verdana" w:cs="Calibri"/>
                <w:sz w:val="18"/>
                <w:szCs w:val="18"/>
              </w:rPr>
              <w:t xml:space="preserve"> </w:t>
            </w:r>
            <w:proofErr w:type="spellStart"/>
            <w:r>
              <w:rPr>
                <w:rFonts w:ascii="Verdana" w:hAnsi="Verdana" w:cs="Calibri"/>
                <w:sz w:val="18"/>
                <w:szCs w:val="18"/>
              </w:rPr>
              <w:t>Name</w:t>
            </w:r>
            <w:proofErr w:type="spellEnd"/>
            <w:r>
              <w:rPr>
                <w:rFonts w:ascii="Verdana" w:hAnsi="Verdana" w:cs="Calibri"/>
                <w:sz w:val="18"/>
                <w:szCs w:val="18"/>
              </w:rPr>
              <w:t>) i musi być zgodna z adresem wpisywanym w przeglądarce.</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Portal zapewnia bezpieczną, zaszyfrowaną komunikację przez sieć między stacją kliencką, a serwerem.</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Zamawiający utworzy adres poczty elektronicznej (e-mail) do powiadomień przekazywanych z portalu.</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Portal pacjenta będzie zainstalowany na dedykowanej do tego celu maszynie.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E-usługi dostępne w ramach Portalu Pacjenta to zestaw funkcji, które umożliwiają interakcję z użytkownikiem (szczególnie pacjentem i lekarzem) metodą zdalną,  między innymi za  pośrednictwem Internetu, w tym niektóre są zabezpieczone dodatkowymi kanałami szyfrowanej komunikacji jak HTTPS. Moduły są zintegrowane z częścią białą systemu, tj. HIS/RIS/PACS.</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E-usługi dla pacjentów opublikowane w Internecie łączą się z modułami systemu HIS poprzez dodatkowy zabezpieczony interfejs komunikacji w celu podniesienia bezpieczeństwa bazy danych osobowych i wrażliwych danych medycznych przetwarzanych w systemie HIS/RIS/PACS.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E-usługi dostępne w Internecie dla pacjentów do komunikacji z częścią systemu w intranecie placówki (system HIS/RIS/PACS) wykorzystują zabezpieczony kanał </w:t>
            </w:r>
            <w:r>
              <w:rPr>
                <w:rFonts w:ascii="Verdana" w:hAnsi="Verdana" w:cs="Calibri"/>
                <w:sz w:val="18"/>
                <w:szCs w:val="18"/>
              </w:rPr>
              <w:lastRenderedPageBreak/>
              <w:t>komunikacji.</w:t>
            </w:r>
          </w:p>
        </w:tc>
      </w:tr>
      <w:tr>
        <w:tc>
          <w:tcPr>
            <w:cnfStyle w:val="001000000000" w:firstRow="0" w:lastRow="0" w:firstColumn="1" w:lastColumn="0" w:oddVBand="0" w:evenVBand="0" w:oddHBand="0" w:evenHBand="0" w:firstRowFirstColumn="0" w:firstRowLastColumn="0" w:lastRowFirstColumn="0" w:lastRowLastColumn="0"/>
            <w:tcW w:w="9993" w:type="dxa"/>
            <w:gridSpan w:val="2"/>
            <w:noWrap/>
          </w:tcPr>
          <w:p>
            <w:pPr>
              <w:spacing w:line="276" w:lineRule="auto"/>
              <w:rPr>
                <w:rFonts w:ascii="Verdana" w:hAnsi="Verdana" w:cs="Calibri"/>
                <w:sz w:val="18"/>
                <w:szCs w:val="18"/>
              </w:rPr>
            </w:pPr>
            <w:r>
              <w:rPr>
                <w:rFonts w:ascii="Verdana" w:hAnsi="Verdana" w:cs="Calibri"/>
                <w:sz w:val="18"/>
                <w:szCs w:val="18"/>
              </w:rPr>
              <w:lastRenderedPageBreak/>
              <w:t>Graficzny interfejs użytkownika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Interfejs użytkownika jest zgodny z WCAG 2.1 (ang. Web Content Accessibility </w:t>
            </w:r>
            <w:proofErr w:type="spellStart"/>
            <w:r>
              <w:rPr>
                <w:rFonts w:ascii="Verdana" w:hAnsi="Verdana" w:cs="Calibri"/>
                <w:sz w:val="18"/>
                <w:szCs w:val="18"/>
              </w:rPr>
              <w:t>Guidelines</w:t>
            </w:r>
            <w:proofErr w:type="spellEnd"/>
            <w:r>
              <w:rPr>
                <w:rFonts w:ascii="Verdana" w:hAnsi="Verdana" w:cs="Calibri"/>
                <w:sz w:val="18"/>
                <w:szCs w:val="18"/>
              </w:rPr>
              <w:t>), na poziomie co najmniej AA.</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Portal udostępnia graficzny interfejs użytkownika, zaprojektowany w technice RWD (</w:t>
            </w:r>
            <w:proofErr w:type="spellStart"/>
            <w:r>
              <w:rPr>
                <w:rFonts w:ascii="Verdana" w:hAnsi="Verdana" w:cs="Calibri"/>
                <w:sz w:val="18"/>
                <w:szCs w:val="18"/>
              </w:rPr>
              <w:t>Responsive</w:t>
            </w:r>
            <w:proofErr w:type="spellEnd"/>
            <w:r>
              <w:rPr>
                <w:rFonts w:ascii="Verdana" w:hAnsi="Verdana" w:cs="Calibri"/>
                <w:sz w:val="18"/>
                <w:szCs w:val="18"/>
              </w:rPr>
              <w:t xml:space="preserve"> Web Design), dostosowujący się do wielkości ekranu urządzenia, na którym jest użytkowany.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W Portalu Pacjenta jest możliwe użytkowanie systemu w przeglądarkach </w:t>
            </w:r>
            <w:proofErr w:type="spellStart"/>
            <w:r>
              <w:rPr>
                <w:rFonts w:ascii="Verdana" w:hAnsi="Verdana" w:cs="Calibri"/>
                <w:sz w:val="18"/>
                <w:szCs w:val="18"/>
              </w:rPr>
              <w:t>smartphonów</w:t>
            </w:r>
            <w:proofErr w:type="spellEnd"/>
            <w:r>
              <w:rPr>
                <w:rFonts w:ascii="Verdana" w:hAnsi="Verdana" w:cs="Calibri"/>
                <w:sz w:val="18"/>
                <w:szCs w:val="18"/>
              </w:rPr>
              <w:t>, tabletów i komputerów osobistych.</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Portal udostępnia interfejs użytkownika w języku polskim.</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3" w:type="dxa"/>
            <w:gridSpan w:val="2"/>
            <w:noWrap/>
          </w:tcPr>
          <w:p>
            <w:pPr>
              <w:spacing w:line="276" w:lineRule="auto"/>
              <w:rPr>
                <w:rFonts w:ascii="Verdana" w:hAnsi="Verdana" w:cs="Calibri"/>
                <w:sz w:val="18"/>
                <w:szCs w:val="18"/>
              </w:rPr>
            </w:pPr>
            <w:r>
              <w:rPr>
                <w:rFonts w:ascii="Verdana" w:hAnsi="Verdana" w:cs="Calibri"/>
                <w:sz w:val="18"/>
                <w:szCs w:val="18"/>
              </w:rPr>
              <w:t xml:space="preserve">Architektura rozwiązania </w:t>
            </w:r>
            <w:proofErr w:type="spellStart"/>
            <w:r>
              <w:rPr>
                <w:rFonts w:ascii="Verdana" w:hAnsi="Verdana" w:cs="Calibri"/>
                <w:sz w:val="18"/>
                <w:szCs w:val="18"/>
              </w:rPr>
              <w:t>eUsług</w:t>
            </w:r>
            <w:proofErr w:type="spellEnd"/>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Portal posiada modułową budowę.</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Portal udostępnia interfejs programowy (API) umożliwiający jego ewentualną integrację z innym oprogramowaniem działającym obecnie lub w przyszłości w Szpitalu.</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Możliwe jest użytkowanie portalu na najnowszych wersjach popularnych przeglądarek internetowych, minimum: Google Chrome, </w:t>
            </w:r>
            <w:proofErr w:type="spellStart"/>
            <w:r>
              <w:rPr>
                <w:rFonts w:ascii="Verdana" w:hAnsi="Verdana" w:cs="Calibri"/>
                <w:sz w:val="18"/>
                <w:szCs w:val="18"/>
              </w:rPr>
              <w:t>Firefox</w:t>
            </w:r>
            <w:proofErr w:type="spellEnd"/>
            <w:r>
              <w:rPr>
                <w:rFonts w:ascii="Verdana" w:hAnsi="Verdana" w:cs="Calibri"/>
                <w:sz w:val="18"/>
                <w:szCs w:val="18"/>
              </w:rPr>
              <w:t>, Microsoft Edge bez konieczności instalacji dodatkowych elementów środowiska uruchomieniowego.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3" w:type="dxa"/>
            <w:gridSpan w:val="2"/>
            <w:noWrap/>
          </w:tcPr>
          <w:p>
            <w:pPr>
              <w:spacing w:line="276" w:lineRule="auto"/>
              <w:rPr>
                <w:rFonts w:ascii="Verdana" w:hAnsi="Verdana" w:cs="Calibri"/>
                <w:sz w:val="18"/>
                <w:szCs w:val="18"/>
              </w:rPr>
            </w:pPr>
            <w:r>
              <w:rPr>
                <w:rFonts w:ascii="Verdana" w:hAnsi="Verdana" w:cs="Calibri"/>
                <w:sz w:val="18"/>
                <w:szCs w:val="18"/>
              </w:rPr>
              <w:t xml:space="preserve">W ramach realizacji przedmiotu zamówienia muszą zostać wdrożenie </w:t>
            </w:r>
            <w:proofErr w:type="spellStart"/>
            <w:r>
              <w:rPr>
                <w:rFonts w:ascii="Verdana" w:hAnsi="Verdana" w:cs="Calibri"/>
                <w:sz w:val="18"/>
                <w:szCs w:val="18"/>
              </w:rPr>
              <w:t>eUsługi</w:t>
            </w:r>
            <w:proofErr w:type="spellEnd"/>
            <w:r>
              <w:rPr>
                <w:rFonts w:ascii="Verdana" w:hAnsi="Verdana" w:cs="Calibri"/>
                <w:sz w:val="18"/>
                <w:szCs w:val="18"/>
              </w:rPr>
              <w:t>:</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u w:val="single"/>
              </w:rPr>
              <w:t>Portal pacjenta</w:t>
            </w:r>
            <w:r>
              <w:rPr>
                <w:rFonts w:ascii="Verdana" w:hAnsi="Verdana" w:cs="Calibri"/>
                <w:sz w:val="18"/>
                <w:szCs w:val="18"/>
              </w:rPr>
              <w:t xml:space="preserve">, którego zadaniem będzie zapewnienie prostszej i szybszej komunikacji pacjenta z placówką medyczną bez konieczności fizycznego pojawiania się pacjenta w placówce medycznej o ile stan zdrowia pacjenta pozwala na taki kontakt i nie wymaga osobistego stawiennictwa u lekarza. Portal pacjenta będzie dostępny zarówno z komputerów, notebooków jak również urządzeń mobilnych takich jak tablet i smartfon. Portal będzie zrealizowany przynajmniej jako strona responsywna umożliwiając swobodną prace na każdym z wymienionych urządzeń. Konto w portalu pacjent  będzie mógł utworzyć samodzielnie lub poprosić o wsparcie personel placówki medycznej.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proofErr w:type="spellStart"/>
            <w:r>
              <w:rPr>
                <w:rFonts w:ascii="Verdana" w:hAnsi="Verdana" w:cs="Calibri"/>
                <w:sz w:val="18"/>
                <w:szCs w:val="18"/>
                <w:u w:val="single"/>
              </w:rPr>
              <w:t>ePowiadomienia</w:t>
            </w:r>
            <w:proofErr w:type="spellEnd"/>
            <w:r>
              <w:rPr>
                <w:rFonts w:ascii="Verdana" w:hAnsi="Verdana" w:cs="Calibri"/>
                <w:sz w:val="18"/>
                <w:szCs w:val="18"/>
                <w:u w:val="single"/>
              </w:rPr>
              <w:t xml:space="preserve"> – </w:t>
            </w:r>
            <w:proofErr w:type="spellStart"/>
            <w:r>
              <w:rPr>
                <w:rFonts w:ascii="Verdana" w:hAnsi="Verdana" w:cs="Calibri"/>
                <w:sz w:val="18"/>
                <w:szCs w:val="18"/>
                <w:u w:val="single"/>
              </w:rPr>
              <w:t>ePortal</w:t>
            </w:r>
            <w:proofErr w:type="spellEnd"/>
            <w:r>
              <w:rPr>
                <w:rFonts w:ascii="Verdana" w:hAnsi="Verdana" w:cs="Calibri"/>
                <w:sz w:val="18"/>
                <w:szCs w:val="18"/>
              </w:rPr>
              <w:t xml:space="preserve">, który będzie realizować różne mechanizmy powiadomień email/sms pacjenta o zdarzeniach w portalu (informacja o umówieniu na wizytę, przypomnienie o zbliżającej się wizycie, informacje o zmianach terminu wizyt, informacja o pojawieniu się wyniku badania, informacja o pojawieniu się nowego dokumentu z procesu leczenia, przypomnienie o uzupełnieniu dzienniczka, o przyjęciu zleconych leków, Pacjent w ramach konfiguracji własnego profilu będzie posiadać możliwość określania zdarzeń, o których będzie informowany oraz sposobu informowania email/sms. Dla zdarzeń typu przypomnienie o wizycie może zostać wysłany SMS z zapytaniem czy planuje się stawić na wizytę i w przypadku braku odpowiedzi wizyta może zostać anulowana zwalniając miejsce w harmonogramie dla innych pacjentów. </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u w:val="single"/>
              </w:rPr>
              <w:t xml:space="preserve">EDM – </w:t>
            </w:r>
            <w:proofErr w:type="spellStart"/>
            <w:r>
              <w:rPr>
                <w:rFonts w:ascii="Verdana" w:hAnsi="Verdana" w:cs="Calibri"/>
                <w:sz w:val="18"/>
                <w:szCs w:val="18"/>
                <w:u w:val="single"/>
              </w:rPr>
              <w:t>ePortal</w:t>
            </w:r>
            <w:proofErr w:type="spellEnd"/>
            <w:r>
              <w:rPr>
                <w:rFonts w:ascii="Verdana" w:hAnsi="Verdana" w:cs="Calibri"/>
                <w:sz w:val="18"/>
                <w:szCs w:val="18"/>
              </w:rPr>
              <w:t xml:space="preserve">, który będzie udostępniać potwierdzonemu użytkownikowi wgląd w dokumentację medyczną, która została wytworzona w placówce medycznej i która została oznaczona jako widoczna dla pacjenta w </w:t>
            </w:r>
            <w:proofErr w:type="spellStart"/>
            <w:r>
              <w:rPr>
                <w:rFonts w:ascii="Verdana" w:hAnsi="Verdana" w:cs="Calibri"/>
                <w:sz w:val="18"/>
                <w:szCs w:val="18"/>
              </w:rPr>
              <w:t>ePortalu</w:t>
            </w:r>
            <w:proofErr w:type="spellEnd"/>
            <w:r>
              <w:rPr>
                <w:rFonts w:ascii="Verdana" w:hAnsi="Verdana" w:cs="Calibri"/>
                <w:sz w:val="18"/>
                <w:szCs w:val="18"/>
              </w:rPr>
              <w:t xml:space="preserve">. Dla dokumentów zgromadzonych w archiwum lokalnym </w:t>
            </w:r>
            <w:proofErr w:type="spellStart"/>
            <w:r>
              <w:rPr>
                <w:rFonts w:ascii="Verdana" w:hAnsi="Verdana" w:cs="Calibri"/>
                <w:sz w:val="18"/>
                <w:szCs w:val="18"/>
              </w:rPr>
              <w:t>eUsług</w:t>
            </w:r>
            <w:proofErr w:type="spellEnd"/>
            <w:r>
              <w:rPr>
                <w:rFonts w:ascii="Verdana" w:hAnsi="Verdana" w:cs="Calibri"/>
                <w:sz w:val="18"/>
                <w:szCs w:val="18"/>
              </w:rPr>
              <w:t>, a które nie podlegają indeksacji w P1 pacjent powinien posiadać możliwość ich świadomego udostępniania innym lekarzom (np. dokumenty z poradni urologicznej umawiając się na wizytę/konsultację/</w:t>
            </w:r>
            <w:proofErr w:type="spellStart"/>
            <w:r>
              <w:rPr>
                <w:rFonts w:ascii="Verdana" w:hAnsi="Verdana" w:cs="Calibri"/>
                <w:sz w:val="18"/>
                <w:szCs w:val="18"/>
              </w:rPr>
              <w:t>telekonsultację</w:t>
            </w:r>
            <w:proofErr w:type="spellEnd"/>
            <w:r>
              <w:rPr>
                <w:rFonts w:ascii="Verdana" w:hAnsi="Verdana" w:cs="Calibri"/>
                <w:sz w:val="18"/>
                <w:szCs w:val="18"/>
              </w:rPr>
              <w:t xml:space="preserve"> u chirurga). Ponadto dla dokumentacji medycznej zgromadzonej w archiwum portalu lokalnego pacjent będzie posiadać możliwość jej udostępnienia dowolnemu innemu lekarzowi (posiadającemu konto w systemie) . Wskazany lekarz uzyska wgląd w udostępnione dokumenty. Lekarz placówki medycznej będzie posiadać domyślnie wgląd w dokumenty pacjenta, które zostały wytworzone w ramach jednostki organizacyjnej, w której jest zatrudniony i obsługuje zdarzenia medyczne pacjenta. Do pozostałych dokumentów uzyska dostęp po ich udostępnieniu przez pacjenta w portalu.</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proofErr w:type="spellStart"/>
            <w:r>
              <w:rPr>
                <w:rFonts w:ascii="Verdana" w:hAnsi="Verdana" w:cs="Calibri"/>
                <w:sz w:val="18"/>
                <w:szCs w:val="18"/>
                <w:u w:val="single"/>
              </w:rPr>
              <w:t>eDzienniczek</w:t>
            </w:r>
            <w:proofErr w:type="spellEnd"/>
            <w:r>
              <w:rPr>
                <w:rFonts w:ascii="Verdana" w:hAnsi="Verdana" w:cs="Calibri"/>
                <w:sz w:val="18"/>
                <w:szCs w:val="18"/>
                <w:u w:val="single"/>
              </w:rPr>
              <w:t xml:space="preserve"> </w:t>
            </w:r>
            <w:r>
              <w:rPr>
                <w:rFonts w:ascii="Verdana" w:hAnsi="Verdana" w:cs="Calibri"/>
                <w:sz w:val="18"/>
                <w:szCs w:val="18"/>
              </w:rPr>
              <w:t xml:space="preserve">pacjenta - lekarz w ramach procesu leczenia będzie mieć możliwość określenia listy parametrów, które pacjent powinien monitorować przez zadany okres czasu np. w domu pomiędzy wizytami. Badane parametry mogą być liczbowe jak również subiektywne opisowe np. pytanie o samopoczucie. Dla badań liczbowych mogą zostać </w:t>
            </w:r>
            <w:r>
              <w:rPr>
                <w:rFonts w:ascii="Verdana" w:hAnsi="Verdana" w:cs="Calibri"/>
                <w:sz w:val="18"/>
                <w:szCs w:val="18"/>
              </w:rPr>
              <w:lastRenderedPageBreak/>
              <w:t xml:space="preserve">przypisane indywidualne parametry krytyczne po przekroczeniu których system umożliwi wprowadzenie przez personel medycznych zaleceń dla pacjenta lub zainicjuje wykonanie odpowiednich akcji automatycznych kończąc na wysłaniu informacji o konieczności konsultacji z lekarzem. </w:t>
            </w:r>
          </w:p>
        </w:tc>
      </w:tr>
      <w:t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proofErr w:type="spellStart"/>
            <w:r>
              <w:rPr>
                <w:rFonts w:ascii="Verdana" w:hAnsi="Verdana" w:cs="Calibri"/>
                <w:sz w:val="18"/>
                <w:szCs w:val="18"/>
                <w:u w:val="single"/>
              </w:rPr>
              <w:t>Telekonsultacje</w:t>
            </w:r>
            <w:proofErr w:type="spellEnd"/>
            <w:r>
              <w:rPr>
                <w:rFonts w:ascii="Verdana" w:hAnsi="Verdana" w:cs="Calibri"/>
                <w:sz w:val="18"/>
                <w:szCs w:val="18"/>
                <w:u w:val="single"/>
              </w:rPr>
              <w:t>/konsultacje</w:t>
            </w:r>
            <w:r>
              <w:rPr>
                <w:rFonts w:ascii="Verdana" w:hAnsi="Verdana" w:cs="Calibri"/>
                <w:sz w:val="18"/>
                <w:szCs w:val="18"/>
              </w:rPr>
              <w:t xml:space="preserve"> będą posiadały możliwość zlecania i przeprowadzania konsultacji przypadku medycznego. Będzie mogła się ona odbyć w formie </w:t>
            </w:r>
            <w:proofErr w:type="spellStart"/>
            <w:r>
              <w:rPr>
                <w:rFonts w:ascii="Verdana" w:hAnsi="Verdana" w:cs="Calibri"/>
                <w:sz w:val="18"/>
                <w:szCs w:val="18"/>
              </w:rPr>
              <w:t>telekonsultacji</w:t>
            </w:r>
            <w:proofErr w:type="spellEnd"/>
            <w:r>
              <w:rPr>
                <w:rFonts w:ascii="Verdana" w:hAnsi="Verdana" w:cs="Calibri"/>
                <w:sz w:val="18"/>
                <w:szCs w:val="18"/>
              </w:rPr>
              <w:t xml:space="preserve"> lub pytania do lekarza. </w:t>
            </w:r>
            <w:proofErr w:type="spellStart"/>
            <w:r>
              <w:rPr>
                <w:rFonts w:ascii="Verdana" w:hAnsi="Verdana" w:cs="Calibri"/>
                <w:sz w:val="18"/>
                <w:szCs w:val="18"/>
              </w:rPr>
              <w:t>Telekonsultacja</w:t>
            </w:r>
            <w:proofErr w:type="spellEnd"/>
            <w:r>
              <w:rPr>
                <w:rFonts w:ascii="Verdana" w:hAnsi="Verdana" w:cs="Calibri"/>
                <w:sz w:val="18"/>
                <w:szCs w:val="18"/>
              </w:rPr>
              <w:t xml:space="preserve"> będzie mogła być również realizowana jako konsultacja pacjent-lekarz lub pomiędzy kilkoma specjalistami. Do zlecanej konsultacji będzie istniała możliwość załączenia zdarzeń medycznych i dokumentacji zgromadzonej w portalu w tym również dokumentacji, która nie podlega indeksacji w P1 oraz dokumentacji załączonej do archiwum </w:t>
            </w:r>
            <w:proofErr w:type="spellStart"/>
            <w:r>
              <w:rPr>
                <w:rFonts w:ascii="Verdana" w:hAnsi="Verdana" w:cs="Calibri"/>
                <w:sz w:val="18"/>
                <w:szCs w:val="18"/>
              </w:rPr>
              <w:t>eUsług</w:t>
            </w:r>
            <w:proofErr w:type="spellEnd"/>
            <w:r>
              <w:rPr>
                <w:rFonts w:ascii="Verdana" w:hAnsi="Verdana" w:cs="Calibri"/>
                <w:sz w:val="18"/>
                <w:szCs w:val="18"/>
              </w:rPr>
              <w:t xml:space="preserve"> przez pacjenta. W przypadku </w:t>
            </w:r>
            <w:proofErr w:type="spellStart"/>
            <w:r>
              <w:rPr>
                <w:rFonts w:ascii="Verdana" w:hAnsi="Verdana" w:cs="Calibri"/>
                <w:sz w:val="18"/>
                <w:szCs w:val="18"/>
              </w:rPr>
              <w:t>telekonsultacji</w:t>
            </w:r>
            <w:proofErr w:type="spellEnd"/>
            <w:r>
              <w:rPr>
                <w:rFonts w:ascii="Verdana" w:hAnsi="Verdana" w:cs="Calibri"/>
                <w:sz w:val="18"/>
                <w:szCs w:val="18"/>
              </w:rPr>
              <w:t xml:space="preserve"> będzie istniała możliwość realizacji połączenia audiowizualnego, którego przebieg będzie może zostać w pełni zarejestrować i zapisany w archiwum </w:t>
            </w:r>
            <w:proofErr w:type="spellStart"/>
            <w:r>
              <w:rPr>
                <w:rFonts w:ascii="Verdana" w:hAnsi="Verdana" w:cs="Calibri"/>
                <w:sz w:val="18"/>
                <w:szCs w:val="18"/>
              </w:rPr>
              <w:t>eUsług</w:t>
            </w:r>
            <w:proofErr w:type="spellEnd"/>
            <w:r>
              <w:rPr>
                <w:rFonts w:ascii="Verdana" w:hAnsi="Verdana" w:cs="Calibri"/>
                <w:sz w:val="18"/>
                <w:szCs w:val="18"/>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noWrap/>
          </w:tcPr>
          <w:p>
            <w:pPr>
              <w:pStyle w:val="Akapitzlist"/>
              <w:numPr>
                <w:ilvl w:val="0"/>
                <w:numId w:val="53"/>
              </w:numPr>
              <w:spacing w:after="0" w:line="276" w:lineRule="auto"/>
              <w:ind w:left="360" w:right="0"/>
              <w:jc w:val="center"/>
              <w:rPr>
                <w:rFonts w:ascii="Verdana" w:hAnsi="Verdana" w:cs="Calibri"/>
                <w:sz w:val="18"/>
                <w:szCs w:val="18"/>
              </w:rPr>
            </w:pPr>
          </w:p>
        </w:tc>
        <w:tc>
          <w:tcPr>
            <w:tcW w:w="9142" w:type="dxa"/>
            <w:noWrap/>
            <w:hideMark/>
          </w:tcPr>
          <w:p>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u w:val="single"/>
              </w:rPr>
              <w:t>Biuro podawcze</w:t>
            </w:r>
            <w:r>
              <w:rPr>
                <w:rFonts w:ascii="Verdana" w:hAnsi="Verdana" w:cs="Calibri"/>
                <w:sz w:val="18"/>
                <w:szCs w:val="18"/>
              </w:rPr>
              <w:t xml:space="preserve"> w celu ograniczenia konieczności przybycia pacjenta do placówki medycznej zwłaszcza w obecnej sytuacji epidemiologicznej będzie istniała możliwość wprowadzenia w systemie biura podawczego np. z prośbą o udostępnienie dokumentacji pacjenta. Placówka medyczna będzie mogła </w:t>
            </w:r>
            <w:proofErr w:type="spellStart"/>
            <w:r>
              <w:rPr>
                <w:rFonts w:ascii="Verdana" w:hAnsi="Verdana" w:cs="Calibri"/>
                <w:sz w:val="18"/>
                <w:szCs w:val="18"/>
              </w:rPr>
              <w:t>zdigitalizować</w:t>
            </w:r>
            <w:proofErr w:type="spellEnd"/>
            <w:r>
              <w:rPr>
                <w:rFonts w:ascii="Verdana" w:hAnsi="Verdana" w:cs="Calibri"/>
                <w:sz w:val="18"/>
                <w:szCs w:val="18"/>
              </w:rPr>
              <w:t xml:space="preserve"> żądaną dokumentację medyczną i udostępnić ją pacjentowi w ramach lokalnego archiwum </w:t>
            </w:r>
            <w:proofErr w:type="spellStart"/>
            <w:r>
              <w:rPr>
                <w:rFonts w:ascii="Verdana" w:hAnsi="Verdana" w:cs="Calibri"/>
                <w:sz w:val="18"/>
                <w:szCs w:val="18"/>
              </w:rPr>
              <w:t>eUsług</w:t>
            </w:r>
            <w:proofErr w:type="spellEnd"/>
            <w:r>
              <w:rPr>
                <w:rFonts w:ascii="Verdana" w:hAnsi="Verdana" w:cs="Calibri"/>
                <w:sz w:val="18"/>
                <w:szCs w:val="18"/>
              </w:rPr>
              <w:t xml:space="preserve">. </w:t>
            </w:r>
          </w:p>
        </w:tc>
      </w:tr>
    </w:tbl>
    <w:p>
      <w:pPr>
        <w:spacing w:line="276" w:lineRule="auto"/>
        <w:rPr>
          <w:rFonts w:ascii="Verdana" w:hAnsi="Verdana"/>
          <w:sz w:val="18"/>
          <w:szCs w:val="18"/>
        </w:rPr>
      </w:pPr>
    </w:p>
    <w:p>
      <w:pPr>
        <w:spacing w:line="276" w:lineRule="auto"/>
        <w:rPr>
          <w:rFonts w:ascii="Verdana" w:hAnsi="Verdana"/>
          <w:sz w:val="18"/>
          <w:szCs w:val="18"/>
        </w:rPr>
      </w:pPr>
    </w:p>
    <w:p>
      <w:pPr>
        <w:pStyle w:val="Akapitzlist"/>
        <w:numPr>
          <w:ilvl w:val="0"/>
          <w:numId w:val="54"/>
        </w:numPr>
        <w:spacing w:after="0" w:line="276" w:lineRule="auto"/>
        <w:rPr>
          <w:rFonts w:ascii="Verdana" w:hAnsi="Verdana"/>
          <w:sz w:val="18"/>
          <w:szCs w:val="18"/>
        </w:rPr>
      </w:pPr>
      <w:r>
        <w:rPr>
          <w:rFonts w:ascii="Verdana" w:hAnsi="Verdana"/>
          <w:sz w:val="18"/>
          <w:szCs w:val="18"/>
        </w:rPr>
        <w:t>Wymagania dotyczące wdrożenia modułów licencji</w:t>
      </w:r>
    </w:p>
    <w:p>
      <w:pPr>
        <w:pStyle w:val="Akapitzlist"/>
        <w:numPr>
          <w:ilvl w:val="0"/>
          <w:numId w:val="55"/>
        </w:numPr>
        <w:spacing w:after="0" w:line="276" w:lineRule="auto"/>
        <w:rPr>
          <w:rFonts w:ascii="Verdana" w:hAnsi="Verdana"/>
          <w:sz w:val="18"/>
          <w:szCs w:val="18"/>
        </w:rPr>
      </w:pPr>
      <w:r>
        <w:rPr>
          <w:rFonts w:ascii="Verdana" w:hAnsi="Verdana"/>
          <w:sz w:val="18"/>
          <w:szCs w:val="18"/>
        </w:rPr>
        <w:t>W ramach usług wdrożeniowych wchodzić będzie w szczególności:</w:t>
      </w:r>
    </w:p>
    <w:p>
      <w:pPr>
        <w:pStyle w:val="Akapitzlist"/>
        <w:numPr>
          <w:ilvl w:val="0"/>
          <w:numId w:val="56"/>
        </w:numPr>
        <w:spacing w:after="0" w:line="276" w:lineRule="auto"/>
        <w:rPr>
          <w:rFonts w:ascii="Verdana" w:hAnsi="Verdana"/>
          <w:sz w:val="18"/>
          <w:szCs w:val="18"/>
        </w:rPr>
      </w:pPr>
      <w:r>
        <w:rPr>
          <w:rFonts w:ascii="Verdana" w:hAnsi="Verdana"/>
          <w:sz w:val="18"/>
          <w:szCs w:val="18"/>
        </w:rPr>
        <w:t>Instalacja, konfiguracja oraz parametryzacja dostarczanych wyżej opisanych modułów medycznego oprogramowania aplikacyjnego na serwerze oraz na stacjach roboczych w miejscach wskazanych przez Zamawiającego,</w:t>
      </w:r>
    </w:p>
    <w:p>
      <w:pPr>
        <w:pStyle w:val="Akapitzlist"/>
        <w:numPr>
          <w:ilvl w:val="0"/>
          <w:numId w:val="56"/>
        </w:numPr>
        <w:spacing w:after="0" w:line="276" w:lineRule="auto"/>
        <w:rPr>
          <w:rFonts w:ascii="Verdana" w:hAnsi="Verdana"/>
          <w:sz w:val="18"/>
          <w:szCs w:val="18"/>
        </w:rPr>
      </w:pPr>
      <w:r>
        <w:rPr>
          <w:rFonts w:ascii="Verdana" w:hAnsi="Verdana"/>
          <w:sz w:val="18"/>
          <w:szCs w:val="18"/>
        </w:rPr>
        <w:t>Integracja dostarczanego systemu z systemami posiadanymi przez Zamawiającego.</w:t>
      </w:r>
    </w:p>
    <w:p>
      <w:pPr>
        <w:pStyle w:val="Akapitzlist"/>
        <w:numPr>
          <w:ilvl w:val="0"/>
          <w:numId w:val="55"/>
        </w:numPr>
        <w:spacing w:after="0" w:line="276" w:lineRule="auto"/>
        <w:rPr>
          <w:rFonts w:ascii="Verdana" w:hAnsi="Verdana"/>
          <w:sz w:val="18"/>
          <w:szCs w:val="18"/>
        </w:rPr>
      </w:pPr>
      <w:r>
        <w:rPr>
          <w:rFonts w:ascii="Verdana" w:hAnsi="Verdana"/>
          <w:sz w:val="18"/>
          <w:szCs w:val="18"/>
        </w:rPr>
        <w:t>Zamawiający wymaga by moduły oprogramowania medycznego wdrożone przez Wykonawcę w ramach realizacji przedmiotu zamówienia były wdrożone w pełnej ich funkcjonalności opisanej w powyżej funkcjonalności.</w:t>
      </w:r>
    </w:p>
    <w:p>
      <w:pPr>
        <w:pStyle w:val="Akapitzlist"/>
        <w:numPr>
          <w:ilvl w:val="0"/>
          <w:numId w:val="55"/>
        </w:numPr>
        <w:spacing w:after="0" w:line="276" w:lineRule="auto"/>
        <w:rPr>
          <w:rFonts w:ascii="Verdana" w:hAnsi="Verdana"/>
          <w:sz w:val="18"/>
          <w:szCs w:val="18"/>
        </w:rPr>
      </w:pPr>
      <w:r>
        <w:rPr>
          <w:rFonts w:ascii="Verdana" w:hAnsi="Verdana"/>
          <w:sz w:val="18"/>
          <w:szCs w:val="18"/>
        </w:rPr>
        <w:t>Instalacja i wdrożenie winny odbywać się w godzinach pracy pracowników Zamawiającego tj. w dni robocze, w godz. 7.30-14:30. Zamawiający dopuszcza wykonywanie prac w innym czasie niż wskazany, po odpowiednim uzgodnieniu i jego akceptacji.</w:t>
      </w:r>
    </w:p>
    <w:p>
      <w:pPr>
        <w:pStyle w:val="Akapitzlist"/>
        <w:numPr>
          <w:ilvl w:val="0"/>
          <w:numId w:val="55"/>
        </w:numPr>
        <w:spacing w:after="0" w:line="276" w:lineRule="auto"/>
        <w:rPr>
          <w:rFonts w:ascii="Verdana" w:hAnsi="Verdana"/>
          <w:sz w:val="18"/>
          <w:szCs w:val="18"/>
        </w:rPr>
      </w:pPr>
      <w:r>
        <w:rPr>
          <w:rFonts w:ascii="Verdana" w:hAnsi="Verdana"/>
          <w:sz w:val="18"/>
          <w:szCs w:val="18"/>
        </w:rPr>
        <w:t>Po dokonaniu instalacji i wdrożenia modułów systemu medycznego, docelowo system medyczny powinien:</w:t>
      </w:r>
    </w:p>
    <w:p>
      <w:pPr>
        <w:pStyle w:val="Akapitzlist"/>
        <w:numPr>
          <w:ilvl w:val="0"/>
          <w:numId w:val="57"/>
        </w:numPr>
        <w:spacing w:after="0" w:line="276" w:lineRule="auto"/>
        <w:rPr>
          <w:rFonts w:ascii="Verdana" w:hAnsi="Verdana"/>
          <w:sz w:val="18"/>
          <w:szCs w:val="18"/>
        </w:rPr>
      </w:pPr>
      <w:r>
        <w:rPr>
          <w:rFonts w:ascii="Verdana" w:hAnsi="Verdana"/>
          <w:sz w:val="18"/>
          <w:szCs w:val="18"/>
        </w:rPr>
        <w:t>spełniać wymagania określone niniejszym dokumentem,</w:t>
      </w:r>
    </w:p>
    <w:p>
      <w:pPr>
        <w:pStyle w:val="Akapitzlist"/>
        <w:numPr>
          <w:ilvl w:val="0"/>
          <w:numId w:val="57"/>
        </w:numPr>
        <w:spacing w:after="0" w:line="276" w:lineRule="auto"/>
        <w:rPr>
          <w:rFonts w:ascii="Verdana" w:hAnsi="Verdana"/>
          <w:sz w:val="18"/>
          <w:szCs w:val="18"/>
        </w:rPr>
      </w:pPr>
      <w:r>
        <w:rPr>
          <w:rFonts w:ascii="Verdana" w:hAnsi="Verdana"/>
          <w:sz w:val="18"/>
          <w:szCs w:val="18"/>
        </w:rPr>
        <w:t>spełniać wymagania obowiązujących przepisów prawa i uwzględniać charakter prowadzonej przez Zamawiającego działalności.</w:t>
      </w:r>
    </w:p>
    <w:p>
      <w:pPr>
        <w:pStyle w:val="Akapitzlist"/>
        <w:numPr>
          <w:ilvl w:val="0"/>
          <w:numId w:val="55"/>
        </w:numPr>
        <w:spacing w:after="0" w:line="276" w:lineRule="auto"/>
        <w:rPr>
          <w:rFonts w:ascii="Verdana" w:hAnsi="Verdana"/>
          <w:sz w:val="18"/>
          <w:szCs w:val="18"/>
        </w:rPr>
      </w:pPr>
      <w:r>
        <w:rPr>
          <w:rFonts w:ascii="Verdana" w:hAnsi="Verdana"/>
          <w:sz w:val="18"/>
          <w:szCs w:val="18"/>
        </w:rPr>
        <w:t xml:space="preserve">Po zakończeniu realizacji przedmiotu zamówienia oraz po stwierdzeniu poprawności funkcjonowania wdrożonych modułów zintegrowanych z systemem medycznym działającym u Zamawiającego, podpisany zostanie przez Zamawiającego i Wykonawcę Końcowy Protokół Odbioru – bezusterkowy. </w:t>
      </w:r>
    </w:p>
    <w:p>
      <w:pPr>
        <w:pStyle w:val="Akapitzlist"/>
        <w:numPr>
          <w:ilvl w:val="0"/>
          <w:numId w:val="55"/>
        </w:numPr>
        <w:spacing w:after="0" w:line="276" w:lineRule="auto"/>
        <w:rPr>
          <w:rFonts w:ascii="Verdana" w:hAnsi="Verdana"/>
          <w:sz w:val="18"/>
          <w:szCs w:val="18"/>
        </w:rPr>
      </w:pPr>
      <w:r>
        <w:rPr>
          <w:rFonts w:ascii="Verdana" w:hAnsi="Verdana"/>
          <w:sz w:val="18"/>
          <w:szCs w:val="18"/>
        </w:rPr>
        <w:t>Po zakończeniu realizacji przedmiotu zamówienia Wykonawca wykona i przekaże Zamawiającemu dokumentację powykonawczą dla administratorów zawierającą dokładny opis funkcjonalny dostarczanych modułów systemu medycznego.</w:t>
      </w:r>
    </w:p>
    <w:p>
      <w:pPr>
        <w:pStyle w:val="Akapitzlist"/>
        <w:numPr>
          <w:ilvl w:val="0"/>
          <w:numId w:val="55"/>
        </w:numPr>
        <w:spacing w:after="0" w:line="276" w:lineRule="auto"/>
        <w:rPr>
          <w:rFonts w:ascii="Verdana" w:hAnsi="Verdana"/>
          <w:sz w:val="18"/>
          <w:szCs w:val="18"/>
        </w:rPr>
      </w:pPr>
      <w:r>
        <w:rPr>
          <w:rFonts w:ascii="Verdana" w:hAnsi="Verdana"/>
          <w:sz w:val="18"/>
          <w:szCs w:val="18"/>
        </w:rPr>
        <w:t>Zamawiający wymaga by docelowo wdrożone moduły systemu medycznego były zintegrowane z systemem medycznym, z którego korzysta Zamawiający, korzystały z jednorodnej bazy danych - ze względu na konieczność zapewnienia jednolicie wysokiego bezpieczeństwa gromadzonych wrażliwych danych medycznych oraz ich spójności.</w:t>
      </w:r>
    </w:p>
    <w:p>
      <w:pPr>
        <w:pStyle w:val="Akapitzlist"/>
        <w:numPr>
          <w:ilvl w:val="0"/>
          <w:numId w:val="55"/>
        </w:numPr>
        <w:spacing w:after="0" w:line="276" w:lineRule="auto"/>
        <w:rPr>
          <w:rFonts w:ascii="Verdana" w:hAnsi="Verdana"/>
          <w:sz w:val="18"/>
          <w:szCs w:val="18"/>
        </w:rPr>
      </w:pPr>
      <w:r>
        <w:rPr>
          <w:rFonts w:ascii="Verdana" w:hAnsi="Verdana"/>
          <w:sz w:val="18"/>
          <w:szCs w:val="18"/>
        </w:rPr>
        <w:t>Zamawiający wymaga by docelowo wdrożone moduły systemu medycznego zintegrowane z systemem medycznym, z którego korzystał dotychczas Zamawiający spełniały następujące warunki:</w:t>
      </w:r>
    </w:p>
    <w:p>
      <w:pPr>
        <w:pStyle w:val="Akapitzlist"/>
        <w:numPr>
          <w:ilvl w:val="0"/>
          <w:numId w:val="58"/>
        </w:numPr>
        <w:spacing w:after="0" w:line="276" w:lineRule="auto"/>
        <w:rPr>
          <w:rFonts w:ascii="Verdana" w:hAnsi="Verdana"/>
          <w:sz w:val="18"/>
          <w:szCs w:val="18"/>
        </w:rPr>
      </w:pPr>
      <w:r>
        <w:rPr>
          <w:rFonts w:ascii="Verdana" w:hAnsi="Verdana"/>
          <w:sz w:val="18"/>
          <w:szCs w:val="18"/>
        </w:rPr>
        <w:t>zapewnienie jednolitego sposobu wprowadzania danych za pomocą jednego interfejsu,</w:t>
      </w:r>
    </w:p>
    <w:p>
      <w:pPr>
        <w:pStyle w:val="Akapitzlist"/>
        <w:numPr>
          <w:ilvl w:val="0"/>
          <w:numId w:val="58"/>
        </w:numPr>
        <w:spacing w:after="0" w:line="276" w:lineRule="auto"/>
        <w:rPr>
          <w:rFonts w:ascii="Verdana" w:hAnsi="Verdana"/>
          <w:sz w:val="18"/>
          <w:szCs w:val="18"/>
        </w:rPr>
      </w:pPr>
      <w:r>
        <w:rPr>
          <w:rFonts w:ascii="Verdana" w:hAnsi="Verdana"/>
          <w:sz w:val="18"/>
          <w:szCs w:val="18"/>
        </w:rPr>
        <w:t>zapewnienie pełnego wykorzystania i dostępu do danych zgromadzonych w obecnie funkcjonującym u Zamawiającego systemie medycznym,</w:t>
      </w:r>
    </w:p>
    <w:p>
      <w:pPr>
        <w:pStyle w:val="Akapitzlist"/>
        <w:numPr>
          <w:ilvl w:val="0"/>
          <w:numId w:val="58"/>
        </w:numPr>
        <w:spacing w:after="0" w:line="276" w:lineRule="auto"/>
        <w:rPr>
          <w:rFonts w:ascii="Verdana" w:hAnsi="Verdana"/>
          <w:sz w:val="18"/>
          <w:szCs w:val="18"/>
        </w:rPr>
      </w:pPr>
      <w:r>
        <w:rPr>
          <w:rFonts w:ascii="Verdana" w:hAnsi="Verdana"/>
          <w:sz w:val="18"/>
          <w:szCs w:val="18"/>
        </w:rPr>
        <w:lastRenderedPageBreak/>
        <w:t>zachowanie ciągłości obecnie stosowanej przez Zamawiającego numeracji dokumentacji medycznej,</w:t>
      </w:r>
    </w:p>
    <w:p>
      <w:pPr>
        <w:pStyle w:val="Akapitzlist"/>
        <w:numPr>
          <w:ilvl w:val="0"/>
          <w:numId w:val="58"/>
        </w:numPr>
        <w:spacing w:after="0" w:line="276" w:lineRule="auto"/>
        <w:rPr>
          <w:rFonts w:ascii="Verdana" w:hAnsi="Verdana"/>
          <w:sz w:val="18"/>
          <w:szCs w:val="18"/>
        </w:rPr>
      </w:pPr>
      <w:r>
        <w:rPr>
          <w:rFonts w:ascii="Verdana" w:hAnsi="Verdana"/>
          <w:sz w:val="18"/>
          <w:szCs w:val="18"/>
        </w:rPr>
        <w:t>zapewnienie jednego modułu/ aplikacji systemu medycznego do prowadzenia sprawozdawczości i rozliczeń z NFZ,</w:t>
      </w:r>
    </w:p>
    <w:p>
      <w:pPr>
        <w:pStyle w:val="Akapitzlist"/>
        <w:numPr>
          <w:ilvl w:val="0"/>
          <w:numId w:val="58"/>
        </w:numPr>
        <w:spacing w:after="0" w:line="276" w:lineRule="auto"/>
        <w:rPr>
          <w:rFonts w:ascii="Verdana" w:hAnsi="Verdana"/>
          <w:sz w:val="18"/>
          <w:szCs w:val="18"/>
        </w:rPr>
      </w:pPr>
      <w:r>
        <w:rPr>
          <w:rFonts w:ascii="Verdana" w:hAnsi="Verdana"/>
          <w:sz w:val="18"/>
          <w:szCs w:val="18"/>
        </w:rPr>
        <w:t>zapewnienie możliwości wykonywania archiwalnych statystyk i raportów,</w:t>
      </w:r>
    </w:p>
    <w:p>
      <w:pPr>
        <w:pStyle w:val="Akapitzlist"/>
        <w:numPr>
          <w:ilvl w:val="0"/>
          <w:numId w:val="58"/>
        </w:numPr>
        <w:spacing w:after="0" w:line="276" w:lineRule="auto"/>
        <w:rPr>
          <w:rFonts w:ascii="Verdana" w:hAnsi="Verdana"/>
          <w:sz w:val="18"/>
          <w:szCs w:val="18"/>
        </w:rPr>
      </w:pPr>
      <w:r>
        <w:rPr>
          <w:rFonts w:ascii="Verdana" w:hAnsi="Verdana"/>
          <w:sz w:val="18"/>
          <w:szCs w:val="18"/>
        </w:rPr>
        <w:t>muszą być wyposażone w zabezpieczenia przed nieautoryzowanym dostępem. Wszystkie moduły systemu medycznego muszą korzystać z baz danych zapewniających odpowiedni poziom bezpieczeństwa gromadzonych danych zgodnie z wymogami prawa. Zabezpieczenia muszą funkcjonować na poziomie Klienta (aplikacja) i Serwera (serwer baz danych);</w:t>
      </w:r>
    </w:p>
    <w:p>
      <w:pPr>
        <w:pStyle w:val="Akapitzlist"/>
        <w:numPr>
          <w:ilvl w:val="0"/>
          <w:numId w:val="58"/>
        </w:numPr>
        <w:spacing w:after="0" w:line="276" w:lineRule="auto"/>
        <w:rPr>
          <w:rFonts w:ascii="Verdana" w:hAnsi="Verdana"/>
          <w:sz w:val="18"/>
          <w:szCs w:val="18"/>
        </w:rPr>
      </w:pPr>
      <w:r>
        <w:rPr>
          <w:rFonts w:ascii="Verdana" w:hAnsi="Verdana"/>
          <w:sz w:val="18"/>
          <w:szCs w:val="18"/>
        </w:rPr>
        <w:t>muszą pozwalać na wykonywanie kopii zapasowych struktur danych w trakcie ich pracy;</w:t>
      </w:r>
    </w:p>
    <w:p>
      <w:pPr>
        <w:pStyle w:val="Akapitzlist"/>
        <w:numPr>
          <w:ilvl w:val="0"/>
          <w:numId w:val="58"/>
        </w:numPr>
        <w:spacing w:after="0" w:line="276" w:lineRule="auto"/>
        <w:rPr>
          <w:rFonts w:ascii="Verdana" w:hAnsi="Verdana"/>
          <w:sz w:val="18"/>
          <w:szCs w:val="18"/>
        </w:rPr>
      </w:pPr>
      <w:r>
        <w:rPr>
          <w:rFonts w:ascii="Verdana" w:hAnsi="Verdana"/>
          <w:sz w:val="18"/>
          <w:szCs w:val="18"/>
        </w:rPr>
        <w:t>muszą posiadać sprawny mechanizm archiwizacji danych i mechanizmy gwarantujące spójność danych. Wymagane jest wzajemne współdziałanie modułów systemu medycznego poprzez powiązania logiczne i korzystanie ze wspólnych danych przechowywanych na serwerach;</w:t>
      </w:r>
    </w:p>
    <w:p>
      <w:pPr>
        <w:pStyle w:val="Akapitzlist"/>
        <w:numPr>
          <w:ilvl w:val="0"/>
          <w:numId w:val="58"/>
        </w:numPr>
        <w:spacing w:after="0" w:line="276" w:lineRule="auto"/>
        <w:rPr>
          <w:rFonts w:ascii="Verdana" w:hAnsi="Verdana"/>
          <w:sz w:val="18"/>
          <w:szCs w:val="18"/>
        </w:rPr>
      </w:pPr>
      <w:r>
        <w:rPr>
          <w:rFonts w:ascii="Verdana" w:hAnsi="Verdana"/>
          <w:sz w:val="18"/>
          <w:szCs w:val="18"/>
        </w:rPr>
        <w:t>muszą współpracować z aplikacjami typu MS Word, MS Excel w zakresie eksportu danych;</w:t>
      </w:r>
    </w:p>
    <w:p>
      <w:pPr>
        <w:pStyle w:val="Akapitzlist"/>
        <w:numPr>
          <w:ilvl w:val="0"/>
          <w:numId w:val="58"/>
        </w:numPr>
        <w:spacing w:after="0" w:line="276" w:lineRule="auto"/>
        <w:rPr>
          <w:rFonts w:ascii="Verdana" w:hAnsi="Verdana"/>
          <w:sz w:val="18"/>
          <w:szCs w:val="18"/>
        </w:rPr>
      </w:pPr>
      <w:r>
        <w:rPr>
          <w:rFonts w:ascii="Verdana" w:hAnsi="Verdana"/>
          <w:sz w:val="18"/>
          <w:szCs w:val="18"/>
        </w:rPr>
        <w:t>muszą zapewniać aktualizację informacji w bazach danych podczas rutynowych czynności wykonywanych na stanowiskach pracy;</w:t>
      </w:r>
    </w:p>
    <w:p>
      <w:pPr>
        <w:pStyle w:val="Akapitzlist"/>
        <w:numPr>
          <w:ilvl w:val="0"/>
          <w:numId w:val="58"/>
        </w:numPr>
        <w:spacing w:after="0" w:line="276" w:lineRule="auto"/>
        <w:rPr>
          <w:rFonts w:ascii="Verdana" w:hAnsi="Verdana"/>
          <w:sz w:val="18"/>
          <w:szCs w:val="18"/>
        </w:rPr>
      </w:pPr>
      <w:r>
        <w:rPr>
          <w:rFonts w:ascii="Verdana" w:hAnsi="Verdana"/>
          <w:sz w:val="18"/>
          <w:szCs w:val="18"/>
        </w:rPr>
        <w:t>winny być w języku polskim i komunikować się z użytkownikiem w języku polskim, udostępniając mu możliwość korzystania z rozbudowanych podpowiedzi;</w:t>
      </w:r>
    </w:p>
    <w:p>
      <w:pPr>
        <w:pStyle w:val="Akapitzlist"/>
        <w:numPr>
          <w:ilvl w:val="0"/>
          <w:numId w:val="58"/>
        </w:numPr>
        <w:spacing w:after="0" w:line="276" w:lineRule="auto"/>
        <w:rPr>
          <w:rFonts w:ascii="Verdana" w:hAnsi="Verdana"/>
          <w:sz w:val="18"/>
          <w:szCs w:val="18"/>
        </w:rPr>
      </w:pPr>
      <w:r>
        <w:rPr>
          <w:rFonts w:ascii="Verdana" w:hAnsi="Verdana"/>
          <w:sz w:val="18"/>
          <w:szCs w:val="18"/>
        </w:rPr>
        <w:t>winny posiadać dokumentację w języku polskim – instrukcję obsługi każdego dostarczanego modułu systemu medycznego dla użytkownika (w wersji elektronicznej) pozwalającą na samodzielną naukę obsługi każdego modułu. Wykonawca dostarczy do wszystkich komórek organizacyjnych Zamawiającego ww. dokumentację w wersji elektronicznej w języku polskim.</w:t>
      </w:r>
    </w:p>
    <w:p>
      <w:pPr>
        <w:pStyle w:val="Akapitzlist"/>
        <w:numPr>
          <w:ilvl w:val="0"/>
          <w:numId w:val="55"/>
        </w:numPr>
        <w:spacing w:after="0" w:line="276" w:lineRule="auto"/>
        <w:rPr>
          <w:rFonts w:ascii="Verdana" w:hAnsi="Verdana"/>
          <w:sz w:val="18"/>
          <w:szCs w:val="18"/>
        </w:rPr>
      </w:pPr>
      <w:r>
        <w:rPr>
          <w:rFonts w:ascii="Verdana" w:hAnsi="Verdana"/>
          <w:sz w:val="18"/>
          <w:szCs w:val="18"/>
        </w:rPr>
        <w:t xml:space="preserve">Zamawiający wymaga, aby moduł/y był/y zainstalowany/wdrożony/zintegrowany w ramach istniejącej instalacji Szpitalnego Systemu Medycznego  z uwzględnieniem posiadanej konfiguracji, oraz zapewni ciągłość pracy systemów. </w:t>
      </w:r>
    </w:p>
    <w:p>
      <w:pPr>
        <w:pStyle w:val="Akapitzlist"/>
        <w:numPr>
          <w:ilvl w:val="0"/>
          <w:numId w:val="55"/>
        </w:numPr>
        <w:spacing w:after="0" w:line="276" w:lineRule="auto"/>
        <w:rPr>
          <w:rFonts w:ascii="Verdana" w:hAnsi="Verdana"/>
          <w:sz w:val="18"/>
          <w:szCs w:val="18"/>
        </w:rPr>
      </w:pPr>
      <w:r>
        <w:rPr>
          <w:rFonts w:ascii="Verdana" w:hAnsi="Verdana"/>
          <w:sz w:val="18"/>
          <w:szCs w:val="18"/>
        </w:rPr>
        <w:t>Oprogramowanie powinno posiadać interfejs w języku polskim.</w:t>
      </w:r>
    </w:p>
    <w:p>
      <w:pPr>
        <w:pStyle w:val="Akapitzlist"/>
        <w:numPr>
          <w:ilvl w:val="0"/>
          <w:numId w:val="55"/>
        </w:numPr>
        <w:spacing w:after="0" w:line="276" w:lineRule="auto"/>
        <w:rPr>
          <w:rFonts w:ascii="Verdana" w:hAnsi="Verdana"/>
          <w:sz w:val="18"/>
          <w:szCs w:val="18"/>
        </w:rPr>
      </w:pPr>
      <w:r>
        <w:rPr>
          <w:rFonts w:ascii="Verdana" w:hAnsi="Verdana"/>
          <w:sz w:val="18"/>
          <w:szCs w:val="18"/>
        </w:rPr>
        <w:t>Wymagane jest, aby uruchomienie zakończyło się szkoleniem z zakresu obsługi dla Użytkownika.</w:t>
      </w:r>
    </w:p>
    <w:p>
      <w:pPr>
        <w:pStyle w:val="Akapitzlist"/>
        <w:numPr>
          <w:ilvl w:val="0"/>
          <w:numId w:val="55"/>
        </w:numPr>
        <w:spacing w:after="0" w:line="276" w:lineRule="auto"/>
        <w:rPr>
          <w:rFonts w:ascii="Verdana" w:hAnsi="Verdana"/>
          <w:sz w:val="18"/>
          <w:szCs w:val="18"/>
        </w:rPr>
      </w:pPr>
      <w:r>
        <w:rPr>
          <w:rFonts w:ascii="Verdana" w:hAnsi="Verdana"/>
          <w:sz w:val="18"/>
          <w:szCs w:val="18"/>
        </w:rPr>
        <w:t>Wykonawca musi być producentem lub posiadać aktualną autoryzację producenta oprogramowania uprawniającą do świadczenia usług wdrożeniowych oraz serwisowych</w:t>
      </w:r>
    </w:p>
    <w:p>
      <w:pPr>
        <w:pStyle w:val="Akapitzlist"/>
        <w:numPr>
          <w:ilvl w:val="0"/>
          <w:numId w:val="54"/>
        </w:numPr>
        <w:spacing w:after="0" w:line="276" w:lineRule="auto"/>
        <w:rPr>
          <w:rFonts w:ascii="Verdana" w:hAnsi="Verdana"/>
          <w:sz w:val="18"/>
          <w:szCs w:val="18"/>
        </w:rPr>
      </w:pPr>
      <w:r>
        <w:rPr>
          <w:rFonts w:ascii="Verdana" w:hAnsi="Verdana"/>
          <w:sz w:val="18"/>
          <w:szCs w:val="18"/>
        </w:rPr>
        <w:t>Dostawa, instalacja, konfiguracja i wdrożenie Oprogramowania aplikacyjnego</w:t>
      </w:r>
    </w:p>
    <w:p>
      <w:pPr>
        <w:pStyle w:val="Akapitzlist"/>
        <w:numPr>
          <w:ilvl w:val="0"/>
          <w:numId w:val="59"/>
        </w:numPr>
        <w:spacing w:after="0" w:line="276" w:lineRule="auto"/>
        <w:rPr>
          <w:rFonts w:ascii="Verdana" w:hAnsi="Verdana"/>
          <w:sz w:val="18"/>
          <w:szCs w:val="18"/>
        </w:rPr>
      </w:pPr>
      <w:r>
        <w:rPr>
          <w:rFonts w:ascii="Verdana" w:hAnsi="Verdana"/>
          <w:sz w:val="18"/>
          <w:szCs w:val="18"/>
        </w:rPr>
        <w:t>Zadanie dostawy, instalacji, konfiguracji i wdrożenia Oprogramowania aplikacyjnego obejmuje dostarczany w ramach realizacji zamówienia system HIS</w:t>
      </w:r>
    </w:p>
    <w:p>
      <w:pPr>
        <w:pStyle w:val="Akapitzlist"/>
        <w:numPr>
          <w:ilvl w:val="0"/>
          <w:numId w:val="59"/>
        </w:numPr>
        <w:spacing w:after="0" w:line="276" w:lineRule="auto"/>
        <w:rPr>
          <w:rFonts w:ascii="Verdana" w:hAnsi="Verdana"/>
          <w:sz w:val="18"/>
          <w:szCs w:val="18"/>
        </w:rPr>
      </w:pPr>
      <w:r>
        <w:rPr>
          <w:rFonts w:ascii="Verdana" w:hAnsi="Verdana"/>
          <w:sz w:val="18"/>
          <w:szCs w:val="18"/>
        </w:rPr>
        <w:t xml:space="preserve">Dostawa i instalacja mają być wykonana w lokalizacji Zamawiającego. </w:t>
      </w:r>
    </w:p>
    <w:p>
      <w:pPr>
        <w:pStyle w:val="Akapitzlist"/>
        <w:numPr>
          <w:ilvl w:val="0"/>
          <w:numId w:val="59"/>
        </w:numPr>
        <w:spacing w:after="0" w:line="276" w:lineRule="auto"/>
        <w:rPr>
          <w:rFonts w:ascii="Verdana" w:hAnsi="Verdana"/>
          <w:sz w:val="18"/>
          <w:szCs w:val="18"/>
        </w:rPr>
      </w:pPr>
      <w:r>
        <w:rPr>
          <w:rFonts w:ascii="Verdana" w:hAnsi="Verdana"/>
          <w:sz w:val="18"/>
          <w:szCs w:val="18"/>
        </w:rPr>
        <w:t>Po zakończeniu prac instalacyjnych Oprogramowanie musi zostać skonfigurowane i wdrożone w sposób tzw. „pod klucz” oraz tak, aby oferowało funkcjonalności opisane w SWZ oraz zgodnie z Dokumentacją.</w:t>
      </w:r>
    </w:p>
    <w:p>
      <w:pPr>
        <w:pStyle w:val="Akapitzlist"/>
        <w:numPr>
          <w:ilvl w:val="0"/>
          <w:numId w:val="59"/>
        </w:numPr>
        <w:spacing w:after="0" w:line="276" w:lineRule="auto"/>
        <w:rPr>
          <w:rFonts w:ascii="Verdana" w:hAnsi="Verdana"/>
          <w:sz w:val="18"/>
          <w:szCs w:val="18"/>
        </w:rPr>
      </w:pPr>
      <w:r>
        <w:rPr>
          <w:rFonts w:ascii="Verdana" w:hAnsi="Verdana"/>
          <w:sz w:val="18"/>
          <w:szCs w:val="18"/>
        </w:rPr>
        <w:t>Oprogramowanie aplikacyjne musi zostać zainstalowane przez Wykonawcę w szczególności z wykorzystaniem Sprzętu i w środowiskach informatycznych Zamawiającego. Oprogramowanie aplikacyjne musi zostać zainstalowane i skonfigurowane w sposób tzw. „pod klucz” na wszystkich wskazanych stanowiskach komputerowych Podmiotu Leczniczego.</w:t>
      </w:r>
    </w:p>
    <w:p>
      <w:pPr>
        <w:pStyle w:val="Akapitzlist"/>
        <w:numPr>
          <w:ilvl w:val="0"/>
          <w:numId w:val="59"/>
        </w:numPr>
        <w:spacing w:after="0" w:line="276" w:lineRule="auto"/>
        <w:rPr>
          <w:rFonts w:ascii="Verdana" w:hAnsi="Verdana"/>
          <w:sz w:val="18"/>
          <w:szCs w:val="18"/>
        </w:rPr>
      </w:pPr>
      <w:r>
        <w:rPr>
          <w:rFonts w:ascii="Verdana" w:hAnsi="Verdana"/>
          <w:sz w:val="18"/>
          <w:szCs w:val="18"/>
        </w:rPr>
        <w:t xml:space="preserve">Oprogramowanie aplikacyjne musi zostać zainstalowane w taki sposób aby zachować w całości dotychczasowe integracje z oprogramowaniem posiadanym przez Szpital w szczególności obejmujące zakres integracji, interfejsy integracji oraz model wymiany danych. </w:t>
      </w:r>
    </w:p>
    <w:p>
      <w:pPr>
        <w:pStyle w:val="Akapitzlist"/>
        <w:numPr>
          <w:ilvl w:val="0"/>
          <w:numId w:val="54"/>
        </w:numPr>
        <w:spacing w:after="0" w:line="276" w:lineRule="auto"/>
        <w:rPr>
          <w:rFonts w:ascii="Verdana" w:hAnsi="Verdana"/>
          <w:sz w:val="18"/>
          <w:szCs w:val="18"/>
        </w:rPr>
      </w:pPr>
      <w:r>
        <w:rPr>
          <w:rFonts w:ascii="Verdana" w:hAnsi="Verdana"/>
          <w:sz w:val="18"/>
          <w:szCs w:val="18"/>
        </w:rPr>
        <w:t>Instruktaże stanowiskowe</w:t>
      </w:r>
    </w:p>
    <w:p>
      <w:pPr>
        <w:pStyle w:val="Akapitzlist"/>
        <w:numPr>
          <w:ilvl w:val="0"/>
          <w:numId w:val="60"/>
        </w:numPr>
        <w:spacing w:after="0" w:line="276" w:lineRule="auto"/>
        <w:rPr>
          <w:rFonts w:ascii="Verdana" w:hAnsi="Verdana"/>
          <w:sz w:val="18"/>
          <w:szCs w:val="18"/>
        </w:rPr>
      </w:pPr>
      <w:r>
        <w:rPr>
          <w:rFonts w:ascii="Verdana" w:hAnsi="Verdana"/>
          <w:sz w:val="18"/>
          <w:szCs w:val="18"/>
        </w:rPr>
        <w:t xml:space="preserve">Wykonawca zaplanuje w uzgodnieniu z Przedstawicielem Zamawiającego Instruktaże stanowiskowe. Instruktaże stanowiskowe zostaną przeprowadzone w miejscach instalacji Oprogramowania z zakresu obsługi, administracji i utrzymania.  </w:t>
      </w:r>
    </w:p>
    <w:p>
      <w:pPr>
        <w:pStyle w:val="Akapitzlist"/>
        <w:numPr>
          <w:ilvl w:val="0"/>
          <w:numId w:val="60"/>
        </w:numPr>
        <w:spacing w:after="0" w:line="276" w:lineRule="auto"/>
        <w:rPr>
          <w:rFonts w:ascii="Verdana" w:hAnsi="Verdana"/>
          <w:sz w:val="18"/>
          <w:szCs w:val="18"/>
        </w:rPr>
      </w:pPr>
      <w:r>
        <w:rPr>
          <w:rFonts w:ascii="Verdana" w:hAnsi="Verdana"/>
          <w:sz w:val="18"/>
          <w:szCs w:val="18"/>
        </w:rPr>
        <w:lastRenderedPageBreak/>
        <w:t>Instruktaże stanowiskowe będą prowadzone w języku polskim i obejmą w szczególności:</w:t>
      </w:r>
    </w:p>
    <w:p>
      <w:pPr>
        <w:pStyle w:val="Akapitzlist"/>
        <w:numPr>
          <w:ilvl w:val="0"/>
          <w:numId w:val="61"/>
        </w:numPr>
        <w:spacing w:after="0" w:line="276" w:lineRule="auto"/>
        <w:rPr>
          <w:rFonts w:ascii="Verdana" w:hAnsi="Verdana"/>
          <w:sz w:val="18"/>
          <w:szCs w:val="18"/>
        </w:rPr>
      </w:pPr>
      <w:r>
        <w:rPr>
          <w:rFonts w:ascii="Verdana" w:hAnsi="Verdana"/>
          <w:sz w:val="18"/>
          <w:szCs w:val="18"/>
        </w:rPr>
        <w:t xml:space="preserve">pomoc użytkownikom w korzystaniu z Oprogramowania w miejscu instalacji, </w:t>
      </w:r>
    </w:p>
    <w:p>
      <w:pPr>
        <w:pStyle w:val="Akapitzlist"/>
        <w:numPr>
          <w:ilvl w:val="0"/>
          <w:numId w:val="61"/>
        </w:numPr>
        <w:spacing w:after="0" w:line="276" w:lineRule="auto"/>
        <w:rPr>
          <w:rFonts w:ascii="Verdana" w:hAnsi="Verdana"/>
          <w:sz w:val="18"/>
          <w:szCs w:val="18"/>
        </w:rPr>
      </w:pPr>
      <w:r>
        <w:rPr>
          <w:rFonts w:ascii="Verdana" w:hAnsi="Verdana"/>
          <w:sz w:val="18"/>
          <w:szCs w:val="18"/>
        </w:rPr>
        <w:t xml:space="preserve">pomoc w administracji i konfiguracji Systemu, </w:t>
      </w:r>
    </w:p>
    <w:p>
      <w:pPr>
        <w:pStyle w:val="Akapitzlist"/>
        <w:numPr>
          <w:ilvl w:val="0"/>
          <w:numId w:val="61"/>
        </w:numPr>
        <w:spacing w:after="0" w:line="276" w:lineRule="auto"/>
        <w:rPr>
          <w:rFonts w:ascii="Verdana" w:hAnsi="Verdana"/>
          <w:sz w:val="18"/>
          <w:szCs w:val="18"/>
        </w:rPr>
      </w:pPr>
      <w:r>
        <w:rPr>
          <w:rFonts w:ascii="Verdana" w:hAnsi="Verdana"/>
          <w:sz w:val="18"/>
          <w:szCs w:val="18"/>
        </w:rPr>
        <w:t xml:space="preserve">wykonywanie dodatkowych prac konfiguracyjnych, </w:t>
      </w:r>
    </w:p>
    <w:p>
      <w:pPr>
        <w:pStyle w:val="Akapitzlist"/>
        <w:numPr>
          <w:ilvl w:val="0"/>
          <w:numId w:val="61"/>
        </w:numPr>
        <w:spacing w:after="0" w:line="276" w:lineRule="auto"/>
        <w:rPr>
          <w:rFonts w:ascii="Verdana" w:hAnsi="Verdana"/>
          <w:sz w:val="18"/>
          <w:szCs w:val="18"/>
        </w:rPr>
      </w:pPr>
      <w:r>
        <w:rPr>
          <w:rFonts w:ascii="Verdana" w:hAnsi="Verdana"/>
          <w:sz w:val="18"/>
          <w:szCs w:val="18"/>
        </w:rPr>
        <w:t>konsultacje.</w:t>
      </w:r>
    </w:p>
    <w:p>
      <w:pPr>
        <w:pStyle w:val="Akapitzlist"/>
        <w:numPr>
          <w:ilvl w:val="0"/>
          <w:numId w:val="60"/>
        </w:numPr>
        <w:spacing w:after="0" w:line="276" w:lineRule="auto"/>
        <w:rPr>
          <w:rFonts w:ascii="Verdana" w:hAnsi="Verdana"/>
          <w:sz w:val="18"/>
          <w:szCs w:val="18"/>
        </w:rPr>
      </w:pPr>
      <w:r>
        <w:rPr>
          <w:rFonts w:ascii="Verdana" w:hAnsi="Verdana"/>
          <w:sz w:val="18"/>
          <w:szCs w:val="18"/>
        </w:rPr>
        <w:t xml:space="preserve">Instruktaże stanowiskowe będą prowadzone w dwóch kategoriach: </w:t>
      </w:r>
    </w:p>
    <w:p>
      <w:pPr>
        <w:pStyle w:val="Akapitzlist"/>
        <w:numPr>
          <w:ilvl w:val="0"/>
          <w:numId w:val="62"/>
        </w:numPr>
        <w:spacing w:after="0" w:line="276" w:lineRule="auto"/>
        <w:rPr>
          <w:rFonts w:ascii="Verdana" w:hAnsi="Verdana"/>
          <w:sz w:val="18"/>
          <w:szCs w:val="18"/>
        </w:rPr>
      </w:pPr>
      <w:r>
        <w:rPr>
          <w:rFonts w:ascii="Verdana" w:hAnsi="Verdana"/>
          <w:sz w:val="18"/>
          <w:szCs w:val="18"/>
        </w:rPr>
        <w:t xml:space="preserve">dla użytkowników Oprogramowania aplikacyjnego, </w:t>
      </w:r>
    </w:p>
    <w:p>
      <w:pPr>
        <w:pStyle w:val="Akapitzlist"/>
        <w:numPr>
          <w:ilvl w:val="0"/>
          <w:numId w:val="62"/>
        </w:numPr>
        <w:spacing w:after="0" w:line="276" w:lineRule="auto"/>
        <w:rPr>
          <w:rFonts w:ascii="Verdana" w:hAnsi="Verdana"/>
          <w:sz w:val="18"/>
          <w:szCs w:val="18"/>
        </w:rPr>
      </w:pPr>
      <w:r>
        <w:rPr>
          <w:rFonts w:ascii="Verdana" w:hAnsi="Verdana"/>
          <w:sz w:val="18"/>
          <w:szCs w:val="18"/>
        </w:rPr>
        <w:t>dla administratorów technicznych - wyznaczonych spośród pracowników Zamawiających, obejmujących zakres konfiguracji i użytkowania HIS oraz nadzoru nad użytkownikami oraz  wydawania uprawnień (poświadczeń/certyfikatów),</w:t>
      </w:r>
    </w:p>
    <w:p>
      <w:pPr>
        <w:pStyle w:val="Akapitzlist"/>
        <w:numPr>
          <w:ilvl w:val="0"/>
          <w:numId w:val="60"/>
        </w:numPr>
        <w:spacing w:after="0" w:line="276" w:lineRule="auto"/>
        <w:rPr>
          <w:rFonts w:ascii="Verdana" w:hAnsi="Verdana"/>
          <w:sz w:val="18"/>
          <w:szCs w:val="18"/>
        </w:rPr>
      </w:pPr>
      <w:r>
        <w:rPr>
          <w:rFonts w:ascii="Verdana" w:hAnsi="Verdana"/>
          <w:sz w:val="18"/>
          <w:szCs w:val="18"/>
        </w:rPr>
        <w:t>Wykonawca winien w ramach oferty uwzględnić poniższą ilość godzin szkoleniowych:</w:t>
      </w:r>
    </w:p>
    <w:p>
      <w:pPr>
        <w:pStyle w:val="Akapitzlist"/>
        <w:numPr>
          <w:ilvl w:val="0"/>
          <w:numId w:val="63"/>
        </w:numPr>
        <w:spacing w:after="0" w:line="276" w:lineRule="auto"/>
        <w:rPr>
          <w:rFonts w:ascii="Verdana" w:hAnsi="Verdana"/>
          <w:sz w:val="18"/>
          <w:szCs w:val="18"/>
        </w:rPr>
      </w:pPr>
      <w:r>
        <w:rPr>
          <w:rFonts w:ascii="Verdana" w:hAnsi="Verdana"/>
          <w:sz w:val="18"/>
          <w:szCs w:val="18"/>
        </w:rPr>
        <w:t>Dla użytkowników oprogramowania aplikacyjnego, szacowana liczba godzin szkoleniowych dla wszystkich dostarczanych modułów/systemów: do 100 godz.</w:t>
      </w:r>
    </w:p>
    <w:p>
      <w:pPr>
        <w:pStyle w:val="Akapitzlist"/>
        <w:numPr>
          <w:ilvl w:val="0"/>
          <w:numId w:val="63"/>
        </w:numPr>
        <w:spacing w:after="0" w:line="276" w:lineRule="auto"/>
        <w:rPr>
          <w:rFonts w:ascii="Verdana" w:hAnsi="Verdana"/>
          <w:sz w:val="18"/>
          <w:szCs w:val="18"/>
        </w:rPr>
      </w:pPr>
      <w:r>
        <w:rPr>
          <w:rFonts w:ascii="Verdana" w:hAnsi="Verdana"/>
          <w:sz w:val="18"/>
          <w:szCs w:val="18"/>
        </w:rPr>
        <w:t>dla administratorów technicznych szacowana liczba godzin szkoleniowych dla wszystkich dostarczanych modułów/systemów: do 50 godz.</w:t>
      </w:r>
    </w:p>
    <w:p>
      <w:pPr>
        <w:pStyle w:val="Akapitzlist"/>
        <w:numPr>
          <w:ilvl w:val="0"/>
          <w:numId w:val="60"/>
        </w:numPr>
        <w:spacing w:after="0" w:line="276" w:lineRule="auto"/>
        <w:rPr>
          <w:rFonts w:ascii="Verdana" w:hAnsi="Verdana"/>
          <w:sz w:val="18"/>
          <w:szCs w:val="18"/>
        </w:rPr>
      </w:pPr>
      <w:r>
        <w:rPr>
          <w:rFonts w:ascii="Verdana" w:hAnsi="Verdana"/>
          <w:sz w:val="18"/>
          <w:szCs w:val="18"/>
        </w:rPr>
        <w:t>Wykonawca wykona i uzgodni z Zamawiającymi plan instruktaży stanowiskowych w etapie wykonania Dokumentacji Analizy Przedwdrożeniowej.</w:t>
      </w:r>
    </w:p>
    <w:p>
      <w:pPr>
        <w:pStyle w:val="Akapitzlist"/>
        <w:numPr>
          <w:ilvl w:val="0"/>
          <w:numId w:val="60"/>
        </w:numPr>
        <w:spacing w:after="0" w:line="276" w:lineRule="auto"/>
        <w:rPr>
          <w:rFonts w:ascii="Verdana" w:hAnsi="Verdana"/>
          <w:sz w:val="18"/>
          <w:szCs w:val="18"/>
        </w:rPr>
      </w:pPr>
      <w:r>
        <w:rPr>
          <w:rFonts w:ascii="Verdana" w:hAnsi="Verdana"/>
          <w:sz w:val="18"/>
          <w:szCs w:val="18"/>
        </w:rPr>
        <w:t>Po ukończeniu instruktaży stanowiskowych uczestnicy mają w szczególności umieć posługiwać się Oprogramowaniem i jego modułami odpowiednio do swojej roli, a także znać i rozumieć ich funkcjonowanie w Systemie.</w:t>
      </w:r>
    </w:p>
    <w:p>
      <w:pPr>
        <w:pStyle w:val="Akapitzlist"/>
        <w:numPr>
          <w:ilvl w:val="0"/>
          <w:numId w:val="60"/>
        </w:numPr>
        <w:spacing w:after="0" w:line="276" w:lineRule="auto"/>
        <w:rPr>
          <w:rFonts w:ascii="Verdana" w:hAnsi="Verdana"/>
          <w:sz w:val="18"/>
          <w:szCs w:val="18"/>
        </w:rPr>
      </w:pPr>
      <w:r>
        <w:rPr>
          <w:rFonts w:ascii="Verdana" w:hAnsi="Verdana"/>
          <w:sz w:val="18"/>
          <w:szCs w:val="18"/>
        </w:rPr>
        <w:t>Administratorzy techniczni po zakończeniu instruktaży muszą w szczególności umieć wykonywać czynności administracji, a także instalacji Oprogramowania aplikacyjnego,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dostarczone Oprogramowanie, jak również znać jego wdrożoną konfigurację.</w:t>
      </w:r>
    </w:p>
    <w:p>
      <w:pPr>
        <w:pStyle w:val="Akapitzlist"/>
        <w:numPr>
          <w:ilvl w:val="0"/>
          <w:numId w:val="60"/>
        </w:numPr>
        <w:spacing w:after="0" w:line="276" w:lineRule="auto"/>
        <w:rPr>
          <w:rFonts w:ascii="Verdana" w:hAnsi="Verdana"/>
          <w:sz w:val="18"/>
          <w:szCs w:val="18"/>
        </w:rPr>
      </w:pPr>
      <w:r>
        <w:rPr>
          <w:rFonts w:ascii="Verdana" w:hAnsi="Verdana"/>
          <w:sz w:val="18"/>
          <w:szCs w:val="18"/>
        </w:rPr>
        <w:t>W przypadku potrzeby Zamawiający zapewni we własnym zakresie pomieszczenia dla przeprowadzenia Instruktaży stanowiskowych. Wykonawca może realizować Instruktaże stanowiskowe również na stanowiskach pracy pracowników oraz zdalnie przy użyciu środków komunikacji typu Skype itp.</w:t>
      </w:r>
    </w:p>
    <w:p>
      <w:pPr>
        <w:pStyle w:val="Akapitzlist"/>
        <w:numPr>
          <w:ilvl w:val="0"/>
          <w:numId w:val="54"/>
        </w:numPr>
        <w:spacing w:after="0" w:line="276" w:lineRule="auto"/>
        <w:rPr>
          <w:rFonts w:ascii="Verdana" w:hAnsi="Verdana"/>
          <w:sz w:val="18"/>
          <w:szCs w:val="18"/>
        </w:rPr>
      </w:pPr>
      <w:r>
        <w:rPr>
          <w:rFonts w:ascii="Verdana" w:hAnsi="Verdana"/>
          <w:sz w:val="18"/>
          <w:szCs w:val="18"/>
        </w:rPr>
        <w:t>Testy</w:t>
      </w:r>
    </w:p>
    <w:p>
      <w:pPr>
        <w:pStyle w:val="Akapitzlist"/>
        <w:numPr>
          <w:ilvl w:val="0"/>
          <w:numId w:val="64"/>
        </w:numPr>
        <w:spacing w:after="0" w:line="276" w:lineRule="auto"/>
        <w:rPr>
          <w:rFonts w:ascii="Verdana" w:hAnsi="Verdana"/>
          <w:sz w:val="18"/>
          <w:szCs w:val="18"/>
        </w:rPr>
      </w:pPr>
      <w:r>
        <w:rPr>
          <w:rFonts w:ascii="Verdana" w:hAnsi="Verdana"/>
          <w:sz w:val="18"/>
          <w:szCs w:val="18"/>
        </w:rPr>
        <w:t>W ramach tego zadania zostaną przeprowadzone wszystkie testy opisane w Dokumentacji. Celem testów jest weryfikacja przez Zamawiającego,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w:t>
      </w:r>
    </w:p>
    <w:p>
      <w:pPr>
        <w:pStyle w:val="Akapitzlist"/>
        <w:numPr>
          <w:ilvl w:val="0"/>
          <w:numId w:val="64"/>
        </w:numPr>
        <w:spacing w:after="0" w:line="276" w:lineRule="auto"/>
        <w:rPr>
          <w:rFonts w:ascii="Verdana" w:hAnsi="Verdana"/>
          <w:sz w:val="18"/>
          <w:szCs w:val="18"/>
        </w:rPr>
      </w:pPr>
      <w:r>
        <w:rPr>
          <w:rFonts w:ascii="Verdana" w:hAnsi="Verdana"/>
          <w:sz w:val="18"/>
          <w:szCs w:val="18"/>
        </w:rPr>
        <w:t>Pozytywne zakończenie testów wraz z ewentualnym usunięciem wskazanych Błędów Aplikacji jest niezbędne, aby dla poszczególnych Komponentów oraz całego Przedmiotu Zamówienia dokonać odbiorów w ramach Odbioru Końcowego.</w:t>
      </w:r>
    </w:p>
    <w:p>
      <w:pPr>
        <w:pStyle w:val="Akapitzlist"/>
        <w:numPr>
          <w:ilvl w:val="0"/>
          <w:numId w:val="54"/>
        </w:numPr>
        <w:spacing w:after="0" w:line="276" w:lineRule="auto"/>
        <w:rPr>
          <w:rFonts w:ascii="Verdana" w:hAnsi="Verdana"/>
          <w:sz w:val="18"/>
          <w:szCs w:val="18"/>
        </w:rPr>
      </w:pPr>
      <w:r>
        <w:rPr>
          <w:rFonts w:ascii="Verdana" w:hAnsi="Verdana"/>
          <w:sz w:val="18"/>
          <w:szCs w:val="18"/>
        </w:rPr>
        <w:t>Dodatkowe zobowiązania Wykonawcy</w:t>
      </w:r>
    </w:p>
    <w:p>
      <w:pPr>
        <w:pStyle w:val="Akapitzlist"/>
        <w:numPr>
          <w:ilvl w:val="0"/>
          <w:numId w:val="74"/>
        </w:numPr>
        <w:spacing w:after="0" w:line="276" w:lineRule="auto"/>
        <w:rPr>
          <w:rFonts w:ascii="Verdana" w:hAnsi="Verdana"/>
          <w:sz w:val="18"/>
          <w:szCs w:val="18"/>
        </w:rPr>
      </w:pPr>
      <w:r>
        <w:rPr>
          <w:rFonts w:ascii="Verdana" w:hAnsi="Verdana"/>
          <w:sz w:val="18"/>
          <w:szCs w:val="18"/>
        </w:rPr>
        <w:t>Oferowane rozwiązanie ma być rozwiązaniem działającym, gotowym do wdrożenia i zapewniającym realizację wszystkich wymaganych w SWZ i OPZ funkcjonalności na dzień składania ofert. Rozwiązanie nie może być w fazie budowy, testów, projektowania itp.</w:t>
      </w:r>
    </w:p>
    <w:p>
      <w:pPr>
        <w:pStyle w:val="Akapitzlist"/>
        <w:numPr>
          <w:ilvl w:val="0"/>
          <w:numId w:val="74"/>
        </w:numPr>
        <w:spacing w:after="0" w:line="276" w:lineRule="auto"/>
        <w:rPr>
          <w:rFonts w:ascii="Verdana" w:hAnsi="Verdana"/>
          <w:sz w:val="18"/>
          <w:szCs w:val="18"/>
        </w:rPr>
      </w:pPr>
      <w:r>
        <w:rPr>
          <w:rFonts w:ascii="Verdana" w:hAnsi="Verdana"/>
          <w:sz w:val="18"/>
          <w:szCs w:val="18"/>
        </w:rPr>
        <w:t xml:space="preserve">Wykonanie Przedmiotu Zamówienia z efektywnością oraz zgodnie z praktyką i wiedzą zawodową. </w:t>
      </w:r>
    </w:p>
    <w:p>
      <w:pPr>
        <w:pStyle w:val="Akapitzlist"/>
        <w:numPr>
          <w:ilvl w:val="0"/>
          <w:numId w:val="74"/>
        </w:numPr>
        <w:spacing w:after="0" w:line="276" w:lineRule="auto"/>
        <w:rPr>
          <w:rFonts w:ascii="Verdana" w:hAnsi="Verdana"/>
          <w:sz w:val="18"/>
          <w:szCs w:val="18"/>
        </w:rPr>
      </w:pPr>
      <w:r>
        <w:rPr>
          <w:rFonts w:ascii="Verdana" w:hAnsi="Verdana"/>
          <w:sz w:val="18"/>
          <w:szCs w:val="18"/>
        </w:rPr>
        <w:t xml:space="preserve">Wykonanie w całości Przedmiotu Zamówienia w zakresie określonym w Umowie i SWZ. </w:t>
      </w:r>
    </w:p>
    <w:p>
      <w:pPr>
        <w:pStyle w:val="Akapitzlist"/>
        <w:numPr>
          <w:ilvl w:val="0"/>
          <w:numId w:val="74"/>
        </w:numPr>
        <w:spacing w:after="0" w:line="276" w:lineRule="auto"/>
        <w:rPr>
          <w:rFonts w:ascii="Verdana" w:hAnsi="Verdana"/>
          <w:sz w:val="18"/>
          <w:szCs w:val="18"/>
        </w:rPr>
      </w:pPr>
      <w:r>
        <w:rPr>
          <w:rFonts w:ascii="Verdana" w:hAnsi="Verdana"/>
          <w:sz w:val="18"/>
          <w:szCs w:val="18"/>
        </w:rPr>
        <w:t xml:space="preserve">Dokonanie z Zamawiającym wszelkich koniecznych ustaleń mogących wpływać na zakres i sposób realizacji Przedmiotu Zamówienia oraz ciągła współpraca z Zamawiającym na każdym etapie realizacji. </w:t>
      </w:r>
    </w:p>
    <w:p>
      <w:pPr>
        <w:pStyle w:val="Akapitzlist"/>
        <w:numPr>
          <w:ilvl w:val="0"/>
          <w:numId w:val="74"/>
        </w:numPr>
        <w:spacing w:after="0" w:line="276" w:lineRule="auto"/>
        <w:rPr>
          <w:rFonts w:ascii="Verdana" w:hAnsi="Verdana"/>
          <w:sz w:val="18"/>
          <w:szCs w:val="18"/>
        </w:rPr>
      </w:pPr>
      <w:r>
        <w:rPr>
          <w:rFonts w:ascii="Verdana" w:hAnsi="Verdana"/>
          <w:sz w:val="18"/>
          <w:szCs w:val="18"/>
        </w:rPr>
        <w:t>Stosowanie się do wytycznych i polityk bezpieczeństwa informacji u Zamawiającego.</w:t>
      </w:r>
    </w:p>
    <w:p>
      <w:pPr>
        <w:pStyle w:val="Akapitzlist"/>
        <w:numPr>
          <w:ilvl w:val="0"/>
          <w:numId w:val="74"/>
        </w:numPr>
        <w:spacing w:after="0" w:line="276" w:lineRule="auto"/>
        <w:rPr>
          <w:rFonts w:ascii="Verdana" w:hAnsi="Verdana"/>
          <w:sz w:val="18"/>
          <w:szCs w:val="18"/>
        </w:rPr>
      </w:pPr>
      <w:r>
        <w:rPr>
          <w:rFonts w:ascii="Verdana" w:hAnsi="Verdana"/>
          <w:sz w:val="18"/>
          <w:szCs w:val="18"/>
        </w:rPr>
        <w:t xml:space="preserve">Udzielanie na każde żądanie Zamawiającego pełnej informacji na temat stanu realizacji Przedmiotu Zamówienia. </w:t>
      </w:r>
    </w:p>
    <w:p>
      <w:pPr>
        <w:pStyle w:val="Akapitzlist"/>
        <w:numPr>
          <w:ilvl w:val="0"/>
          <w:numId w:val="74"/>
        </w:numPr>
        <w:spacing w:after="0" w:line="276" w:lineRule="auto"/>
        <w:rPr>
          <w:rFonts w:ascii="Verdana" w:hAnsi="Verdana"/>
          <w:sz w:val="18"/>
          <w:szCs w:val="18"/>
        </w:rPr>
      </w:pPr>
      <w:r>
        <w:rPr>
          <w:rFonts w:ascii="Verdana" w:hAnsi="Verdana"/>
          <w:sz w:val="18"/>
          <w:szCs w:val="18"/>
        </w:rPr>
        <w:t xml:space="preserve">Współdziałanie z osobami wskazanymi przez Zamawiającego. </w:t>
      </w:r>
    </w:p>
    <w:p>
      <w:pPr>
        <w:pStyle w:val="Akapitzlist"/>
        <w:numPr>
          <w:ilvl w:val="0"/>
          <w:numId w:val="54"/>
        </w:numPr>
        <w:spacing w:after="0" w:line="276" w:lineRule="auto"/>
        <w:rPr>
          <w:rFonts w:ascii="Verdana" w:hAnsi="Verdana"/>
          <w:sz w:val="18"/>
          <w:szCs w:val="18"/>
        </w:rPr>
      </w:pPr>
      <w:r>
        <w:rPr>
          <w:rFonts w:ascii="Verdana" w:hAnsi="Verdana"/>
          <w:sz w:val="18"/>
          <w:szCs w:val="18"/>
        </w:rPr>
        <w:t>Oprogramowanie aplikacyjne – Wymagania ogólne</w:t>
      </w:r>
    </w:p>
    <w:p>
      <w:pPr>
        <w:pStyle w:val="Akapitzlist"/>
        <w:numPr>
          <w:ilvl w:val="0"/>
          <w:numId w:val="65"/>
        </w:numPr>
        <w:spacing w:after="0" w:line="276" w:lineRule="auto"/>
        <w:rPr>
          <w:rFonts w:ascii="Verdana" w:hAnsi="Verdana"/>
          <w:sz w:val="18"/>
          <w:szCs w:val="18"/>
        </w:rPr>
      </w:pPr>
      <w:r>
        <w:rPr>
          <w:rFonts w:ascii="Verdana" w:hAnsi="Verdana"/>
          <w:sz w:val="18"/>
          <w:szCs w:val="18"/>
        </w:rPr>
        <w:lastRenderedPageBreak/>
        <w:t xml:space="preserve">Wykonawca zobowiązuje się dostarczyć Zamawiającemu określone funkcjonalności systemu SSI, poprzez dostawę nowego rozwiązania lub zmodernizowanie i rozbudowanie istniejącego w taki sposób, aby w jak najszerszym zakresie zostały zaspokojone obecne i przyszłe potrzeby Zamawiającego. Koniecznym jest równoczesne zachowanie pełnej wzajemnej interoperacyjności nowo wdrażanych modułów/grup funkcjonalności, a także w przypadku rozbudowy, pełnej interoperacyjności z modułami/grupami funkcjonalności już funkcjonującymi u Zamawiającego. </w:t>
      </w:r>
    </w:p>
    <w:p>
      <w:pPr>
        <w:pStyle w:val="Akapitzlist"/>
        <w:numPr>
          <w:ilvl w:val="0"/>
          <w:numId w:val="65"/>
        </w:numPr>
        <w:spacing w:after="0" w:line="276" w:lineRule="auto"/>
        <w:rPr>
          <w:rFonts w:ascii="Verdana" w:hAnsi="Verdana"/>
          <w:sz w:val="18"/>
          <w:szCs w:val="18"/>
        </w:rPr>
      </w:pPr>
      <w:r>
        <w:rPr>
          <w:rFonts w:ascii="Verdana" w:hAnsi="Verdana"/>
          <w:sz w:val="18"/>
          <w:szCs w:val="18"/>
        </w:rPr>
        <w:t>Wykonawca oświadcza, że dostarczone Oprogramowanie po jego konfiguracji w obszarze serwerowym (logicznymi fizycznym) jest wystarczające do realizacji Umowy i osiągnięcia parametrów eksploatacyjnych opisanych przez Zamawiającego w Umowie.</w:t>
      </w:r>
    </w:p>
    <w:p>
      <w:pPr>
        <w:pStyle w:val="Akapitzlist"/>
        <w:numPr>
          <w:ilvl w:val="0"/>
          <w:numId w:val="65"/>
        </w:numPr>
        <w:spacing w:after="0" w:line="276" w:lineRule="auto"/>
        <w:rPr>
          <w:rFonts w:ascii="Verdana" w:hAnsi="Verdana"/>
          <w:sz w:val="18"/>
          <w:szCs w:val="18"/>
        </w:rPr>
      </w:pPr>
      <w:r>
        <w:rPr>
          <w:rFonts w:ascii="Verdana" w:hAnsi="Verdana"/>
          <w:sz w:val="18"/>
          <w:szCs w:val="18"/>
        </w:rPr>
        <w:t xml:space="preserve">Dane zaimportowane do SSI z aktualnie użytkowanego oprogramowania muszą być spójne z nowo wprowadzanymi, edytowalne, podlegające analizie i spełniające warunki walidacji dla określonych typów pól. </w:t>
      </w:r>
    </w:p>
    <w:p>
      <w:pPr>
        <w:pStyle w:val="Akapitzlist"/>
        <w:numPr>
          <w:ilvl w:val="0"/>
          <w:numId w:val="65"/>
        </w:numPr>
        <w:spacing w:after="0" w:line="276" w:lineRule="auto"/>
        <w:rPr>
          <w:rFonts w:ascii="Verdana" w:hAnsi="Verdana"/>
          <w:sz w:val="18"/>
          <w:szCs w:val="18"/>
        </w:rPr>
      </w:pPr>
      <w:r>
        <w:rPr>
          <w:rFonts w:ascii="Verdana" w:hAnsi="Verdana"/>
          <w:sz w:val="18"/>
          <w:szCs w:val="18"/>
        </w:rPr>
        <w:t>Zamawiający wymaga także, aby wszystkie posiadane lub dostarczane systemy zewnętrzne integrowały się z rozbudowywanym systemem informatycznym. Pełną odpowiedzialność za integracje z systemami zewnętrznymi ponosi Wykonawca.</w:t>
      </w:r>
    </w:p>
    <w:p>
      <w:pPr>
        <w:pStyle w:val="Akapitzlist"/>
        <w:numPr>
          <w:ilvl w:val="0"/>
          <w:numId w:val="65"/>
        </w:numPr>
        <w:spacing w:after="0" w:line="276" w:lineRule="auto"/>
        <w:rPr>
          <w:rFonts w:ascii="Verdana" w:hAnsi="Verdana"/>
          <w:sz w:val="18"/>
          <w:szCs w:val="18"/>
        </w:rPr>
      </w:pPr>
      <w:r>
        <w:rPr>
          <w:rFonts w:ascii="Verdana" w:hAnsi="Verdana"/>
          <w:sz w:val="18"/>
          <w:szCs w:val="18"/>
        </w:rPr>
        <w:t>Wykonawca w przypadku rozbudowy SSI obecnie użytkowanego przez Zamawiającego zobowiązany jest zapewnić wzajemną integrację wszystkich dostarczanych modułów SSI, oraz systemów, w zakresie funkcjonalnie nie mniejszym niż obecnie istniejący.</w:t>
      </w:r>
    </w:p>
    <w:p>
      <w:pPr>
        <w:pStyle w:val="Akapitzlist"/>
        <w:numPr>
          <w:ilvl w:val="0"/>
          <w:numId w:val="65"/>
        </w:numPr>
        <w:spacing w:after="0" w:line="276" w:lineRule="auto"/>
        <w:rPr>
          <w:rFonts w:ascii="Verdana" w:hAnsi="Verdana"/>
          <w:sz w:val="18"/>
          <w:szCs w:val="18"/>
        </w:rPr>
      </w:pPr>
      <w:r>
        <w:rPr>
          <w:rFonts w:ascii="Verdana" w:hAnsi="Verdana"/>
          <w:sz w:val="18"/>
          <w:szCs w:val="18"/>
        </w:rPr>
        <w:t>Szczegółowy zakres wymaganych funkcjonalności systemu, został opisany powyżej.</w:t>
      </w:r>
    </w:p>
    <w:p>
      <w:pPr>
        <w:pStyle w:val="Akapitzlist"/>
        <w:numPr>
          <w:ilvl w:val="0"/>
          <w:numId w:val="54"/>
        </w:numPr>
        <w:spacing w:after="0" w:line="276" w:lineRule="auto"/>
        <w:rPr>
          <w:rFonts w:ascii="Verdana" w:hAnsi="Verdana"/>
          <w:sz w:val="18"/>
          <w:szCs w:val="18"/>
        </w:rPr>
      </w:pPr>
      <w:r>
        <w:rPr>
          <w:rFonts w:ascii="Verdana" w:hAnsi="Verdana"/>
          <w:sz w:val="18"/>
          <w:szCs w:val="18"/>
        </w:rPr>
        <w:t xml:space="preserve">Warunki usług serwisowych i nadzoru autorskiego </w:t>
      </w:r>
    </w:p>
    <w:p>
      <w:pPr>
        <w:spacing w:after="0" w:line="276" w:lineRule="auto"/>
        <w:ind w:left="360" w:firstLine="0"/>
        <w:rPr>
          <w:rFonts w:ascii="Verdana" w:hAnsi="Verdana"/>
          <w:sz w:val="18"/>
          <w:szCs w:val="18"/>
        </w:rPr>
      </w:pPr>
      <w:r>
        <w:rPr>
          <w:rFonts w:ascii="Verdana" w:hAnsi="Verdana"/>
          <w:sz w:val="18"/>
          <w:szCs w:val="18"/>
        </w:rPr>
        <w:t xml:space="preserve">Wykonawca ma obowiązek świadczyć usługi nadzoru autorskiego  i serwisu dla dostarczonego SSI przez okres zadeklarowany w ofercie. </w:t>
      </w:r>
    </w:p>
    <w:p>
      <w:pPr>
        <w:spacing w:after="0" w:line="276" w:lineRule="auto"/>
        <w:ind w:left="360"/>
        <w:rPr>
          <w:rFonts w:ascii="Verdana" w:hAnsi="Verdana"/>
          <w:sz w:val="18"/>
          <w:szCs w:val="18"/>
        </w:rPr>
      </w:pPr>
      <w:r>
        <w:rPr>
          <w:rFonts w:ascii="Verdana" w:hAnsi="Verdana"/>
          <w:sz w:val="18"/>
          <w:szCs w:val="18"/>
        </w:rPr>
        <w:t xml:space="preserve">W ramach usług obsługi serwisowej wraz z nadzorem autorskim oraz asystą techniczną Wykonawca jest zobowiązany zapewnić: </w:t>
      </w:r>
    </w:p>
    <w:p>
      <w:pPr>
        <w:pStyle w:val="Akapitzlist"/>
        <w:numPr>
          <w:ilvl w:val="0"/>
          <w:numId w:val="66"/>
        </w:numPr>
        <w:spacing w:after="0" w:line="276" w:lineRule="auto"/>
        <w:rPr>
          <w:rFonts w:ascii="Verdana" w:hAnsi="Verdana"/>
          <w:sz w:val="18"/>
          <w:szCs w:val="18"/>
        </w:rPr>
      </w:pPr>
      <w:r>
        <w:rPr>
          <w:rFonts w:ascii="Verdana" w:hAnsi="Verdana"/>
          <w:sz w:val="18"/>
          <w:szCs w:val="18"/>
        </w:rPr>
        <w:t xml:space="preserve">Nieodpłatne udostępnienie i wdrożenie poprawek (Łat) do Szpitalnego Systemu Informatycznego, w przypadku stwierdzenia przez Zamawiającego błędu aplikacji: </w:t>
      </w:r>
    </w:p>
    <w:p>
      <w:pPr>
        <w:pStyle w:val="Akapitzlist"/>
        <w:numPr>
          <w:ilvl w:val="0"/>
          <w:numId w:val="67"/>
        </w:numPr>
        <w:spacing w:after="0" w:line="276" w:lineRule="auto"/>
        <w:rPr>
          <w:rFonts w:ascii="Verdana" w:hAnsi="Verdana"/>
          <w:sz w:val="18"/>
          <w:szCs w:val="18"/>
        </w:rPr>
      </w:pPr>
      <w:r>
        <w:rPr>
          <w:rFonts w:ascii="Verdana" w:hAnsi="Verdana"/>
          <w:sz w:val="18"/>
          <w:szCs w:val="18"/>
        </w:rPr>
        <w:t xml:space="preserve">w przypadku wystąpienia tzw. Awarii (błędu krytycznego), tj. sytuacji która uniemożliwia użytkowanie Zintegrowanego Systemu Informatycznego w zakresie jego podstawowej funkcjonalności wskazanej w dokumentacji użytkownika: </w:t>
      </w:r>
    </w:p>
    <w:p>
      <w:pPr>
        <w:pStyle w:val="Akapitzlist"/>
        <w:numPr>
          <w:ilvl w:val="0"/>
          <w:numId w:val="68"/>
        </w:numPr>
        <w:spacing w:after="0" w:line="276" w:lineRule="auto"/>
        <w:rPr>
          <w:rFonts w:ascii="Verdana" w:hAnsi="Verdana"/>
          <w:sz w:val="18"/>
          <w:szCs w:val="18"/>
        </w:rPr>
      </w:pPr>
      <w:r>
        <w:rPr>
          <w:rFonts w:ascii="Verdana" w:hAnsi="Verdana"/>
          <w:sz w:val="18"/>
          <w:szCs w:val="18"/>
        </w:rPr>
        <w:t xml:space="preserve">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12 godzin; </w:t>
      </w:r>
    </w:p>
    <w:p>
      <w:pPr>
        <w:pStyle w:val="Akapitzlist"/>
        <w:numPr>
          <w:ilvl w:val="0"/>
          <w:numId w:val="68"/>
        </w:numPr>
        <w:spacing w:after="0" w:line="276" w:lineRule="auto"/>
        <w:rPr>
          <w:rFonts w:ascii="Verdana" w:hAnsi="Verdana"/>
          <w:sz w:val="18"/>
          <w:szCs w:val="18"/>
        </w:rPr>
      </w:pPr>
      <w:r>
        <w:rPr>
          <w:rFonts w:ascii="Verdana" w:hAnsi="Verdana"/>
          <w:sz w:val="18"/>
          <w:szCs w:val="18"/>
        </w:rPr>
        <w:t xml:space="preserve">czas naprawy SSI, (tj. czas od momentu potwierdzenia przyjęcia zgłoszenia, do momentu przystąpienia przez Wykonawcę do usuwania nieprawidłowości, aż po ich usunięcie i przywrócenie Systemu do stanu sprzed zgłoszenia ), wyniesie do 56 godzin; </w:t>
      </w:r>
    </w:p>
    <w:p>
      <w:pPr>
        <w:pStyle w:val="Akapitzlist"/>
        <w:numPr>
          <w:ilvl w:val="0"/>
          <w:numId w:val="68"/>
        </w:numPr>
        <w:spacing w:after="0" w:line="276" w:lineRule="auto"/>
        <w:rPr>
          <w:rFonts w:ascii="Verdana" w:hAnsi="Verdana"/>
          <w:sz w:val="18"/>
          <w:szCs w:val="18"/>
        </w:rPr>
      </w:pPr>
      <w:r>
        <w:rPr>
          <w:rFonts w:ascii="Verdana" w:hAnsi="Verdana"/>
          <w:sz w:val="18"/>
          <w:szCs w:val="18"/>
        </w:rPr>
        <w:t xml:space="preserve">przypadku dalsza obsługa usunięcia dotychczasowego błędu krytycznego będzie traktowana jako błąd zwykły; </w:t>
      </w:r>
    </w:p>
    <w:p>
      <w:pPr>
        <w:pStyle w:val="Akapitzlist"/>
        <w:numPr>
          <w:ilvl w:val="0"/>
          <w:numId w:val="67"/>
        </w:numPr>
        <w:spacing w:after="0" w:line="276" w:lineRule="auto"/>
        <w:rPr>
          <w:rFonts w:ascii="Verdana" w:hAnsi="Verdana"/>
          <w:sz w:val="18"/>
          <w:szCs w:val="18"/>
        </w:rPr>
      </w:pPr>
      <w:r>
        <w:rPr>
          <w:rFonts w:ascii="Verdana" w:hAnsi="Verdana"/>
          <w:sz w:val="18"/>
          <w:szCs w:val="18"/>
        </w:rPr>
        <w:t xml:space="preserve">w pozostałych przypadkach: </w:t>
      </w:r>
    </w:p>
    <w:p>
      <w:pPr>
        <w:pStyle w:val="Akapitzlist"/>
        <w:numPr>
          <w:ilvl w:val="0"/>
          <w:numId w:val="69"/>
        </w:numPr>
        <w:spacing w:after="0" w:line="276" w:lineRule="auto"/>
        <w:rPr>
          <w:rFonts w:ascii="Verdana" w:hAnsi="Verdana"/>
          <w:sz w:val="18"/>
          <w:szCs w:val="18"/>
        </w:rPr>
      </w:pPr>
      <w:r>
        <w:rPr>
          <w:rFonts w:ascii="Verdana" w:hAnsi="Verdana"/>
          <w:sz w:val="18"/>
          <w:szCs w:val="18"/>
        </w:rPr>
        <w:t xml:space="preserve">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24 godzin; </w:t>
      </w:r>
    </w:p>
    <w:p>
      <w:pPr>
        <w:pStyle w:val="Akapitzlist"/>
        <w:numPr>
          <w:ilvl w:val="0"/>
          <w:numId w:val="69"/>
        </w:numPr>
        <w:spacing w:after="0" w:line="276" w:lineRule="auto"/>
        <w:rPr>
          <w:rFonts w:ascii="Verdana" w:hAnsi="Verdana"/>
          <w:sz w:val="18"/>
          <w:szCs w:val="18"/>
        </w:rPr>
      </w:pPr>
      <w:r>
        <w:rPr>
          <w:rFonts w:ascii="Verdana" w:hAnsi="Verdana"/>
          <w:sz w:val="18"/>
          <w:szCs w:val="18"/>
        </w:rPr>
        <w:t xml:space="preserve">czas naprawy SSI, (tj. czas od momentu potwierdzenia przyjęcia zgłoszenia, do momentu przystąpienia przez Wykonawcę do usuwania nieprawidłowości, aż po ich usunięcie i przywrócenie Systemu do stanu sprzed zgłoszenia), wyniesie do 7 dni roboczych; </w:t>
      </w:r>
    </w:p>
    <w:p>
      <w:pPr>
        <w:pStyle w:val="Akapitzlist"/>
        <w:numPr>
          <w:ilvl w:val="0"/>
          <w:numId w:val="70"/>
        </w:numPr>
        <w:spacing w:after="0" w:line="276" w:lineRule="auto"/>
        <w:rPr>
          <w:rFonts w:ascii="Verdana" w:hAnsi="Verdana"/>
          <w:sz w:val="18"/>
          <w:szCs w:val="18"/>
        </w:rPr>
      </w:pPr>
      <w:r>
        <w:rPr>
          <w:rFonts w:ascii="Verdana" w:hAnsi="Verdana"/>
          <w:sz w:val="18"/>
          <w:szCs w:val="18"/>
        </w:rPr>
        <w:lastRenderedPageBreak/>
        <w:t xml:space="preserve">ewentualne przekwalifikowanie błędu zgłoszonego przez Zamawiającego jako zwykły, na Awarię, wymagać będzie osobnego zgłoszenia i oznaczać będzie uruchomienie procedury opisanej w pkt. a). </w:t>
      </w:r>
    </w:p>
    <w:p>
      <w:pPr>
        <w:pStyle w:val="Akapitzlist"/>
        <w:numPr>
          <w:ilvl w:val="0"/>
          <w:numId w:val="70"/>
        </w:numPr>
        <w:spacing w:after="0" w:line="276" w:lineRule="auto"/>
        <w:rPr>
          <w:rFonts w:ascii="Verdana" w:hAnsi="Verdana"/>
          <w:sz w:val="18"/>
          <w:szCs w:val="18"/>
        </w:rPr>
      </w:pPr>
      <w:r>
        <w:rPr>
          <w:rFonts w:ascii="Verdana" w:hAnsi="Verdana"/>
          <w:sz w:val="18"/>
          <w:szCs w:val="18"/>
        </w:rPr>
        <w:t xml:space="preserve">zgłoszenie błędów (w tym Awarii) przez Zamawiającego odbywać się będzie poprzez serwisową witrynę internetową – Elektroniczny System Zgłoszeń, lub dedykowany portal Wykonawcy. W razie trudności z rejestracją zgłoszenia w w/w aplikacji, Zamawiający może dokonać zgłoszenia telefonicznie pod wskazany przez Wykonawcę numer telefonu lub za pomocą poczty elektronicznej na wskazany adres e-mail. W przypadku, gdy formularz zgłoszenia błędu zostanie przyjęty przez Wykonawcę: </w:t>
      </w:r>
    </w:p>
    <w:p>
      <w:pPr>
        <w:pStyle w:val="Akapitzlist"/>
        <w:numPr>
          <w:ilvl w:val="0"/>
          <w:numId w:val="71"/>
        </w:numPr>
        <w:spacing w:after="0" w:line="276" w:lineRule="auto"/>
        <w:rPr>
          <w:rFonts w:ascii="Verdana" w:hAnsi="Verdana"/>
          <w:sz w:val="18"/>
          <w:szCs w:val="18"/>
        </w:rPr>
      </w:pPr>
      <w:r>
        <w:rPr>
          <w:rFonts w:ascii="Verdana" w:hAnsi="Verdana"/>
          <w:sz w:val="18"/>
          <w:szCs w:val="18"/>
        </w:rPr>
        <w:t xml:space="preserve">w godzinach pomiędzy 16.00 a 24.00 dnia roboczego – traktowany jest jak przyjęty o godz. 8.00 następnego dnia roboczego; </w:t>
      </w:r>
    </w:p>
    <w:p>
      <w:pPr>
        <w:pStyle w:val="Akapitzlist"/>
        <w:numPr>
          <w:ilvl w:val="0"/>
          <w:numId w:val="71"/>
        </w:numPr>
        <w:spacing w:after="0" w:line="276" w:lineRule="auto"/>
        <w:rPr>
          <w:rFonts w:ascii="Verdana" w:hAnsi="Verdana"/>
          <w:sz w:val="18"/>
          <w:szCs w:val="18"/>
        </w:rPr>
      </w:pPr>
      <w:r>
        <w:rPr>
          <w:rFonts w:ascii="Verdana" w:hAnsi="Verdana"/>
          <w:sz w:val="18"/>
          <w:szCs w:val="18"/>
        </w:rPr>
        <w:t xml:space="preserve">w godzinach pomiędzy 0.00 a 8.00 dnia roboczego - traktowany jest jak przyjęty o godz. 8.00 danego dnia roboczego; </w:t>
      </w:r>
    </w:p>
    <w:p>
      <w:pPr>
        <w:pStyle w:val="Akapitzlist"/>
        <w:numPr>
          <w:ilvl w:val="0"/>
          <w:numId w:val="71"/>
        </w:numPr>
        <w:spacing w:after="0" w:line="276" w:lineRule="auto"/>
        <w:rPr>
          <w:rFonts w:ascii="Verdana" w:hAnsi="Verdana"/>
          <w:sz w:val="18"/>
          <w:szCs w:val="18"/>
        </w:rPr>
      </w:pPr>
      <w:r>
        <w:rPr>
          <w:rFonts w:ascii="Verdana" w:hAnsi="Verdana"/>
          <w:sz w:val="18"/>
          <w:szCs w:val="18"/>
        </w:rPr>
        <w:t xml:space="preserve">w dniu ustawowo lub dodatkowo wolnym od pracy - traktowany jest jak przyjęty o godz. 8.00 najbliższego dnia roboczego; </w:t>
      </w:r>
    </w:p>
    <w:p>
      <w:pPr>
        <w:pStyle w:val="Akapitzlist"/>
        <w:numPr>
          <w:ilvl w:val="0"/>
          <w:numId w:val="71"/>
        </w:numPr>
        <w:spacing w:after="0" w:line="276" w:lineRule="auto"/>
        <w:rPr>
          <w:rFonts w:ascii="Verdana" w:hAnsi="Verdana"/>
          <w:sz w:val="18"/>
          <w:szCs w:val="18"/>
        </w:rPr>
      </w:pPr>
      <w:r>
        <w:rPr>
          <w:rFonts w:ascii="Verdana" w:hAnsi="Verdana"/>
          <w:sz w:val="18"/>
          <w:szCs w:val="18"/>
        </w:rPr>
        <w:t xml:space="preserve">wyjątkiem od reguł opisanych w punktach a) - c), będą formularze zgłoszenia Awarii (błędu krytycznego), które traktowane będą jako przyjęcia bez obwarowań czasowych i realizowane będą jak najpilniej. </w:t>
      </w:r>
    </w:p>
    <w:p>
      <w:pPr>
        <w:pStyle w:val="Akapitzlist"/>
        <w:numPr>
          <w:ilvl w:val="0"/>
          <w:numId w:val="66"/>
        </w:numPr>
        <w:spacing w:after="0" w:line="276" w:lineRule="auto"/>
        <w:rPr>
          <w:rFonts w:ascii="Verdana" w:hAnsi="Verdana"/>
          <w:sz w:val="18"/>
          <w:szCs w:val="18"/>
        </w:rPr>
      </w:pPr>
      <w:r>
        <w:rPr>
          <w:rFonts w:ascii="Verdana" w:hAnsi="Verdana"/>
          <w:sz w:val="18"/>
          <w:szCs w:val="18"/>
        </w:rPr>
        <w:t xml:space="preserve">Nieodpłatne wprowadzanie zmian w Szpitalnym Systemie Informatycznym objętym niniejszą Umową, w zakresie wymaganym zmianami powszechnie obowiązujących przepisów prawa lub przepisów prawa wewnętrznie obowiązujących, wydanych na podstawie delegacji ustawowej, z zastrzeżeniem, że Wykonawca zobowiązany jest do: </w:t>
      </w:r>
    </w:p>
    <w:p>
      <w:pPr>
        <w:pStyle w:val="Akapitzlist"/>
        <w:numPr>
          <w:ilvl w:val="0"/>
          <w:numId w:val="72"/>
        </w:numPr>
        <w:spacing w:after="0" w:line="276" w:lineRule="auto"/>
        <w:rPr>
          <w:rFonts w:ascii="Verdana" w:hAnsi="Verdana"/>
          <w:sz w:val="18"/>
          <w:szCs w:val="18"/>
        </w:rPr>
      </w:pPr>
      <w:r>
        <w:rPr>
          <w:rFonts w:ascii="Verdana" w:hAnsi="Verdana"/>
          <w:sz w:val="18"/>
          <w:szCs w:val="18"/>
        </w:rPr>
        <w:t xml:space="preserve">przekazywania Zamawiającemu informacji o nowych wersjach SSI, ukazujących się w trakcie trwania Umowy, odbywać się będzie poprzez ESZ lub inną serwisową witrynę internetową Wykonawcy; </w:t>
      </w:r>
    </w:p>
    <w:p>
      <w:pPr>
        <w:pStyle w:val="Akapitzlist"/>
        <w:numPr>
          <w:ilvl w:val="0"/>
          <w:numId w:val="72"/>
        </w:numPr>
        <w:spacing w:after="0" w:line="276" w:lineRule="auto"/>
        <w:rPr>
          <w:rFonts w:ascii="Verdana" w:hAnsi="Verdana"/>
          <w:sz w:val="18"/>
          <w:szCs w:val="18"/>
        </w:rPr>
      </w:pPr>
      <w:r>
        <w:rPr>
          <w:rFonts w:ascii="Verdana" w:hAnsi="Verdana"/>
          <w:sz w:val="18"/>
          <w:szCs w:val="18"/>
        </w:rPr>
        <w:t xml:space="preserve">udostępniania aktualizacji SSI poprzez wskazany serwer ftp, </w:t>
      </w:r>
    </w:p>
    <w:p>
      <w:pPr>
        <w:pStyle w:val="Akapitzlist"/>
        <w:numPr>
          <w:ilvl w:val="0"/>
          <w:numId w:val="72"/>
        </w:numPr>
        <w:spacing w:after="0" w:line="276" w:lineRule="auto"/>
        <w:rPr>
          <w:rFonts w:ascii="Verdana" w:hAnsi="Verdana"/>
          <w:sz w:val="18"/>
          <w:szCs w:val="18"/>
        </w:rPr>
      </w:pPr>
      <w:r>
        <w:rPr>
          <w:rFonts w:ascii="Verdana" w:hAnsi="Verdana"/>
          <w:sz w:val="18"/>
          <w:szCs w:val="18"/>
        </w:rPr>
        <w:t xml:space="preserve">przeprowadzenia procesu Aktualizacji lub Unowocześnienia Systemu, na żądanie i w czasie uzgodnionym z Zamawiającym, </w:t>
      </w:r>
    </w:p>
    <w:p>
      <w:pPr>
        <w:pStyle w:val="Akapitzlist"/>
        <w:numPr>
          <w:ilvl w:val="0"/>
          <w:numId w:val="66"/>
        </w:numPr>
        <w:spacing w:after="0" w:line="276" w:lineRule="auto"/>
        <w:rPr>
          <w:rFonts w:ascii="Verdana" w:hAnsi="Verdana"/>
          <w:sz w:val="18"/>
          <w:szCs w:val="18"/>
        </w:rPr>
      </w:pPr>
      <w:r>
        <w:rPr>
          <w:rFonts w:ascii="Verdana" w:hAnsi="Verdana"/>
          <w:sz w:val="18"/>
          <w:szCs w:val="18"/>
        </w:rPr>
        <w:t xml:space="preserve">Możliwość zgłoszenia uwag i propozycji modyfikacji Szpitalnego Systemu Informatycznego. </w:t>
      </w:r>
    </w:p>
    <w:p>
      <w:pPr>
        <w:pStyle w:val="Akapitzlist"/>
        <w:numPr>
          <w:ilvl w:val="0"/>
          <w:numId w:val="66"/>
        </w:numPr>
        <w:spacing w:after="0" w:line="276" w:lineRule="auto"/>
        <w:rPr>
          <w:rFonts w:ascii="Verdana" w:hAnsi="Verdana"/>
          <w:sz w:val="18"/>
          <w:szCs w:val="18"/>
        </w:rPr>
      </w:pPr>
      <w:r>
        <w:rPr>
          <w:rFonts w:ascii="Verdana" w:hAnsi="Verdana"/>
          <w:sz w:val="18"/>
          <w:szCs w:val="18"/>
        </w:rPr>
        <w:t xml:space="preserve">Zapewnienie w ramach serwisu oprogramowania oraz asysty technicznej, nieodpłatnego (w limicie 100 godzin serwisowych):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dostarczenia i wdrożenia nowych wersji (Unowocześnienia lub Aktualizacji) Szpitalnego  Systemu Informatycznego otrzymanych w ramach świadczeń z tytułu nadzoru autorskiego (w tym w szczególnych przypadkach dodatkowe szkolenie użytkowników) objętego niniejszą umową;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podjęcia starań w celu usunięcia Awarii Szpitalnego Systemu Informatycznego objętego niniejszą umową, powstałej z winy Zamawiającego lub wskutek wypadków losowych;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bieżącego optymalizowania konfiguracji Zintegrowanego Systemu Informatycznego, uwzględniające potrzeby Zamawiającego;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pomocy w awaryjnym odtwarzaniu, na wniosek Zamawiającego, stanu Szpitalnego Systemu Informatycznego i zgromadzonych danych archiwalnych, poprawnie zabezpieczonych w Środowisku Zapasowym, skonfigurowanym przez Wykonawcę w trakcie wdrożenia;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pomocy w przygotowaniu danych przekazywanych przez Zamawiającego do jednostek nadrzędnych i współpracujących (np. do Narodowego Funduszu Zdrowia, Wydziału Zdrowia odpowiedniego urzędu, banków itp.) w formie elektronicznej (np. poprzez odpowiednie formaty plików, na wymaganych nośnikach danych, łącza telekomunikacyjne </w:t>
      </w:r>
      <w:proofErr w:type="spellStart"/>
      <w:r>
        <w:rPr>
          <w:rFonts w:ascii="Verdana" w:hAnsi="Verdana"/>
          <w:sz w:val="18"/>
          <w:szCs w:val="18"/>
        </w:rPr>
        <w:t>itp</w:t>
      </w:r>
      <w:proofErr w:type="spellEnd"/>
      <w:r>
        <w:rPr>
          <w:rFonts w:ascii="Verdana" w:hAnsi="Verdana"/>
          <w:sz w:val="18"/>
          <w:szCs w:val="18"/>
        </w:rPr>
        <w:t xml:space="preserve">);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doradztwa w zakresie rozbudowy środków informatycznych, dokonywanie ponownych instalacji Szpitalnego Systemu Informatycznego objętego niniejszą Umową w przypadkach rozbudowy infrastruktury informatycznej Zamawiającego; </w:t>
      </w:r>
    </w:p>
    <w:p>
      <w:pPr>
        <w:pStyle w:val="Akapitzlist"/>
        <w:numPr>
          <w:ilvl w:val="0"/>
          <w:numId w:val="73"/>
        </w:numPr>
        <w:spacing w:after="0" w:line="276" w:lineRule="auto"/>
        <w:rPr>
          <w:rFonts w:ascii="Verdana" w:hAnsi="Verdana"/>
          <w:sz w:val="18"/>
          <w:szCs w:val="18"/>
        </w:rPr>
      </w:pPr>
      <w:r>
        <w:rPr>
          <w:rFonts w:ascii="Verdana" w:hAnsi="Verdana"/>
          <w:sz w:val="18"/>
          <w:szCs w:val="18"/>
        </w:rPr>
        <w:t xml:space="preserve">prowadzenia rejestru kontaktów z Zamawiającym, obejmującego wizyty serwisowe i wykonane czynności, w tym zmiany konfiguracji oprogramowania. </w:t>
      </w:r>
    </w:p>
    <w:p>
      <w:pPr>
        <w:pStyle w:val="Akapitzlist"/>
        <w:numPr>
          <w:ilvl w:val="0"/>
          <w:numId w:val="66"/>
        </w:numPr>
        <w:spacing w:after="0" w:line="276" w:lineRule="auto"/>
        <w:rPr>
          <w:rFonts w:ascii="Verdana" w:hAnsi="Verdana"/>
          <w:sz w:val="18"/>
          <w:szCs w:val="18"/>
        </w:rPr>
      </w:pPr>
      <w:r>
        <w:rPr>
          <w:rFonts w:ascii="Verdana" w:hAnsi="Verdana"/>
          <w:sz w:val="18"/>
          <w:szCs w:val="18"/>
        </w:rPr>
        <w:lastRenderedPageBreak/>
        <w:t xml:space="preserve">Usługi serwisu oraz asysty technicznej, określone powyżej, świadczone będą przez Wykonawcę w dni robocze tj. dni od poniedziałku do piątku z wyłączeniem dni ustawowo wolnych od pracy, w godzinach od 8:00 do 16:00. </w:t>
      </w:r>
    </w:p>
    <w:p>
      <w:pPr>
        <w:pStyle w:val="Akapitzlist"/>
        <w:numPr>
          <w:ilvl w:val="0"/>
          <w:numId w:val="66"/>
        </w:numPr>
        <w:spacing w:after="0" w:line="276" w:lineRule="auto"/>
        <w:rPr>
          <w:rFonts w:ascii="Verdana" w:hAnsi="Verdana"/>
          <w:sz w:val="18"/>
          <w:szCs w:val="18"/>
        </w:rPr>
      </w:pPr>
      <w:r>
        <w:rPr>
          <w:rFonts w:ascii="Verdana" w:hAnsi="Verdana"/>
          <w:sz w:val="18"/>
          <w:szCs w:val="18"/>
        </w:rPr>
        <w:t xml:space="preserve">Wyjątkiem będą sytuacje dotyczące Awarii (błędów krytycznych), dla których Wykonawca będzie świadczył usługi serwisu w trybie 24/7/365. Zgłoszenia Awarii dla tego rodzaju sytuacji, będą przyjmowane pod specjalnym, wskazanym przez Wykonawcę numerem telefonu. </w:t>
      </w:r>
    </w:p>
    <w:p>
      <w:pPr>
        <w:pStyle w:val="Akapitzlist"/>
        <w:numPr>
          <w:ilvl w:val="0"/>
          <w:numId w:val="66"/>
        </w:numPr>
        <w:spacing w:after="0" w:line="276" w:lineRule="auto"/>
        <w:rPr>
          <w:rFonts w:ascii="Verdana" w:hAnsi="Verdana"/>
          <w:sz w:val="18"/>
          <w:szCs w:val="18"/>
        </w:rPr>
      </w:pPr>
      <w:r>
        <w:rPr>
          <w:rFonts w:ascii="Verdana" w:hAnsi="Verdana"/>
          <w:sz w:val="18"/>
          <w:szCs w:val="18"/>
        </w:rPr>
        <w:t xml:space="preserve">Wszelkie koszty związane z wizytami (dojazd, nocleg, diety) przedstawicieli Wykonawcy, realizujących usługi wdrożeniowe i serwisowe, powinny zostać uwzględnione w ofercie Wykonawcy. </w:t>
      </w:r>
    </w:p>
    <w:p>
      <w:pPr>
        <w:spacing w:line="276" w:lineRule="auto"/>
        <w:rPr>
          <w:rFonts w:ascii="Verdana" w:hAnsi="Verdana"/>
          <w:sz w:val="18"/>
          <w:szCs w:val="18"/>
        </w:rPr>
      </w:pPr>
    </w:p>
    <w:sectPr>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Nagwek"/>
    </w:pPr>
    <w:r>
      <w:rPr>
        <w:noProof/>
      </w:rPr>
      <w:drawing>
        <wp:anchor distT="0" distB="0" distL="0" distR="0" simplePos="0" relativeHeight="251659264" behindDoc="0" locked="0" layoutInCell="1" allowOverlap="1">
          <wp:simplePos x="0" y="0"/>
          <wp:positionH relativeFrom="column">
            <wp:posOffset>-161290</wp:posOffset>
          </wp:positionH>
          <wp:positionV relativeFrom="paragraph">
            <wp:posOffset>-138430</wp:posOffset>
          </wp:positionV>
          <wp:extent cx="6190615" cy="654050"/>
          <wp:effectExtent l="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654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4"/>
    <w:multiLevelType w:val="singleLevel"/>
    <w:tmpl w:val="00000024"/>
    <w:name w:val="WW8Num36"/>
    <w:lvl w:ilvl="0">
      <w:start w:val="1"/>
      <w:numFmt w:val="bullet"/>
      <w:lvlText w:val=""/>
      <w:lvlJc w:val="left"/>
      <w:pPr>
        <w:tabs>
          <w:tab w:val="num" w:pos="0"/>
        </w:tabs>
        <w:ind w:left="946" w:hanging="360"/>
      </w:pPr>
      <w:rPr>
        <w:rFonts w:ascii="Symbol" w:hAnsi="Symbol"/>
      </w:rPr>
    </w:lvl>
  </w:abstractNum>
  <w:abstractNum w:abstractNumId="3" w15:restartNumberingAfterBreak="0">
    <w:nsid w:val="00000026"/>
    <w:multiLevelType w:val="singleLevel"/>
    <w:tmpl w:val="00000026"/>
    <w:name w:val="WW8Num38"/>
    <w:lvl w:ilvl="0">
      <w:start w:val="1"/>
      <w:numFmt w:val="bullet"/>
      <w:lvlText w:val=""/>
      <w:lvlJc w:val="left"/>
      <w:pPr>
        <w:tabs>
          <w:tab w:val="num" w:pos="0"/>
        </w:tabs>
        <w:ind w:left="360" w:hanging="360"/>
      </w:pPr>
      <w:rPr>
        <w:rFonts w:ascii="Symbol" w:hAnsi="Symbol"/>
        <w:sz w:val="20"/>
      </w:rPr>
    </w:lvl>
  </w:abstractNum>
  <w:abstractNum w:abstractNumId="4" w15:restartNumberingAfterBreak="0">
    <w:nsid w:val="0000003F"/>
    <w:multiLevelType w:val="singleLevel"/>
    <w:tmpl w:val="0000003F"/>
    <w:name w:val="WW8Num63"/>
    <w:lvl w:ilvl="0">
      <w:start w:val="1"/>
      <w:numFmt w:val="decimal"/>
      <w:lvlText w:val="%1."/>
      <w:lvlJc w:val="left"/>
      <w:pPr>
        <w:tabs>
          <w:tab w:val="num" w:pos="0"/>
        </w:tabs>
        <w:ind w:left="720" w:hanging="360"/>
      </w:pPr>
      <w:rPr>
        <w:b w:val="0"/>
      </w:rPr>
    </w:lvl>
  </w:abstractNum>
  <w:abstractNum w:abstractNumId="5" w15:restartNumberingAfterBreak="0">
    <w:nsid w:val="00000050"/>
    <w:multiLevelType w:val="singleLevel"/>
    <w:tmpl w:val="00000050"/>
    <w:name w:val="WW8Num80"/>
    <w:lvl w:ilvl="0">
      <w:start w:val="1"/>
      <w:numFmt w:val="bullet"/>
      <w:lvlText w:val=""/>
      <w:lvlJc w:val="left"/>
      <w:pPr>
        <w:tabs>
          <w:tab w:val="num" w:pos="0"/>
        </w:tabs>
        <w:ind w:left="1285" w:hanging="360"/>
      </w:pPr>
      <w:rPr>
        <w:rFonts w:ascii="Symbol" w:hAnsi="Symbol"/>
        <w:color w:val="auto"/>
      </w:rPr>
    </w:lvl>
  </w:abstractNum>
  <w:abstractNum w:abstractNumId="6" w15:restartNumberingAfterBreak="0">
    <w:nsid w:val="0000006A"/>
    <w:multiLevelType w:val="singleLevel"/>
    <w:tmpl w:val="0000006A"/>
    <w:name w:val="WW8Num106"/>
    <w:lvl w:ilvl="0">
      <w:start w:val="1"/>
      <w:numFmt w:val="bullet"/>
      <w:lvlText w:val=""/>
      <w:lvlJc w:val="left"/>
      <w:pPr>
        <w:tabs>
          <w:tab w:val="num" w:pos="0"/>
        </w:tabs>
        <w:ind w:left="1398" w:hanging="360"/>
      </w:pPr>
      <w:rPr>
        <w:rFonts w:ascii="Symbol" w:hAnsi="Symbol"/>
        <w:color w:val="auto"/>
      </w:rPr>
    </w:lvl>
  </w:abstractNum>
  <w:abstractNum w:abstractNumId="7" w15:restartNumberingAfterBreak="0">
    <w:nsid w:val="000000A0"/>
    <w:multiLevelType w:val="singleLevel"/>
    <w:tmpl w:val="000000A0"/>
    <w:name w:val="WW8Num160"/>
    <w:lvl w:ilvl="0">
      <w:start w:val="1"/>
      <w:numFmt w:val="bullet"/>
      <w:lvlText w:val=""/>
      <w:lvlJc w:val="left"/>
      <w:pPr>
        <w:tabs>
          <w:tab w:val="num" w:pos="0"/>
        </w:tabs>
        <w:ind w:left="1398" w:hanging="360"/>
      </w:pPr>
      <w:rPr>
        <w:rFonts w:ascii="Symbol" w:hAnsi="Symbol"/>
        <w:w w:val="100"/>
        <w:sz w:val="22"/>
      </w:rPr>
    </w:lvl>
  </w:abstractNum>
  <w:abstractNum w:abstractNumId="8" w15:restartNumberingAfterBreak="0">
    <w:nsid w:val="000000C3"/>
    <w:multiLevelType w:val="singleLevel"/>
    <w:tmpl w:val="000000C3"/>
    <w:name w:val="WW8Num195"/>
    <w:lvl w:ilvl="0">
      <w:start w:val="1"/>
      <w:numFmt w:val="lowerLetter"/>
      <w:lvlText w:val="%1."/>
      <w:lvlJc w:val="left"/>
      <w:pPr>
        <w:tabs>
          <w:tab w:val="num" w:pos="0"/>
        </w:tabs>
        <w:ind w:left="1440" w:hanging="360"/>
      </w:pPr>
    </w:lvl>
  </w:abstractNum>
  <w:abstractNum w:abstractNumId="9" w15:restartNumberingAfterBreak="0">
    <w:nsid w:val="000000C5"/>
    <w:multiLevelType w:val="singleLevel"/>
    <w:tmpl w:val="000000C5"/>
    <w:name w:val="WW8Num197"/>
    <w:lvl w:ilvl="0">
      <w:start w:val="1"/>
      <w:numFmt w:val="bullet"/>
      <w:lvlText w:val=""/>
      <w:lvlJc w:val="left"/>
      <w:pPr>
        <w:tabs>
          <w:tab w:val="num" w:pos="0"/>
        </w:tabs>
        <w:ind w:left="360" w:hanging="360"/>
      </w:pPr>
      <w:rPr>
        <w:rFonts w:ascii="Symbol" w:hAnsi="Symbol"/>
      </w:rPr>
    </w:lvl>
  </w:abstractNum>
  <w:abstractNum w:abstractNumId="10" w15:restartNumberingAfterBreak="0">
    <w:nsid w:val="00000116"/>
    <w:multiLevelType w:val="singleLevel"/>
    <w:tmpl w:val="00000116"/>
    <w:name w:val="WW8Num278"/>
    <w:lvl w:ilvl="0">
      <w:start w:val="1"/>
      <w:numFmt w:val="bullet"/>
      <w:lvlText w:val=""/>
      <w:lvlJc w:val="left"/>
      <w:pPr>
        <w:tabs>
          <w:tab w:val="num" w:pos="0"/>
        </w:tabs>
        <w:ind w:left="719" w:hanging="360"/>
      </w:pPr>
      <w:rPr>
        <w:rFonts w:ascii="Symbol" w:hAnsi="Symbol"/>
        <w:w w:val="100"/>
        <w:sz w:val="22"/>
      </w:rPr>
    </w:lvl>
  </w:abstractNum>
  <w:abstractNum w:abstractNumId="11" w15:restartNumberingAfterBreak="0">
    <w:nsid w:val="0000013C"/>
    <w:multiLevelType w:val="multilevel"/>
    <w:tmpl w:val="0000013C"/>
    <w:name w:val="WW8Num316"/>
    <w:lvl w:ilvl="0">
      <w:start w:val="1"/>
      <w:numFmt w:val="bullet"/>
      <w:lvlText w:val=""/>
      <w:lvlJc w:val="left"/>
      <w:pPr>
        <w:tabs>
          <w:tab w:val="num" w:pos="0"/>
        </w:tabs>
        <w:ind w:left="946" w:hanging="360"/>
      </w:pPr>
      <w:rPr>
        <w:rFonts w:ascii="Symbol" w:hAnsi="Symbol"/>
        <w:w w:val="100"/>
        <w:sz w:val="22"/>
      </w:rPr>
    </w:lvl>
    <w:lvl w:ilvl="1">
      <w:start w:val="1"/>
      <w:numFmt w:val="bullet"/>
      <w:lvlText w:val="o"/>
      <w:lvlJc w:val="left"/>
      <w:pPr>
        <w:tabs>
          <w:tab w:val="num" w:pos="0"/>
        </w:tabs>
        <w:ind w:left="1553" w:hanging="360"/>
      </w:pPr>
      <w:rPr>
        <w:rFonts w:ascii="Courier New" w:hAnsi="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12" w15:restartNumberingAfterBreak="0">
    <w:nsid w:val="0000015F"/>
    <w:multiLevelType w:val="singleLevel"/>
    <w:tmpl w:val="0000015F"/>
    <w:name w:val="WW8Num351"/>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1C1"/>
    <w:multiLevelType w:val="singleLevel"/>
    <w:tmpl w:val="000001C1"/>
    <w:name w:val="WW8Num449"/>
    <w:lvl w:ilvl="0">
      <w:start w:val="1"/>
      <w:numFmt w:val="bullet"/>
      <w:lvlText w:val=""/>
      <w:lvlJc w:val="left"/>
      <w:pPr>
        <w:tabs>
          <w:tab w:val="num" w:pos="0"/>
        </w:tabs>
        <w:ind w:left="719" w:hanging="360"/>
      </w:pPr>
      <w:rPr>
        <w:rFonts w:ascii="Symbol" w:hAnsi="Symbol"/>
        <w:w w:val="100"/>
        <w:sz w:val="22"/>
      </w:rPr>
    </w:lvl>
  </w:abstractNum>
  <w:abstractNum w:abstractNumId="14" w15:restartNumberingAfterBreak="0">
    <w:nsid w:val="000001FB"/>
    <w:multiLevelType w:val="singleLevel"/>
    <w:tmpl w:val="000001FB"/>
    <w:name w:val="WW8Num507"/>
    <w:lvl w:ilvl="0">
      <w:start w:val="1"/>
      <w:numFmt w:val="bullet"/>
      <w:lvlText w:val=""/>
      <w:lvlJc w:val="left"/>
      <w:pPr>
        <w:tabs>
          <w:tab w:val="num" w:pos="0"/>
        </w:tabs>
        <w:ind w:left="1398" w:hanging="360"/>
      </w:pPr>
      <w:rPr>
        <w:rFonts w:ascii="Symbol" w:hAnsi="Symbol"/>
        <w:w w:val="100"/>
        <w:sz w:val="22"/>
      </w:rPr>
    </w:lvl>
  </w:abstractNum>
  <w:abstractNum w:abstractNumId="15" w15:restartNumberingAfterBreak="0">
    <w:nsid w:val="0000021A"/>
    <w:multiLevelType w:val="multilevel"/>
    <w:tmpl w:val="5B5AEA46"/>
    <w:name w:val="WW8Num538"/>
    <w:lvl w:ilvl="0">
      <w:start w:val="1"/>
      <w:numFmt w:val="decimal"/>
      <w:lvlText w:val="%1."/>
      <w:lvlJc w:val="left"/>
      <w:pPr>
        <w:tabs>
          <w:tab w:val="num" w:pos="0"/>
        </w:tabs>
        <w:ind w:left="502" w:hanging="360"/>
      </w:pPr>
      <w:rPr>
        <w:rFonts w:ascii="Verdana" w:eastAsia="Times New Roman" w:hAnsi="Verdana" w:cs="Calibri" w:hint="default"/>
        <w:w w:val="100"/>
        <w:sz w:val="18"/>
        <w:szCs w:val="18"/>
      </w:rPr>
    </w:lvl>
    <w:lvl w:ilvl="1">
      <w:start w:val="1"/>
      <w:numFmt w:val="lowerLetter"/>
      <w:lvlText w:val="%2."/>
      <w:lvlJc w:val="left"/>
      <w:pPr>
        <w:tabs>
          <w:tab w:val="num" w:pos="0"/>
        </w:tabs>
        <w:ind w:left="1440" w:hanging="360"/>
      </w:pPr>
      <w:rPr>
        <w:rFonts w:ascii="Symbol" w:eastAsia="Times New Roman" w:hAnsi="Symbol"/>
        <w:w w:val="100"/>
        <w:sz w:val="22"/>
      </w:rPr>
    </w:lvl>
    <w:lvl w:ilvl="2">
      <w:start w:val="1"/>
      <w:numFmt w:val="lowerRoman"/>
      <w:lvlText w:val="%3."/>
      <w:lvlJc w:val="left"/>
      <w:pPr>
        <w:tabs>
          <w:tab w:val="num" w:pos="0"/>
        </w:tabs>
        <w:ind w:left="2160" w:hanging="180"/>
      </w:pPr>
      <w:rPr>
        <w:rFonts w:ascii="Symbol" w:eastAsia="Times New Roman" w:hAnsi="Symbol"/>
        <w:w w:val="100"/>
        <w:sz w:val="22"/>
      </w:rPr>
    </w:lvl>
    <w:lvl w:ilvl="3">
      <w:start w:val="1"/>
      <w:numFmt w:val="decimal"/>
      <w:lvlText w:val="%4."/>
      <w:lvlJc w:val="left"/>
      <w:pPr>
        <w:tabs>
          <w:tab w:val="num" w:pos="0"/>
        </w:tabs>
        <w:ind w:left="2880" w:hanging="360"/>
      </w:pPr>
      <w:rPr>
        <w:rFonts w:ascii="Symbol" w:eastAsia="Times New Roman" w:hAnsi="Symbol"/>
        <w:w w:val="100"/>
        <w:sz w:val="22"/>
      </w:rPr>
    </w:lvl>
    <w:lvl w:ilvl="4">
      <w:start w:val="1"/>
      <w:numFmt w:val="lowerLetter"/>
      <w:lvlText w:val="%5."/>
      <w:lvlJc w:val="left"/>
      <w:pPr>
        <w:tabs>
          <w:tab w:val="num" w:pos="0"/>
        </w:tabs>
        <w:ind w:left="3600" w:hanging="360"/>
      </w:pPr>
      <w:rPr>
        <w:rFonts w:ascii="Symbol" w:eastAsia="Times New Roman" w:hAnsi="Symbol"/>
        <w:w w:val="100"/>
        <w:sz w:val="22"/>
      </w:rPr>
    </w:lvl>
    <w:lvl w:ilvl="5">
      <w:start w:val="1"/>
      <w:numFmt w:val="lowerRoman"/>
      <w:lvlText w:val="%6."/>
      <w:lvlJc w:val="left"/>
      <w:pPr>
        <w:tabs>
          <w:tab w:val="num" w:pos="0"/>
        </w:tabs>
        <w:ind w:left="4320" w:hanging="180"/>
      </w:pPr>
      <w:rPr>
        <w:rFonts w:ascii="Symbol" w:eastAsia="Times New Roman" w:hAnsi="Symbol"/>
        <w:w w:val="100"/>
        <w:sz w:val="22"/>
      </w:rPr>
    </w:lvl>
    <w:lvl w:ilvl="6">
      <w:start w:val="1"/>
      <w:numFmt w:val="decimal"/>
      <w:lvlText w:val="%7."/>
      <w:lvlJc w:val="left"/>
      <w:pPr>
        <w:tabs>
          <w:tab w:val="num" w:pos="0"/>
        </w:tabs>
        <w:ind w:left="5040" w:hanging="360"/>
      </w:pPr>
      <w:rPr>
        <w:rFonts w:ascii="Symbol" w:eastAsia="Times New Roman" w:hAnsi="Symbol"/>
        <w:w w:val="100"/>
        <w:sz w:val="22"/>
      </w:rPr>
    </w:lvl>
    <w:lvl w:ilvl="7">
      <w:start w:val="1"/>
      <w:numFmt w:val="lowerLetter"/>
      <w:lvlText w:val="%8."/>
      <w:lvlJc w:val="left"/>
      <w:pPr>
        <w:tabs>
          <w:tab w:val="num" w:pos="0"/>
        </w:tabs>
        <w:ind w:left="5760" w:hanging="360"/>
      </w:pPr>
      <w:rPr>
        <w:rFonts w:ascii="Symbol" w:eastAsia="Times New Roman" w:hAnsi="Symbol"/>
        <w:w w:val="100"/>
        <w:sz w:val="22"/>
      </w:rPr>
    </w:lvl>
    <w:lvl w:ilvl="8">
      <w:start w:val="1"/>
      <w:numFmt w:val="lowerRoman"/>
      <w:lvlText w:val="%9."/>
      <w:lvlJc w:val="left"/>
      <w:pPr>
        <w:tabs>
          <w:tab w:val="num" w:pos="0"/>
        </w:tabs>
        <w:ind w:left="6480" w:hanging="180"/>
      </w:pPr>
      <w:rPr>
        <w:rFonts w:ascii="Symbol" w:eastAsia="Times New Roman" w:hAnsi="Symbol"/>
        <w:w w:val="100"/>
        <w:sz w:val="22"/>
      </w:rPr>
    </w:lvl>
  </w:abstractNum>
  <w:abstractNum w:abstractNumId="16" w15:restartNumberingAfterBreak="0">
    <w:nsid w:val="0000023B"/>
    <w:multiLevelType w:val="singleLevel"/>
    <w:tmpl w:val="0000023B"/>
    <w:name w:val="WW8Num571"/>
    <w:lvl w:ilvl="0">
      <w:start w:val="1"/>
      <w:numFmt w:val="bullet"/>
      <w:lvlText w:val=""/>
      <w:lvlJc w:val="left"/>
      <w:pPr>
        <w:tabs>
          <w:tab w:val="num" w:pos="0"/>
        </w:tabs>
        <w:ind w:left="833" w:hanging="360"/>
      </w:pPr>
      <w:rPr>
        <w:rFonts w:ascii="Symbol" w:hAnsi="Symbol"/>
        <w:w w:val="100"/>
        <w:sz w:val="22"/>
      </w:rPr>
    </w:lvl>
  </w:abstractNum>
  <w:abstractNum w:abstractNumId="17" w15:restartNumberingAfterBreak="0">
    <w:nsid w:val="009E5D9A"/>
    <w:multiLevelType w:val="hybridMultilevel"/>
    <w:tmpl w:val="3BA460AE"/>
    <w:lvl w:ilvl="0" w:tplc="BCC2DB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02593F18"/>
    <w:multiLevelType w:val="hybridMultilevel"/>
    <w:tmpl w:val="586E0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B0294"/>
    <w:multiLevelType w:val="hybridMultilevel"/>
    <w:tmpl w:val="A6D01FC8"/>
    <w:lvl w:ilvl="0" w:tplc="B8C86722">
      <w:start w:val="1"/>
      <w:numFmt w:val="decimal"/>
      <w:lvlText w:val="%1)"/>
      <w:lvlJc w:val="left"/>
      <w:pPr>
        <w:ind w:left="772" w:hanging="360"/>
      </w:pPr>
      <w:rPr>
        <w:rFonts w:ascii="Verdana" w:eastAsia="Times New Roman" w:hAnsi="Verdana" w:cs="Calibri"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0" w15:restartNumberingAfterBreak="0">
    <w:nsid w:val="06A4748A"/>
    <w:multiLevelType w:val="hybridMultilevel"/>
    <w:tmpl w:val="6736E8D4"/>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B40DBA"/>
    <w:multiLevelType w:val="hybridMultilevel"/>
    <w:tmpl w:val="8F740274"/>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091947CA"/>
    <w:multiLevelType w:val="hybridMultilevel"/>
    <w:tmpl w:val="AA62F0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9610772"/>
    <w:multiLevelType w:val="hybridMultilevel"/>
    <w:tmpl w:val="96466910"/>
    <w:lvl w:ilvl="0" w:tplc="04150011">
      <w:start w:val="1"/>
      <w:numFmt w:val="decimal"/>
      <w:lvlText w:val="%1)"/>
      <w:lvlJc w:val="left"/>
      <w:pPr>
        <w:ind w:left="772" w:hanging="360"/>
      </w:p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4" w15:restartNumberingAfterBreak="0">
    <w:nsid w:val="0B7254D8"/>
    <w:multiLevelType w:val="hybridMultilevel"/>
    <w:tmpl w:val="1C52B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9D2E1C"/>
    <w:multiLevelType w:val="hybridMultilevel"/>
    <w:tmpl w:val="37BC9C64"/>
    <w:lvl w:ilvl="0" w:tplc="762882AE">
      <w:start w:val="1"/>
      <w:numFmt w:val="decimal"/>
      <w:lvlText w:val="%1)"/>
      <w:lvlJc w:val="left"/>
      <w:pPr>
        <w:ind w:left="777" w:hanging="360"/>
      </w:pPr>
      <w:rPr>
        <w:rFonts w:ascii="Calibri Light" w:eastAsia="Times New Roman" w:hAnsi="Calibri Light" w:cs="Calibri Light"/>
      </w:rPr>
    </w:lvl>
    <w:lvl w:ilvl="1" w:tplc="597E8B1E">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6" w15:restartNumberingAfterBreak="0">
    <w:nsid w:val="14094362"/>
    <w:multiLevelType w:val="multilevel"/>
    <w:tmpl w:val="94ACF19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5F91B98"/>
    <w:multiLevelType w:val="hybridMultilevel"/>
    <w:tmpl w:val="8A6AA7B0"/>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180F29C7"/>
    <w:multiLevelType w:val="hybridMultilevel"/>
    <w:tmpl w:val="C5A60A64"/>
    <w:lvl w:ilvl="0" w:tplc="04150011">
      <w:start w:val="1"/>
      <w:numFmt w:val="decimal"/>
      <w:lvlText w:val="%1)"/>
      <w:lvlJc w:val="left"/>
      <w:pPr>
        <w:ind w:left="772" w:hanging="360"/>
      </w:p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9" w15:restartNumberingAfterBreak="0">
    <w:nsid w:val="18D31494"/>
    <w:multiLevelType w:val="hybridMultilevel"/>
    <w:tmpl w:val="6BD67398"/>
    <w:lvl w:ilvl="0" w:tplc="F4585ECE">
      <w:start w:val="1"/>
      <w:numFmt w:val="decimal"/>
      <w:lvlText w:val="%1)"/>
      <w:lvlJc w:val="left"/>
      <w:pPr>
        <w:ind w:left="777" w:hanging="360"/>
      </w:pPr>
      <w:rPr>
        <w:rFonts w:ascii="Verdana" w:eastAsia="Times New Roman" w:hAnsi="Verdana" w:cs="Calibri"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30" w15:restartNumberingAfterBreak="0">
    <w:nsid w:val="1AB715CE"/>
    <w:multiLevelType w:val="hybridMultilevel"/>
    <w:tmpl w:val="7606405A"/>
    <w:lvl w:ilvl="0" w:tplc="04150011">
      <w:start w:val="1"/>
      <w:numFmt w:val="decimal"/>
      <w:lvlText w:val="%1)"/>
      <w:lvlJc w:val="left"/>
      <w:pPr>
        <w:ind w:left="772" w:hanging="360"/>
      </w:p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1" w15:restartNumberingAfterBreak="0">
    <w:nsid w:val="1D841A07"/>
    <w:multiLevelType w:val="hybridMultilevel"/>
    <w:tmpl w:val="6C265290"/>
    <w:lvl w:ilvl="0" w:tplc="762882AE">
      <w:start w:val="1"/>
      <w:numFmt w:val="decimal"/>
      <w:lvlText w:val="%1)"/>
      <w:lvlJc w:val="left"/>
      <w:pPr>
        <w:ind w:left="1077" w:hanging="360"/>
      </w:pPr>
      <w:rPr>
        <w:rFonts w:ascii="Calibri Light" w:eastAsia="Times New Roman" w:hAnsi="Calibri Light" w:cs="Calibri Light"/>
      </w:rPr>
    </w:lvl>
    <w:lvl w:ilvl="1" w:tplc="B1FED100">
      <w:start w:val="1"/>
      <w:numFmt w:val="decimal"/>
      <w:lvlText w:val="%2)"/>
      <w:lvlJc w:val="left"/>
      <w:pPr>
        <w:ind w:left="1797" w:hanging="360"/>
      </w:pPr>
      <w:rPr>
        <w:rFonts w:ascii="Verdana" w:eastAsia="Times New Roman" w:hAnsi="Verdana" w:cs="Calibri" w:hint="default"/>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206E6470"/>
    <w:multiLevelType w:val="hybridMultilevel"/>
    <w:tmpl w:val="AC20F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06F7129"/>
    <w:multiLevelType w:val="hybridMultilevel"/>
    <w:tmpl w:val="FB4C29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17F2D2C"/>
    <w:multiLevelType w:val="hybridMultilevel"/>
    <w:tmpl w:val="545CE7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1FE56AB"/>
    <w:multiLevelType w:val="hybridMultilevel"/>
    <w:tmpl w:val="2FD447EE"/>
    <w:lvl w:ilvl="0" w:tplc="04150011">
      <w:start w:val="1"/>
      <w:numFmt w:val="decimal"/>
      <w:lvlText w:val="%1)"/>
      <w:lvlJc w:val="left"/>
      <w:pPr>
        <w:ind w:left="777" w:hanging="360"/>
      </w:pPr>
    </w:lvl>
    <w:lvl w:ilvl="1" w:tplc="FFE0020E">
      <w:start w:val="1"/>
      <w:numFmt w:val="decimal"/>
      <w:lvlText w:val="%2)"/>
      <w:lvlJc w:val="left"/>
      <w:pPr>
        <w:ind w:left="1353"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6" w15:restartNumberingAfterBreak="0">
    <w:nsid w:val="22D325C7"/>
    <w:multiLevelType w:val="hybridMultilevel"/>
    <w:tmpl w:val="155CE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44818F0"/>
    <w:multiLevelType w:val="hybridMultilevel"/>
    <w:tmpl w:val="D89A2756"/>
    <w:lvl w:ilvl="0" w:tplc="BCC2DB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644444E"/>
    <w:multiLevelType w:val="hybridMultilevel"/>
    <w:tmpl w:val="FB2E9BFC"/>
    <w:lvl w:ilvl="0" w:tplc="6958C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833076"/>
    <w:multiLevelType w:val="hybridMultilevel"/>
    <w:tmpl w:val="4B50B8F2"/>
    <w:lvl w:ilvl="0" w:tplc="762882AE">
      <w:start w:val="1"/>
      <w:numFmt w:val="decimal"/>
      <w:lvlText w:val="%1)"/>
      <w:lvlJc w:val="left"/>
      <w:pPr>
        <w:ind w:left="1554" w:hanging="360"/>
      </w:pPr>
      <w:rPr>
        <w:rFonts w:ascii="Calibri Light" w:eastAsia="Times New Roman" w:hAnsi="Calibri Light" w:cs="Calibri Light"/>
      </w:rPr>
    </w:lvl>
    <w:lvl w:ilvl="1" w:tplc="CF14DDE2">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0" w15:restartNumberingAfterBreak="0">
    <w:nsid w:val="28B8669E"/>
    <w:multiLevelType w:val="hybridMultilevel"/>
    <w:tmpl w:val="074E8DE2"/>
    <w:lvl w:ilvl="0" w:tplc="B79C8E10">
      <w:start w:val="1"/>
      <w:numFmt w:val="decimal"/>
      <w:lvlText w:val="%1)"/>
      <w:lvlJc w:val="left"/>
      <w:pPr>
        <w:ind w:left="720" w:hanging="360"/>
      </w:pPr>
      <w:rPr>
        <w:rFonts w:ascii="Verdana" w:eastAsia="Times New Roman" w:hAnsi="Verdan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506EC4"/>
    <w:multiLevelType w:val="hybridMultilevel"/>
    <w:tmpl w:val="3CA29212"/>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13D70"/>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305916"/>
    <w:multiLevelType w:val="hybridMultilevel"/>
    <w:tmpl w:val="BBE4B6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F0A57EA"/>
    <w:multiLevelType w:val="hybridMultilevel"/>
    <w:tmpl w:val="0A8289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0927F6B"/>
    <w:multiLevelType w:val="hybridMultilevel"/>
    <w:tmpl w:val="B38ED29C"/>
    <w:lvl w:ilvl="0" w:tplc="762882AE">
      <w:start w:val="1"/>
      <w:numFmt w:val="decimal"/>
      <w:lvlText w:val="%1)"/>
      <w:lvlJc w:val="left"/>
      <w:pPr>
        <w:ind w:left="1554" w:hanging="360"/>
      </w:pPr>
      <w:rPr>
        <w:rFonts w:ascii="Calibri Light" w:eastAsia="Times New Roman" w:hAnsi="Calibri Light" w:cs="Calibri Light"/>
      </w:rPr>
    </w:lvl>
    <w:lvl w:ilvl="1" w:tplc="4AE4A49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6" w15:restartNumberingAfterBreak="0">
    <w:nsid w:val="30AF7137"/>
    <w:multiLevelType w:val="hybridMultilevel"/>
    <w:tmpl w:val="215620F6"/>
    <w:lvl w:ilvl="0" w:tplc="D55811BA">
      <w:start w:val="1"/>
      <w:numFmt w:val="decimal"/>
      <w:lvlText w:val="%1)"/>
      <w:lvlJc w:val="left"/>
      <w:pPr>
        <w:ind w:left="772" w:hanging="360"/>
      </w:pPr>
      <w:rPr>
        <w:rFonts w:ascii="Verdana" w:eastAsia="Times New Roman" w:hAnsi="Verdana" w:cs="Calibri"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47" w15:restartNumberingAfterBreak="0">
    <w:nsid w:val="35287D57"/>
    <w:multiLevelType w:val="hybridMultilevel"/>
    <w:tmpl w:val="73DACBF2"/>
    <w:lvl w:ilvl="0" w:tplc="BCC2DBFC">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48" w15:restartNumberingAfterBreak="0">
    <w:nsid w:val="393E3CD8"/>
    <w:multiLevelType w:val="hybridMultilevel"/>
    <w:tmpl w:val="47781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DB4138"/>
    <w:multiLevelType w:val="hybridMultilevel"/>
    <w:tmpl w:val="7C80E0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9E6723E"/>
    <w:multiLevelType w:val="hybridMultilevel"/>
    <w:tmpl w:val="19981A72"/>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AC26C39"/>
    <w:multiLevelType w:val="hybridMultilevel"/>
    <w:tmpl w:val="2CDEA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EB1617"/>
    <w:multiLevelType w:val="hybridMultilevel"/>
    <w:tmpl w:val="4844A942"/>
    <w:lvl w:ilvl="0" w:tplc="BCC2DB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3C042C70"/>
    <w:multiLevelType w:val="hybridMultilevel"/>
    <w:tmpl w:val="DF1A6236"/>
    <w:lvl w:ilvl="0" w:tplc="BCC2DBFC">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54" w15:restartNumberingAfterBreak="0">
    <w:nsid w:val="40246EB6"/>
    <w:multiLevelType w:val="hybridMultilevel"/>
    <w:tmpl w:val="D7BCC3E8"/>
    <w:lvl w:ilvl="0" w:tplc="762882AE">
      <w:start w:val="1"/>
      <w:numFmt w:val="decimal"/>
      <w:lvlText w:val="%1)"/>
      <w:lvlJc w:val="left"/>
      <w:pPr>
        <w:ind w:left="777" w:hanging="360"/>
      </w:pPr>
      <w:rPr>
        <w:rFonts w:ascii="Calibri Light" w:eastAsia="Times New Roman" w:hAnsi="Calibri Light" w:cs="Calibri Light"/>
      </w:rPr>
    </w:lvl>
    <w:lvl w:ilvl="1" w:tplc="2FF426B6">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5" w15:restartNumberingAfterBreak="0">
    <w:nsid w:val="40536295"/>
    <w:multiLevelType w:val="hybridMultilevel"/>
    <w:tmpl w:val="E02A27F2"/>
    <w:styleLink w:val="WWNum23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05E1620"/>
    <w:multiLevelType w:val="hybridMultilevel"/>
    <w:tmpl w:val="804696C6"/>
    <w:lvl w:ilvl="0" w:tplc="762882AE">
      <w:start w:val="1"/>
      <w:numFmt w:val="decimal"/>
      <w:lvlText w:val="%1)"/>
      <w:lvlJc w:val="left"/>
      <w:pPr>
        <w:ind w:left="1554" w:hanging="360"/>
      </w:pPr>
      <w:rPr>
        <w:rFonts w:ascii="Calibri Light" w:eastAsia="Times New Roman" w:hAnsi="Calibri Light" w:cs="Calibri Light"/>
      </w:rPr>
    </w:lvl>
    <w:lvl w:ilvl="1" w:tplc="9B521894">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7" w15:restartNumberingAfterBreak="0">
    <w:nsid w:val="4562798A"/>
    <w:multiLevelType w:val="hybridMultilevel"/>
    <w:tmpl w:val="9F4A5578"/>
    <w:lvl w:ilvl="0" w:tplc="5A107E3E">
      <w:start w:val="1"/>
      <w:numFmt w:val="decimal"/>
      <w:lvlText w:val="%1)"/>
      <w:lvlJc w:val="left"/>
      <w:pPr>
        <w:ind w:left="777" w:hanging="360"/>
      </w:pPr>
      <w:rPr>
        <w:rFonts w:ascii="Calibri" w:eastAsia="Times New Roman" w:hAnsi="Calibri" w:cs="Calibri" w:hint="default"/>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8" w15:restartNumberingAfterBreak="0">
    <w:nsid w:val="46586D0D"/>
    <w:multiLevelType w:val="hybridMultilevel"/>
    <w:tmpl w:val="746A8DA8"/>
    <w:lvl w:ilvl="0" w:tplc="0C404560">
      <w:start w:val="1"/>
      <w:numFmt w:val="decimal"/>
      <w:lvlText w:val="%1)"/>
      <w:lvlJc w:val="left"/>
      <w:pPr>
        <w:ind w:left="772" w:hanging="360"/>
      </w:pPr>
      <w:rPr>
        <w:rFonts w:ascii="Verdana" w:eastAsia="Times New Roman" w:hAnsi="Verdana" w:cs="Calibri"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59" w15:restartNumberingAfterBreak="0">
    <w:nsid w:val="47222E60"/>
    <w:multiLevelType w:val="hybridMultilevel"/>
    <w:tmpl w:val="4D6E0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7BA69AC"/>
    <w:multiLevelType w:val="hybridMultilevel"/>
    <w:tmpl w:val="3EBC38B4"/>
    <w:lvl w:ilvl="0" w:tplc="762882AE">
      <w:start w:val="1"/>
      <w:numFmt w:val="decimal"/>
      <w:lvlText w:val="%1)"/>
      <w:lvlJc w:val="left"/>
      <w:pPr>
        <w:ind w:left="777" w:hanging="360"/>
      </w:pPr>
      <w:rPr>
        <w:rFonts w:ascii="Calibri Light" w:eastAsia="Times New Roman" w:hAnsi="Calibri Light" w:cs="Calibri Light"/>
      </w:rPr>
    </w:lvl>
    <w:lvl w:ilvl="1" w:tplc="C37ADC40">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61" w15:restartNumberingAfterBreak="0">
    <w:nsid w:val="48F059A4"/>
    <w:multiLevelType w:val="hybridMultilevel"/>
    <w:tmpl w:val="724E893E"/>
    <w:lvl w:ilvl="0" w:tplc="79483786">
      <w:start w:val="1"/>
      <w:numFmt w:val="decimal"/>
      <w:lvlText w:val="%1)"/>
      <w:lvlJc w:val="left"/>
      <w:pPr>
        <w:ind w:left="777" w:hanging="360"/>
      </w:pPr>
      <w:rPr>
        <w:rFonts w:ascii="Verdana" w:eastAsia="Times New Roman" w:hAnsi="Verdana" w:cs="Calibri"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62" w15:restartNumberingAfterBreak="0">
    <w:nsid w:val="4A817482"/>
    <w:multiLevelType w:val="hybridMultilevel"/>
    <w:tmpl w:val="D2489D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BAC39E1"/>
    <w:multiLevelType w:val="multilevel"/>
    <w:tmpl w:val="DC54FD94"/>
    <w:lvl w:ilvl="0">
      <w:start w:val="1"/>
      <w:numFmt w:val="bullet"/>
      <w:lvlText w:val=""/>
      <w:lvlJc w:val="left"/>
      <w:pPr>
        <w:tabs>
          <w:tab w:val="num" w:pos="0"/>
        </w:tabs>
        <w:ind w:left="946" w:hanging="360"/>
      </w:pPr>
      <w:rPr>
        <w:rFonts w:ascii="Symbol" w:hAnsi="Symbol"/>
        <w:w w:val="100"/>
        <w:sz w:val="22"/>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64" w15:restartNumberingAfterBreak="0">
    <w:nsid w:val="4DE639D7"/>
    <w:multiLevelType w:val="hybridMultilevel"/>
    <w:tmpl w:val="7102F290"/>
    <w:lvl w:ilvl="0" w:tplc="762882AE">
      <w:start w:val="1"/>
      <w:numFmt w:val="decimal"/>
      <w:lvlText w:val="%1)"/>
      <w:lvlJc w:val="left"/>
      <w:pPr>
        <w:ind w:left="777" w:hanging="360"/>
      </w:pPr>
      <w:rPr>
        <w:rFonts w:ascii="Calibri Light" w:eastAsia="Times New Roman" w:hAnsi="Calibri Light" w:cs="Calibri Light"/>
      </w:rPr>
    </w:lvl>
    <w:lvl w:ilvl="1" w:tplc="3EF4A278">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65" w15:restartNumberingAfterBreak="0">
    <w:nsid w:val="4E5020F6"/>
    <w:multiLevelType w:val="hybridMultilevel"/>
    <w:tmpl w:val="783E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5B40AA"/>
    <w:multiLevelType w:val="hybridMultilevel"/>
    <w:tmpl w:val="B6989C76"/>
    <w:lvl w:ilvl="0" w:tplc="04150013">
      <w:start w:val="1"/>
      <w:numFmt w:val="upperRoman"/>
      <w:lvlText w:val="%1."/>
      <w:lvlJc w:val="right"/>
      <w:pPr>
        <w:ind w:left="365" w:hanging="360"/>
      </w:pPr>
      <w:rPr>
        <w:rFonts w:hint="default"/>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67" w15:restartNumberingAfterBreak="0">
    <w:nsid w:val="4EE86ED8"/>
    <w:multiLevelType w:val="hybridMultilevel"/>
    <w:tmpl w:val="7EE8212E"/>
    <w:lvl w:ilvl="0" w:tplc="04150011">
      <w:start w:val="1"/>
      <w:numFmt w:val="decimal"/>
      <w:lvlText w:val="%1)"/>
      <w:lvlJc w:val="left"/>
      <w:pPr>
        <w:ind w:left="777" w:hanging="360"/>
      </w:pPr>
    </w:lvl>
    <w:lvl w:ilvl="1" w:tplc="3DC4056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68" w15:restartNumberingAfterBreak="0">
    <w:nsid w:val="531500F0"/>
    <w:multiLevelType w:val="hybridMultilevel"/>
    <w:tmpl w:val="42227B14"/>
    <w:lvl w:ilvl="0" w:tplc="BCC2DBFC">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8D7094"/>
    <w:multiLevelType w:val="hybridMultilevel"/>
    <w:tmpl w:val="539E47D4"/>
    <w:lvl w:ilvl="0" w:tplc="762882AE">
      <w:start w:val="1"/>
      <w:numFmt w:val="decimal"/>
      <w:lvlText w:val="%1)"/>
      <w:lvlJc w:val="left"/>
      <w:pPr>
        <w:ind w:left="777" w:hanging="360"/>
      </w:pPr>
      <w:rPr>
        <w:rFonts w:ascii="Calibri Light" w:eastAsia="Times New Roman" w:hAnsi="Calibri Light" w:cs="Calibri Light"/>
      </w:rPr>
    </w:lvl>
    <w:lvl w:ilvl="1" w:tplc="F9E4402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71" w15:restartNumberingAfterBreak="0">
    <w:nsid w:val="5E506406"/>
    <w:multiLevelType w:val="hybridMultilevel"/>
    <w:tmpl w:val="5114D9C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087738D"/>
    <w:multiLevelType w:val="hybridMultilevel"/>
    <w:tmpl w:val="D6CA9672"/>
    <w:lvl w:ilvl="0" w:tplc="04150011">
      <w:start w:val="1"/>
      <w:numFmt w:val="decimal"/>
      <w:lvlText w:val="%1)"/>
      <w:lvlJc w:val="left"/>
      <w:pPr>
        <w:ind w:left="777" w:hanging="360"/>
      </w:pPr>
    </w:lvl>
    <w:lvl w:ilvl="1" w:tplc="0F847E1C">
      <w:start w:val="1"/>
      <w:numFmt w:val="decimal"/>
      <w:lvlText w:val="%2)"/>
      <w:lvlJc w:val="left"/>
      <w:pPr>
        <w:ind w:left="1497" w:hanging="360"/>
      </w:pPr>
      <w:rPr>
        <w:rFonts w:ascii="Calibri" w:eastAsia="Times New Roman" w:hAnsi="Calibri"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73" w15:restartNumberingAfterBreak="0">
    <w:nsid w:val="681E1D9A"/>
    <w:multiLevelType w:val="hybridMultilevel"/>
    <w:tmpl w:val="5A562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D81C3E"/>
    <w:multiLevelType w:val="hybridMultilevel"/>
    <w:tmpl w:val="8ACC2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495421"/>
    <w:multiLevelType w:val="hybridMultilevel"/>
    <w:tmpl w:val="60C2723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6DC14AE4"/>
    <w:multiLevelType w:val="hybridMultilevel"/>
    <w:tmpl w:val="BB3A49EA"/>
    <w:lvl w:ilvl="0" w:tplc="04150011">
      <w:start w:val="1"/>
      <w:numFmt w:val="decimal"/>
      <w:lvlText w:val="%1)"/>
      <w:lvlJc w:val="left"/>
      <w:pPr>
        <w:ind w:left="777" w:hanging="360"/>
      </w:p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77" w15:restartNumberingAfterBreak="0">
    <w:nsid w:val="719D55FF"/>
    <w:multiLevelType w:val="hybridMultilevel"/>
    <w:tmpl w:val="6FF81E48"/>
    <w:lvl w:ilvl="0" w:tplc="762882AE">
      <w:start w:val="1"/>
      <w:numFmt w:val="decimal"/>
      <w:lvlText w:val="%1)"/>
      <w:lvlJc w:val="left"/>
      <w:pPr>
        <w:ind w:left="777" w:hanging="360"/>
      </w:pPr>
      <w:rPr>
        <w:rFonts w:ascii="Calibri Light" w:eastAsia="Times New Roman" w:hAnsi="Calibri Light" w:cs="Calibri Light"/>
      </w:rPr>
    </w:lvl>
    <w:lvl w:ilvl="1" w:tplc="104A2C4A">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78" w15:restartNumberingAfterBreak="0">
    <w:nsid w:val="76894693"/>
    <w:multiLevelType w:val="hybridMultilevel"/>
    <w:tmpl w:val="26B8D43A"/>
    <w:lvl w:ilvl="0" w:tplc="04150011">
      <w:start w:val="1"/>
      <w:numFmt w:val="decimal"/>
      <w:lvlText w:val="%1)"/>
      <w:lvlJc w:val="left"/>
      <w:pPr>
        <w:ind w:left="777" w:hanging="360"/>
      </w:pPr>
    </w:lvl>
    <w:lvl w:ilvl="1" w:tplc="551C715A">
      <w:start w:val="1"/>
      <w:numFmt w:val="decimal"/>
      <w:lvlText w:val="%2)"/>
      <w:lvlJc w:val="left"/>
      <w:pPr>
        <w:ind w:left="1497" w:hanging="360"/>
      </w:pPr>
      <w:rPr>
        <w:rFonts w:ascii="Calibri" w:eastAsia="Times New Roman" w:hAnsi="Calibri"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79" w15:restartNumberingAfterBreak="0">
    <w:nsid w:val="786A5C09"/>
    <w:multiLevelType w:val="multilevel"/>
    <w:tmpl w:val="DC54FD94"/>
    <w:lvl w:ilvl="0">
      <w:start w:val="1"/>
      <w:numFmt w:val="bullet"/>
      <w:lvlText w:val=""/>
      <w:lvlJc w:val="left"/>
      <w:pPr>
        <w:tabs>
          <w:tab w:val="num" w:pos="0"/>
        </w:tabs>
        <w:ind w:left="946" w:hanging="360"/>
      </w:pPr>
      <w:rPr>
        <w:rFonts w:ascii="Symbol" w:hAnsi="Symbol"/>
        <w:w w:val="100"/>
        <w:sz w:val="22"/>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80" w15:restartNumberingAfterBreak="0">
    <w:nsid w:val="7AE503B8"/>
    <w:multiLevelType w:val="hybridMultilevel"/>
    <w:tmpl w:val="1FE01A78"/>
    <w:lvl w:ilvl="0" w:tplc="762882AE">
      <w:start w:val="1"/>
      <w:numFmt w:val="decimal"/>
      <w:lvlText w:val="%1)"/>
      <w:lvlJc w:val="left"/>
      <w:pPr>
        <w:ind w:left="777" w:hanging="360"/>
      </w:pPr>
      <w:rPr>
        <w:rFonts w:ascii="Calibri Light" w:eastAsia="Times New Roman" w:hAnsi="Calibri Light" w:cs="Calibri Light"/>
      </w:rPr>
    </w:lvl>
    <w:lvl w:ilvl="1" w:tplc="B5A03BC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81" w15:restartNumberingAfterBreak="0">
    <w:nsid w:val="7B507A16"/>
    <w:multiLevelType w:val="hybridMultilevel"/>
    <w:tmpl w:val="6A604744"/>
    <w:lvl w:ilvl="0" w:tplc="762882AE">
      <w:start w:val="1"/>
      <w:numFmt w:val="decimal"/>
      <w:lvlText w:val="%1)"/>
      <w:lvlJc w:val="left"/>
      <w:pPr>
        <w:ind w:left="777" w:hanging="360"/>
      </w:pPr>
      <w:rPr>
        <w:rFonts w:ascii="Calibri Light" w:eastAsia="Times New Roman" w:hAnsi="Calibri Light" w:cs="Calibri Light"/>
      </w:rPr>
    </w:lvl>
    <w:lvl w:ilvl="1" w:tplc="8BE68FE6">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82" w15:restartNumberingAfterBreak="0">
    <w:nsid w:val="7B570CB2"/>
    <w:multiLevelType w:val="hybridMultilevel"/>
    <w:tmpl w:val="83F4A244"/>
    <w:lvl w:ilvl="0" w:tplc="A36E2788">
      <w:start w:val="1"/>
      <w:numFmt w:val="bullet"/>
      <w:lvlText w:val="•"/>
      <w:lvlJc w:val="left"/>
      <w:pPr>
        <w:ind w:left="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4C5AD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0E2058">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ECF526">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6CDD1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6C979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83AF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6FEE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E80B92">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F455ECE"/>
    <w:multiLevelType w:val="hybridMultilevel"/>
    <w:tmpl w:val="8CD06A18"/>
    <w:lvl w:ilvl="0" w:tplc="CBD41824">
      <w:start w:val="1"/>
      <w:numFmt w:val="ordin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84" w15:restartNumberingAfterBreak="0">
    <w:nsid w:val="7FD3214D"/>
    <w:multiLevelType w:val="hybridMultilevel"/>
    <w:tmpl w:val="67466A9A"/>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num w:numId="1">
    <w:abstractNumId w:val="66"/>
  </w:num>
  <w:num w:numId="2">
    <w:abstractNumId w:val="83"/>
  </w:num>
  <w:num w:numId="3">
    <w:abstractNumId w:val="47"/>
  </w:num>
  <w:num w:numId="4">
    <w:abstractNumId w:val="53"/>
  </w:num>
  <w:num w:numId="5">
    <w:abstractNumId w:val="55"/>
  </w:num>
  <w:num w:numId="6">
    <w:abstractNumId w:val="1"/>
  </w:num>
  <w:num w:numId="7">
    <w:abstractNumId w:val="2"/>
  </w:num>
  <w:num w:numId="8">
    <w:abstractNumId w:val="3"/>
  </w:num>
  <w:num w:numId="9">
    <w:abstractNumId w:val="5"/>
  </w:num>
  <w:num w:numId="10">
    <w:abstractNumId w:val="6"/>
  </w:num>
  <w:num w:numId="11">
    <w:abstractNumId w:val="7"/>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79"/>
  </w:num>
  <w:num w:numId="21">
    <w:abstractNumId w:val="63"/>
  </w:num>
  <w:num w:numId="22">
    <w:abstractNumId w:val="20"/>
  </w:num>
  <w:num w:numId="23">
    <w:abstractNumId w:val="32"/>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lvlOverride w:ilvl="2"/>
    <w:lvlOverride w:ilvl="3"/>
    <w:lvlOverride w:ilvl="4"/>
    <w:lvlOverride w:ilvl="5"/>
    <w:lvlOverride w:ilvl="6"/>
    <w:lvlOverride w:ilvl="7"/>
    <w:lvlOverride w:ilvl="8"/>
  </w:num>
  <w:num w:numId="46">
    <w:abstractNumId w:val="46"/>
    <w:lvlOverride w:ilvl="0">
      <w:startOverride w:val="1"/>
    </w:lvlOverride>
    <w:lvlOverride w:ilvl="1"/>
    <w:lvlOverride w:ilvl="2"/>
    <w:lvlOverride w:ilvl="3"/>
    <w:lvlOverride w:ilvl="4"/>
    <w:lvlOverride w:ilvl="5"/>
    <w:lvlOverride w:ilvl="6"/>
    <w:lvlOverride w:ilvl="7"/>
    <w:lvlOverride w:ilvl="8"/>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19"/>
    <w:lvlOverride w:ilvl="0">
      <w:startOverride w:val="1"/>
    </w:lvlOverride>
    <w:lvlOverride w:ilvl="1"/>
    <w:lvlOverride w:ilvl="2"/>
    <w:lvlOverride w:ilvl="3"/>
    <w:lvlOverride w:ilvl="4"/>
    <w:lvlOverride w:ilvl="5"/>
    <w:lvlOverride w:ilvl="6"/>
    <w:lvlOverride w:ilvl="7"/>
    <w:lvlOverride w:ilvl="8"/>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1"/>
  </w:num>
  <w:num w:numId="54">
    <w:abstractNumId w:val="50"/>
  </w:num>
  <w:num w:numId="55">
    <w:abstractNumId w:val="74"/>
  </w:num>
  <w:num w:numId="56">
    <w:abstractNumId w:val="33"/>
  </w:num>
  <w:num w:numId="57">
    <w:abstractNumId w:val="62"/>
  </w:num>
  <w:num w:numId="58">
    <w:abstractNumId w:val="34"/>
  </w:num>
  <w:num w:numId="59">
    <w:abstractNumId w:val="65"/>
  </w:num>
  <w:num w:numId="60">
    <w:abstractNumId w:val="24"/>
  </w:num>
  <w:num w:numId="61">
    <w:abstractNumId w:val="44"/>
  </w:num>
  <w:num w:numId="62">
    <w:abstractNumId w:val="49"/>
  </w:num>
  <w:num w:numId="63">
    <w:abstractNumId w:val="36"/>
  </w:num>
  <w:num w:numId="64">
    <w:abstractNumId w:val="51"/>
  </w:num>
  <w:num w:numId="65">
    <w:abstractNumId w:val="18"/>
  </w:num>
  <w:num w:numId="66">
    <w:abstractNumId w:val="73"/>
  </w:num>
  <w:num w:numId="67">
    <w:abstractNumId w:val="59"/>
  </w:num>
  <w:num w:numId="68">
    <w:abstractNumId w:val="37"/>
  </w:num>
  <w:num w:numId="69">
    <w:abstractNumId w:val="52"/>
  </w:num>
  <w:num w:numId="70">
    <w:abstractNumId w:val="43"/>
  </w:num>
  <w:num w:numId="71">
    <w:abstractNumId w:val="17"/>
  </w:num>
  <w:num w:numId="72">
    <w:abstractNumId w:val="22"/>
  </w:num>
  <w:num w:numId="73">
    <w:abstractNumId w:val="75"/>
  </w:num>
  <w:num w:numId="74">
    <w:abstractNumId w:val="48"/>
  </w:num>
  <w:num w:numId="75">
    <w:abstractNumId w:val="69"/>
  </w:num>
  <w:num w:numId="76">
    <w:abstractNumId w:val="82"/>
  </w:num>
  <w:num w:numId="77">
    <w:abstractNumId w:val="68"/>
  </w:num>
  <w:num w:numId="78">
    <w:abstractNumId w:val="26"/>
  </w:num>
  <w:num w:numId="79">
    <w:abstractNumId w:val="26"/>
    <w:lvlOverride w:ilvl="0">
      <w:startOverride w:val="1"/>
    </w:lvlOverride>
  </w:num>
  <w:num w:numId="80">
    <w:abstractNumId w:val="27"/>
  </w:num>
  <w:num w:numId="81">
    <w:abstractNumId w:val="71"/>
  </w:num>
  <w:num w:numId="82">
    <w:abstractNumId w:val="21"/>
  </w:num>
  <w:num w:numId="83">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F1A92-696C-4B19-BFFD-6C81B928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qFormat/>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F5496" w:themeColor="accent1" w:themeShade="BF"/>
      <w:sz w:val="26"/>
      <w:szCs w:val="26"/>
      <w:lang w:eastAsia="pl-PL"/>
    </w:rPr>
  </w:style>
  <w:style w:type="paragraph" w:customStyle="1" w:styleId="Standard">
    <w:name w:val="Standard"/>
    <w:basedOn w:val="Normalny"/>
    <w:link w:val="StandardZnak"/>
    <w:qFormat/>
    <w:pPr>
      <w:widowControl w:val="0"/>
      <w:spacing w:after="0" w:line="240" w:lineRule="auto"/>
      <w:ind w:left="0" w:right="0" w:firstLine="0"/>
      <w:jc w:val="left"/>
    </w:pPr>
    <w:rPr>
      <w:color w:val="auto"/>
      <w:szCs w:val="24"/>
      <w:lang w:eastAsia="zh-CN"/>
    </w:rPr>
  </w:style>
  <w:style w:type="character" w:customStyle="1" w:styleId="StandardZnak">
    <w:name w:val="Standard Znak"/>
    <w:link w:val="Standard"/>
    <w:rPr>
      <w:rFonts w:ascii="Times New Roman" w:eastAsia="Times New Roman" w:hAnsi="Times New Roman" w:cs="Times New Roman"/>
      <w:sz w:val="24"/>
      <w:szCs w:val="24"/>
      <w:lang w:eastAsia="zh-CN"/>
    </w:rPr>
  </w:style>
  <w:style w:type="table" w:customStyle="1" w:styleId="Tabelalisty41">
    <w:name w:val="Tabela listy 41"/>
    <w:basedOn w:val="Standardowy"/>
    <w:uiPriority w:val="49"/>
    <w:pPr>
      <w:spacing w:line="240" w:lineRule="auto"/>
      <w:jc w:val="right"/>
    </w:pPr>
    <w:rPr>
      <w:rFonts w:ascii="Calibri" w:eastAsia="Times New Roman" w:hAnsi="Calibri" w:cs="Times New Roman"/>
      <w:lang w:eastAsia="pl-P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231">
    <w:name w:val="WWNum231"/>
    <w:basedOn w:val="Bezlisty"/>
    <w:pPr>
      <w:numPr>
        <w:numId w:val="5"/>
      </w:numPr>
    </w:pPr>
  </w:style>
  <w:style w:type="table" w:customStyle="1" w:styleId="Tabelasiatki4akcent11">
    <w:name w:val="Tabela siatki 4 — akcent 11"/>
    <w:basedOn w:val="Standardowy"/>
    <w:uiPriority w:val="49"/>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51">
    <w:name w:val="Tabela siatki 4 — akcent 51"/>
    <w:basedOn w:val="Standardowy"/>
    <w:uiPriority w:val="49"/>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
    <w:name w:val="TableGrid"/>
    <w:pPr>
      <w:spacing w:line="240" w:lineRule="auto"/>
      <w:jc w:val="left"/>
    </w:pPr>
    <w:rPr>
      <w:rFonts w:eastAsiaTheme="minorEastAsia"/>
      <w:lang w:eastAsia="pl-PL"/>
    </w:rPr>
    <w:tblPr>
      <w:tblCellMar>
        <w:top w:w="0" w:type="dxa"/>
        <w:left w:w="0" w:type="dxa"/>
        <w:bottom w:w="0" w:type="dxa"/>
        <w:right w:w="0" w:type="dxa"/>
      </w:tblCellMar>
    </w:tblPr>
  </w:style>
  <w:style w:type="numbering" w:customStyle="1" w:styleId="WWNum45">
    <w:name w:val="WWNum45"/>
    <w:basedOn w:val="Bezlisty"/>
    <w:pPr>
      <w:numPr>
        <w:numId w:val="78"/>
      </w:numPr>
    </w:pPr>
  </w:style>
  <w:style w:type="table" w:customStyle="1" w:styleId="Zwykatabela31">
    <w:name w:val="Zwykła tabela 31"/>
    <w:basedOn w:val="Standardowy"/>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2F33-1DFB-46A9-8EFA-EC477FAE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41</Pages>
  <Words>16602</Words>
  <Characters>99613</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cp:lastModifiedBy>
  <cp:revision>34</cp:revision>
  <dcterms:created xsi:type="dcterms:W3CDTF">2022-04-11T21:08:00Z</dcterms:created>
  <dcterms:modified xsi:type="dcterms:W3CDTF">2022-04-28T06:11:00Z</dcterms:modified>
</cp:coreProperties>
</file>