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  <w:t xml:space="preserve">ZPA.271.15.2022 </w:t>
        <w:tab/>
        <w:tab/>
        <w:tab/>
        <w:tab/>
        <w:tab/>
        <w:tab/>
        <w:t xml:space="preserve">     Włodawa, dnia </w:t>
      </w:r>
      <w:r>
        <w:rPr>
          <w:rFonts w:eastAsia="Times New Roman" w:cs="Arial" w:ascii="Cambria" w:hAnsi="Cambria"/>
          <w:color w:val="auto"/>
          <w:kern w:val="2"/>
          <w:sz w:val="24"/>
          <w:szCs w:val="24"/>
          <w:lang w:val="pl-PL" w:eastAsia="pl-PL" w:bidi="hi-IN"/>
        </w:rPr>
        <w:t>29.09.2022 r.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ascii="Verdana" w:hAnsi="Verdana" w:eastAsia="Times New Roman" w:cs="Arial"/>
          <w:sz w:val="22"/>
          <w:szCs w:val="22"/>
          <w:lang w:eastAsia="pl-PL"/>
        </w:rPr>
      </w:pPr>
      <w:r>
        <w:rPr>
          <w:rFonts w:eastAsia="Times New Roman" w:cs="Arial" w:ascii="Verdana" w:hAnsi="Verdana"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        </w:t>
      </w:r>
      <w:r>
        <w:rPr>
          <w:rFonts w:eastAsia="Calibri" w:cs="Arial" w:ascii="Cambria" w:hAnsi="Cambria"/>
          <w:b/>
          <w:sz w:val="24"/>
          <w:szCs w:val="24"/>
        </w:rPr>
        <w:t xml:space="preserve">   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/>
          <w:sz w:val="22"/>
          <w:szCs w:val="22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  <w:t>Odpowiedzi na zapytania wykonawców dotyczące treści  SWZ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</w:r>
      <w:bookmarkStart w:id="0" w:name="_Hlk62481551"/>
      <w:bookmarkStart w:id="1" w:name="_Hlk62481551"/>
      <w:bookmarkEnd w:id="1"/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Verdana" w:hAnsi="Verdana"/>
          <w:b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 w:val="false"/>
          <w:bCs w:val="false"/>
          <w:sz w:val="24"/>
          <w:szCs w:val="24"/>
        </w:rPr>
        <w:t>Dotyczy postępowania pn.:</w:t>
      </w:r>
      <w:r>
        <w:rPr>
          <w:rFonts w:eastAsia="Calibri" w:cs="Arial" w:ascii="Cambria" w:hAnsi="Cambria"/>
          <w:sz w:val="24"/>
          <w:szCs w:val="24"/>
        </w:rPr>
        <w:t xml:space="preserve"> </w:t>
      </w:r>
      <w:r>
        <w:rPr>
          <w:rFonts w:eastAsia="Calibri" w:cs="Arial" w:ascii="Cambria" w:hAnsi="Cambria"/>
          <w:b/>
          <w:bCs/>
          <w:sz w:val="24"/>
          <w:szCs w:val="24"/>
        </w:rPr>
        <w:t>„Opracowanie dokumentacji projektowej i realizacja robót budowlanych pn. „Budowa tężni solankowej wraz z niezbędną infrastrukturą techniczną” w ramach konkursu „Najbardziej Odporna Gmina”.”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sz w:val="24"/>
          <w:szCs w:val="24"/>
        </w:rPr>
        <w:t>Zamawiający informuje, że w terminie określonym zgodnie z art. 284 ust. 2 ustawy z 11 września 2019 r. – Prawo zamówień publicznych (Dz.U.  z 2022 poz. 1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710</w:t>
      </w:r>
      <w:r>
        <w:rPr>
          <w:rFonts w:eastAsia="Calibri" w:cs="Arial" w:ascii="Cambria" w:hAnsi="Cambria"/>
          <w:sz w:val="24"/>
          <w:szCs w:val="24"/>
        </w:rPr>
        <w:t xml:space="preserve"> ) – dalej: ustawa Pzp, wykonawca w dniu 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28.09.2022</w:t>
      </w:r>
      <w:r>
        <w:rPr>
          <w:rFonts w:eastAsia="Calibri" w:cs="Arial" w:ascii="Cambria" w:hAnsi="Cambria"/>
          <w:sz w:val="24"/>
          <w:szCs w:val="24"/>
        </w:rPr>
        <w:t xml:space="preserve"> r.  zwrócił się do zamawiającego z wnioskiem o wyjaśnienie treści SWZ.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sz w:val="22"/>
          <w:szCs w:val="22"/>
        </w:rPr>
      </w:pPr>
      <w:r>
        <w:rPr>
          <w:rFonts w:eastAsia="Calibri" w:cs="Arial"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sz w:val="24"/>
          <w:szCs w:val="24"/>
        </w:rPr>
        <w:t>W związku z powyższym, zamawiający udziela następujących wyjaśnień: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b/>
          <w:b/>
          <w:bCs/>
          <w:sz w:val="22"/>
          <w:szCs w:val="22"/>
        </w:rPr>
      </w:pPr>
      <w:r>
        <w:rPr>
          <w:rFonts w:eastAsia="Calibri" w:cs="Arial"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/>
          <w:bCs/>
          <w:color w:val="000000"/>
          <w:sz w:val="24"/>
          <w:szCs w:val="24"/>
        </w:rPr>
        <w:t>Pytanie 1):</w:t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W jaki sposób będzie realnie wytwarzany aerozol solankowy mając na uwadze fakt, że tarnina ma dokładnie odwrotne zadanie, ma nie dopuszczać do powstawania aerozolu a wiele osób będzie szukało pomocy w związku ze swoimi schorzeniami układu oddechowego?</w:t>
        <w:br/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Planowana tężnia solankowa ma za zadanie w naturalny sposób wytwarzać mgłę wodną z roztworu soli. Wytwarzane krople wody rozbijające się o tarninę mają wytwarzać aerozol, który na wskutek działania naturalnych zjawisk atmosferycznych, tj. wiatru i nasłonecznienia, będzie rozpylać w powietrzu m.in. jod i inne minerały. Dodatkowo, poprzez parowanie, będzie wytwarzany pozytywny mikroklimat, przyjazdy ludziom. Wymagania zamawiającego dotyczące technologii zostały opisane w programie funkcjonalno-użytkowym.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/>
          <w:bCs/>
          <w:color w:val="000000"/>
          <w:sz w:val="24"/>
          <w:szCs w:val="24"/>
        </w:rPr>
        <w:t>Pytanie 2):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Jaki jest preferowany sposób zabezpieczenia przed namnażaniem drobnoustrojów typu grzyby, pleśnie, bakterie w gąszczu wilgotnej tarniny, tak ażeby obiekt nie stwarzał zagrożenia epidemiologicznego?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eastAsia="Calibri" w:cs="Arial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  <w:t>W celu zapobiegania namnażania drobnoustrojów typu grzyby, pleśnie i bakterie Zamawiający wymaga, ażeby wykorzystywany w obiegu roztwór solanki utrzymywany był na poziomie około 5-6%. Natomiast na etapie uruchomienia instalacji należy stosować impregnację roztworem 2 razy wyższym - około 10-12%. Dodatkowo w czasie eksploatacji tężni będą wykonywane okresowe badania sanitarne. W przypadku powstania jakiegokolwiek zagrożenia zostaną podjęte stosowne kroki: m.in. czasowe zwiększenie stężenia solanki, dezynfekcja instalacji czy też wymiana tarniny.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Pytanie 3):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Czy gwarancja wykonawcy obejmuje problem namnażania się drobnoustrojów, które potencjalnie mogą być groźne dla zdrowia osób korzystających z obiektu? 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Czynności opisane w odpowiedzi nr 2, z wyłączeniem okresowych badań sanitarnych, będą wymagane od wykonawcy przez zamawiającego w ramach gwarancji.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Pytanie 4):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Kto poniesie koszty wymiany tarniny oraz kilkukrotnej wymiany solanki w ciągu roku Inwestor czy Wykonawca w ramach udzielonej gwarancji?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bCs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W przypadku powstania jakiegokolwiek zagrożenia potwierdzonego badaniami sanitarnymi koszt wymiany tarniny czy solanki w ramach udzielonej gwarancji będzie spoczywał na wykonawcy.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Pytanie 5):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Czy inwestor dopuszcza zmianę technologii solankowej (tężnia solankowa) na suchy aerozol solny (tężnia solna)?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Zamawiający nie wyraża zgody na zmianę technologii solankowej (tężnia solankowa) na suchy aerozol solny (tężnia solna).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  <w:br/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BURMISTRZ WŁODAWY</w:t>
      </w:r>
    </w:p>
    <w:p>
      <w:pPr>
        <w:pStyle w:val="Normal"/>
        <w:bidi w:val="0"/>
        <w:spacing w:lineRule="auto" w:line="276" w:before="0" w:after="0"/>
        <w:jc w:val="right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Wiesław Muszyński </w:t>
      </w:r>
    </w:p>
    <w:p>
      <w:pPr>
        <w:pStyle w:val="Normal"/>
        <w:bidi w:val="0"/>
        <w:spacing w:lineRule="auto" w:line="276" w:before="0" w:after="0"/>
        <w:jc w:val="right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Kolorowalistaakcent11">
    <w:name w:val="Kolorowa lista — akcent 1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LibreOffice/7.0.0.3$Windows_X86_64 LibreOffice_project/8061b3e9204bef6b321a21033174034a5e2ea88e</Application>
  <Pages>2</Pages>
  <Words>411</Words>
  <Characters>2756</Characters>
  <CharactersWithSpaces>3173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2022-08-22T12:59:55Z</dcterms:created>
  <dc:creator/>
  <dc:description/>
  <dc:language>pl-PL</dc:language>
  <cp:lastModifiedBy/>
  <cp:lastPrinted>2022-09-29T11:19:03Z</cp:lastPrinted>
  <dcterms:modified xsi:type="dcterms:W3CDTF">2022-09-29T14:24:40Z</dcterms:modified>
  <cp:revision>15</cp:revision>
  <dc:subject/>
  <dc:title/>
</cp:coreProperties>
</file>