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9" w:type="dxa"/>
        <w:tblInd w:w="-18" w:type="dxa"/>
        <w:tblLayout w:type="fixed"/>
        <w:tblCellMar>
          <w:top w:w="55" w:type="dxa"/>
          <w:left w:w="71" w:type="dxa"/>
          <w:bottom w:w="55" w:type="dxa"/>
          <w:right w:w="71" w:type="dxa"/>
        </w:tblCellMar>
        <w:tblLook w:val="0000" w:firstRow="0" w:lastRow="0" w:firstColumn="0" w:lastColumn="0" w:noHBand="0" w:noVBand="0"/>
      </w:tblPr>
      <w:tblGrid>
        <w:gridCol w:w="450"/>
        <w:gridCol w:w="1538"/>
        <w:gridCol w:w="10537"/>
        <w:gridCol w:w="2044"/>
      </w:tblGrid>
      <w:tr w:rsidR="00F85532">
        <w:trPr>
          <w:trHeight w:val="284"/>
        </w:trPr>
        <w:tc>
          <w:tcPr>
            <w:tcW w:w="14569" w:type="dxa"/>
            <w:gridSpan w:val="4"/>
            <w:shd w:val="clear" w:color="auto" w:fill="auto"/>
            <w:vAlign w:val="center"/>
          </w:tcPr>
          <w:p w:rsidR="00F85532" w:rsidRDefault="00EF3670" w:rsidP="00EF3670">
            <w:pPr>
              <w:tabs>
                <w:tab w:val="left" w:pos="10083"/>
                <w:tab w:val="left" w:pos="12492"/>
              </w:tabs>
              <w:spacing w:after="57" w:line="259" w:lineRule="auto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Nr sprawy ZP.271.2.2022                                                                                                                                                                                     </w:t>
            </w:r>
            <w:r w:rsidR="0000164F">
              <w:rPr>
                <w:rFonts w:ascii="Calibri" w:hAnsi="Calibri"/>
                <w:sz w:val="24"/>
                <w:szCs w:val="24"/>
              </w:rPr>
              <w:t xml:space="preserve">Załącznik nr 1 do SWZ </w:t>
            </w:r>
          </w:p>
          <w:p w:rsidR="00F85532" w:rsidRDefault="0000164F">
            <w:pPr>
              <w:widowControl w:val="0"/>
              <w:spacing w:after="21" w:line="259" w:lineRule="auto"/>
              <w:ind w:left="13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 xml:space="preserve">Szczegółowy </w:t>
            </w:r>
            <w:r w:rsidR="00EF3670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 xml:space="preserve">Opis Przedmiotu Zamówienia 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532" w:rsidRDefault="0000164F">
            <w:pPr>
              <w:pStyle w:val="Tabelapozycja"/>
              <w:widowControl w:val="0"/>
              <w:jc w:val="center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532" w:rsidRDefault="0000164F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Nazwa komponentu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532" w:rsidRDefault="0000164F">
            <w:pPr>
              <w:widowControl w:val="0"/>
              <w:ind w:left="-7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Wymagane minimalne parametry techniczne komputerów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532" w:rsidRDefault="0000164F">
            <w:pPr>
              <w:widowControl w:val="0"/>
              <w:ind w:left="-7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Oferowane parametry techniczne sprzętu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Typ komputera i jego zastosowanie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W ofercie należy podać nazwę producenta, typ, model oraz numer katalogowy oferowanego sprzętu umożliwiający jednoznaczną identyfikację oferowanej konfiguracji u producenta komputera. Komputer przenośny - laptop </w:t>
            </w:r>
            <w:r w:rsidR="00F80148">
              <w:rPr>
                <w:rFonts w:ascii="Calibri" w:hAnsi="Calibri"/>
                <w:sz w:val="24"/>
                <w:szCs w:val="24"/>
              </w:rPr>
              <w:t xml:space="preserve">- </w:t>
            </w:r>
            <w:r>
              <w:rPr>
                <w:rFonts w:ascii="Calibri" w:hAnsi="Calibri"/>
                <w:sz w:val="24"/>
                <w:szCs w:val="24"/>
              </w:rPr>
              <w:t xml:space="preserve">będzie wykorzystywany dla potrzeb aplikacji biurowych, dostępu do internetu oraz poczty elektronicznej, jako lokalna baza danych, stacja programistyczna.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8D2158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Producent</w:t>
            </w:r>
            <w:r w:rsidR="0000164F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8D2158" w:rsidRDefault="008D2158" w:rsidP="008D2158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Model</w:t>
            </w:r>
          </w:p>
          <w:p w:rsidR="00F85532" w:rsidRDefault="0000164F" w:rsidP="008D2158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Typ</w:t>
            </w:r>
            <w:r w:rsidR="00F80148">
              <w:rPr>
                <w:rFonts w:ascii="Calibri" w:hAnsi="Calibri"/>
                <w:sz w:val="24"/>
                <w:szCs w:val="24"/>
              </w:rPr>
              <w:t>, nr katalogowy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Ekran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Matryca min. 15,6” z podświetleniem w technologii LED, powłoka antyrefleksyjna Anti-Glare, rozdzielczość: Full HD 1920x1080, 250nits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Spełnia: 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TAK / NIE</w:t>
            </w:r>
          </w:p>
          <w:p w:rsidR="00F85532" w:rsidRDefault="0000164F">
            <w:pPr>
              <w:widowControl w:val="0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Wielkość matrycy</w:t>
            </w:r>
          </w:p>
          <w:p w:rsidR="00F85532" w:rsidRDefault="00F85532">
            <w:pPr>
              <w:widowControl w:val="0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Obudowa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Obudowa wyposażona w zawiasy metalowe. Kąt otwarcia matrycy min.178 stopni.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 obudowę wbudowane co najmniej 2 diody sygnalizujące: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min. 3 stany ładowania komputera (min. odłączone zasilanie, ładowanie, naładowany)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kamera video 720p z mechaniczną zasłoną obiektywu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min. trzy stany pracy komputera (min. wyłączony/zahibernowany, uśpiony, włączony)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Spełnia: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TAK / NIE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Chipset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Dostosowany do zaoferowanego procesora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Płyta główna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Zaprojektowana i wyprodukowana przez producenta komputera wyposażona w interfejs SATA III (6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Gb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/s) do obsługi dysków twardych. Płyta główna i konstrukcja laptopa wspierająca konfiguracje dwu dyskową SSD M.2 + HDD/SSD 2,5”.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Spełnia: 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TAK / NIE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Procesor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Procesor wielordzeniowy ze zintegrowaną grafiką, zaprojektowany do pracy w komputerach przenośnych klasy x86. Punktacja procesora na poziomie wydajności liczonej w punktach równa lub wyższa procesorowi Intel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Core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i3-1115G4 na podstawie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PerformanceTest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w teście CPU Mark według wyników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Avarage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CPU Mark opublikowanych na http://www.cpubenchmark.net/. Wykonawca w składanej ofercie winien podać dokładny model oferowanego procesora i osiągnięty wynik testu – wydruk testu </w:t>
            </w:r>
            <w:r>
              <w:rPr>
                <w:rFonts w:ascii="Calibri" w:hAnsi="Calibri"/>
                <w:bCs/>
                <w:sz w:val="24"/>
                <w:szCs w:val="24"/>
              </w:rPr>
              <w:t>należy załączyć do oferty.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Spełnia: </w:t>
            </w:r>
          </w:p>
          <w:p w:rsidR="00F85532" w:rsidRDefault="0000164F">
            <w:pPr>
              <w:widowControl w:val="0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TAK / NIE</w:t>
            </w:r>
          </w:p>
          <w:p w:rsidR="00F85532" w:rsidRDefault="0000164F">
            <w:pPr>
              <w:widowControl w:val="0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Procesor, model, wynik testu </w:t>
            </w:r>
          </w:p>
          <w:p w:rsidR="00F85532" w:rsidRDefault="00F85532">
            <w:pPr>
              <w:widowControl w:val="0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Pamięć operacyjna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Pamięć operacyjna min. 8 GB z możliwością rozbudowy do 12 GB.  Pamięć RAM działająca w trybie dual channel. 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Wolny slot pamięci – min. 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Spełnia: 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TAK / NIE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Ilość:                 GB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Karta graficzna</w:t>
            </w:r>
          </w:p>
        </w:tc>
        <w:tc>
          <w:tcPr>
            <w:tcW w:w="105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Zintegrowana karta graficzna wykorzystująca pamięć RAM systemu dynamicznie przydzielaną na potrzeby grafiki w trybie UMA (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Unified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Memory Access) – z możliwością dynamicznego przydzielenia pamięci.</w:t>
            </w:r>
          </w:p>
          <w:p w:rsidR="00F85532" w:rsidRDefault="00F85532">
            <w:pPr>
              <w:widowContro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 xml:space="preserve">Spełnia: 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TAK / NIE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Dysk twardy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Min. jeden dysk 240 GB M.2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PCIe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NVMe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, zawierający partycję RECOVERY umożliwiającą odtworzenie systemu operacyjnego fabrycznie zainstalowanego na komputerze po awarii. Możliwość rozbudowy do konfiguracji dwu dyskowej w oparciu o dysk M.2 SSD oraz SSD 2,5”. Zatoka 2,5” gotowa do dołożenia dysku twardego. Nie dopuszcza się dysków z pamięciami QLC.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Spełnia: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TAK / NIE</w:t>
            </w:r>
          </w:p>
          <w:p w:rsidR="008D2158" w:rsidRDefault="008D2158">
            <w:pPr>
              <w:widowControl w:val="0"/>
              <w:rPr>
                <w:rFonts w:ascii="Calibri" w:hAnsi="Calibri"/>
                <w:sz w:val="24"/>
                <w:szCs w:val="24"/>
              </w:rPr>
            </w:pP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Ilość:                 GB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Audio/Video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Wbudowana zgodna z HD Audio karta dźwiękowa, wbudowane głośniki stereo Dolby Audio, wbudowane mikrofony, 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mute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), wbudowana kamera internetowa 720p z wbudowaną mechaniczną zasłoną obiektywu (nie dopuszcza się elementów instalowanych po produkcyjnie, naklejanych itp.)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Spełnia: 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TAK / NIE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Porty/złącza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3xUSB w tym min. 2xUSB 3.1, złącze słuchawek i złącze mikrofonu typu COMBO, HDMI, port LAN RJ-45. Dedykowany przycisk umożliwiający odtworzenie systemu z partycji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Recovery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. Port zasilania – zasilanie nie może wykorzystywać wymaganych portów USB.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Spełnia:</w:t>
            </w:r>
          </w:p>
          <w:p w:rsidR="00F85532" w:rsidRDefault="0000164F">
            <w:pPr>
              <w:widowControl w:val="0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TAK / NIE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Klawiatura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Klawiatura, układ QWERTY.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Spełnia: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TAK / NIE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WiFi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Wbudowana karta sieciowa, pracująca w standardzie AC wyposażona w anteny 2x2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Spełnia: 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TAK / NIE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Bluetooth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Wbudowany moduł Bluetooth min. 5.0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Spełnia: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TAK / NIE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Bateria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Bateria – min. 2 ogniwa, pozwalająca na nieprzerwaną pracę urządzenia do 5h. Czas pracy na baterii potwierdzony w teście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MobileMark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>® 2018 – wydruk testu należy dołączyć do oferty.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Spełnia: 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TAK / NIE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Zasilacz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Zasilacz zewnętrzny max 65W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Spełnia: 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TAK / NIE</w:t>
            </w:r>
          </w:p>
          <w:p w:rsidR="00F85532" w:rsidRDefault="00F85532">
            <w:pPr>
              <w:widowContro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BIOS  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BIOS zgodny ze specyfikacją UEFI.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Możliwość odczytania z BIOS bez uruchamiania systemu operacyjnego z dysku twardego komputera lub innych podłączonych do niego urządzeń zewnętrznych następujących informacji: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- wersja BIOS 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- S/N (P/N) laptopa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- wielkość pamięci RAM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- typ procesora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- zainstalowane dyski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- o zintegrowanej w BIOS licencji na system operacyjny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lastRenderedPageBreak/>
              <w:t>- odczytania z BIOS nazwy producenta komputera oraz modelu lub konfiguracji zaoferowanej jednostki.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Nie dopuszcza się wykorzystania pól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Asset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TAG w BIOS do propagacji w/w informacji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Administrator z poziomu BIOS musi mieć możliwość ustawienia: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   - hasła dla twardego dysku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   - hasła Administratora oraz Użytkownika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   - zmiana kolejności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bootowania</w:t>
            </w:r>
            <w:proofErr w:type="spellEnd"/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   - włączania/wyłączania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WiFi</w:t>
            </w:r>
            <w:proofErr w:type="spellEnd"/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   - włączania/wyłączania wirtualizacji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   - włączania/wyłączania wgrania starszej wersji BIOS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   - sposobu działania klawiszy F1-F12 (normalna praca/skróty)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   - trybu wydajności lub chłodzenia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W przypadku występowania na klawiaturze przycisku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Fn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wymaga się funkcjonalności w BIOS umożliwiającej zamianę funkcji pomiędzy klawiszami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Ctrl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Fn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, tak aby użytkownik nie musiał zmieniać swoich przyzwyczajeń umiejscowienia przycisków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Ctrl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Fn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>, co wpływa na komfort obsługi.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Przy ustawionym haśle Administratora, zalogowany Użytkownik do BIOS musi mieć możliwość zmiany własnego hasła. Nie dopuszcza się możliwości edycji ustawień wpływających na bezpieczeństwo urządzenia.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Możliwość ustawienia portów USB w trybie „no BOOT”, czyli podczas startu komputer nie wykrywa urządzeń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bootujących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typu USB, natomiast po uruchomieniu systemu operacyjnego porty USB są aktywne.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lastRenderedPageBreak/>
              <w:t xml:space="preserve">Spełnia: 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TAK / NIE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Certyfikaty i standardy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A05B08" w:rsidRDefault="00A05B08" w:rsidP="00A05B08">
            <w:pPr>
              <w:widowControl w:val="0"/>
              <w:numPr>
                <w:ilvl w:val="0"/>
                <w:numId w:val="2"/>
              </w:num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Certyfikat ISO9001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 dla producenta sprzętu </w:t>
            </w:r>
          </w:p>
          <w:p w:rsidR="00A05B08" w:rsidRDefault="00A05B08" w:rsidP="00A05B08">
            <w:pPr>
              <w:widowControl w:val="0"/>
              <w:numPr>
                <w:ilvl w:val="0"/>
                <w:numId w:val="2"/>
              </w:num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ENERGY STAR 8.0</w:t>
            </w:r>
          </w:p>
          <w:p w:rsidR="00A05B08" w:rsidRPr="00A05B08" w:rsidRDefault="00A05B08" w:rsidP="00A05B08">
            <w:pPr>
              <w:widowControl w:val="0"/>
              <w:numPr>
                <w:ilvl w:val="0"/>
                <w:numId w:val="2"/>
              </w:num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Deklaracja zgodności CE</w:t>
            </w:r>
          </w:p>
          <w:p w:rsidR="00F85532" w:rsidRPr="00F6242B" w:rsidRDefault="00A05B08" w:rsidP="00A05B08">
            <w:pPr>
              <w:widowControl w:val="0"/>
              <w:numPr>
                <w:ilvl w:val="0"/>
                <w:numId w:val="2"/>
              </w:num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Potwierdzenie spełnienia kryteriów środowiskowych, w tym zgodności z dyrektywą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RoHS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Unii Europejskiej o eliminacji substancji niebezpiecznych w postaci oświadczenia producenta jednostki.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Spełnia: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TAK / NIE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Bezpieczeństwo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- Komputer wyposażony w moduł TPM 2.0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- Slot typu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Kensington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(Komputery wyposażone w złącze Noble Lock  lub podobne - muszą zostać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 zaoferowane z certyfikowanym przez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Kensington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i kompatybilnym adapterem ze złącza Noble Lock do złącza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Kensington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>);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- Mechaniczna zasłona kamery wbudowana trwale w ekran komputera na etapie produkcji (nie dopuszcza się elementów instalowanych po produkcyjnie, naklejanych itp.);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- Dysk systemowy zawierający partycję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Recovery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umożliwiające odtworzenie systemu operacyjnego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 fabrycznie zainstalowanego na komputerze po awarii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Spełnia: 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TAK / NIE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Waga 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 w:rsidP="00A05B08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Waga urządzenia z ba</w:t>
            </w:r>
            <w:r w:rsidR="00A05B08">
              <w:rPr>
                <w:rFonts w:ascii="Calibri" w:hAnsi="Calibri"/>
                <w:bCs/>
                <w:sz w:val="24"/>
                <w:szCs w:val="24"/>
              </w:rPr>
              <w:t>terią podstawową max 1,85 kg</w:t>
            </w:r>
            <w:bookmarkStart w:id="0" w:name="_GoBack"/>
            <w:bookmarkEnd w:id="0"/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Spełnia: </w:t>
            </w:r>
          </w:p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lastRenderedPageBreak/>
              <w:t>TAK / NIE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System operacyjny </w:t>
            </w:r>
          </w:p>
        </w:tc>
        <w:tc>
          <w:tcPr>
            <w:tcW w:w="105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Zainstalowany system operacyjny Windows 10 lub 11 PL x64 w polskiej wersji językowej lub równoważny spełniający co najmniej następujące wymagania poprzez wbudowane mechanizmy, bez użycia dodatkowych aplikacji: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1. Rodzaj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 graficznego interfejsu użytkownika: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   - 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Klasyczny, umożliwiający obsługę przy pomocy klawiatury i myszy,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2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Interfejs użytkownika dostępny w wielu językach do wyboru – w tym polskim i angielskim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3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Możliwość tworzenia pulpitów wirtualnych, przenoszenia aplikacji pomiędzy pulpitami i przełączanie się pomiędzy pulpitami za pomocą skrótów klawiaturowych lub GUI.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4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Wbudowane w system operacyjny minimum dwie przeglądarki Internetowe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5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6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Zlokalizowane w języku polskim, co najmniej następujące elementy: menu, pomoc, komunikaty systemowe, menedżer plików.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7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Graficzne środowisko instalacji i konfiguracji dostępne w języku polskim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8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Wbudowany system pomocy w języku polskim.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9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Możliwość przystosowania stanowiska dla osób niepełnosprawnych (np. słabo widzących).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1</w:t>
            </w:r>
            <w:r w:rsidR="00F6242B">
              <w:rPr>
                <w:rFonts w:ascii="Calibri" w:hAnsi="Calibri"/>
                <w:bCs/>
                <w:sz w:val="24"/>
                <w:szCs w:val="24"/>
                <w:lang w:eastAsia="en-US"/>
              </w:rPr>
              <w:t>0</w:t>
            </w: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. Możliwość dokonywania aktualizacji i poprawek systemu poprzez mechanizm zarządzany przez administratora systemu Zamawiającego.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1</w:t>
            </w:r>
            <w:r w:rsidR="00F6242B">
              <w:rPr>
                <w:rFonts w:ascii="Calibri" w:hAnsi="Calibri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. Możliwość dostarczania poprawek do systemu operacyjnego w modelu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peer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-to-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peer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12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Możliwość sterowania czasem dostarczania nowych wersji systemu operacyjnego, możliwość centralnego opóźniania dostarczania nowej wersji o minimum 4 miesiące.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13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Zabezpieczony hasłem hierarchiczny dostęp do systemu, konta i profile użytkowników zarządzane zdalnie; praca systemu w trybie ochrony kont użytkowników.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1</w:t>
            </w:r>
            <w:r w:rsidR="00F6242B">
              <w:rPr>
                <w:rFonts w:ascii="Calibri" w:hAnsi="Calibri"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. Możliwość dołączenia systemu do usługi katalogowej on-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premise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 lub w chmurze.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15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Umożliwienie zablokowania urządzenia w ramach danego konta tylko do uruchamiania wybranej aplikacji - tryb "kiosk".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1</w:t>
            </w:r>
            <w:r w:rsidR="00F6242B">
              <w:rPr>
                <w:rFonts w:ascii="Calibri" w:hAnsi="Calibri"/>
                <w:bCs/>
                <w:sz w:val="24"/>
                <w:szCs w:val="24"/>
                <w:lang w:eastAsia="en-US"/>
              </w:rPr>
              <w:t>6</w:t>
            </w: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. Możliwość automatycznej synchronizacji plików i folderów roboczych znajdujących się na firmowym </w:t>
            </w: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lastRenderedPageBreak/>
              <w:t>serwerze plików w centrum danych z prywatnym urządzeniem, bez konieczności łączenia się z siecią VPN z poziomu folderu użytkownika zlokalizowanego w centrum danych firmy.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1</w:t>
            </w:r>
            <w:r w:rsidR="00F6242B">
              <w:rPr>
                <w:rFonts w:ascii="Calibri" w:hAnsi="Calibri"/>
                <w:bCs/>
                <w:sz w:val="24"/>
                <w:szCs w:val="24"/>
                <w:lang w:eastAsia="en-US"/>
              </w:rPr>
              <w:t>7</w:t>
            </w: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. Zdalna pomoc i współdzielenie aplikacji – możliwość zdalnego przejęcia sesji zalogowanego użytkownika celem rozwiązania problemu z komputerem.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18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. Transakcyjny system plików pozwalający na stosowanie przydziałów (ang. </w:t>
            </w:r>
            <w:proofErr w:type="spellStart"/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quota</w:t>
            </w:r>
            <w:proofErr w:type="spellEnd"/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) na dysku dla użytkowników oraz zapewniający większą niezawodność i pozwalający tworzyć kopie zapasowe.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19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Oprogramowanie dla tworzenia kopii zapasowych (Backup); automatyczne wykonywanie kopii plików z możliwością automatycznego przywrócenia wersji wcześniejszej.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20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Możliwość przywracania obrazu plików systemowych do uprzednio zapisanej postaci.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21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Możliwość przywracania systemu operacyjnego do stanu początkowego z pozostawieniem plików użytkownika.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22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Możliwość blokowania lub dopuszczania dowolnych urządzeń peryferyjnych za pomocą polityk grupowych (np. przy użyciu numerów identyfikacyjnych sprzętu)."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23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. Wbudowany mechanizm wirtualizacji typu </w:t>
            </w:r>
            <w:proofErr w:type="spellStart"/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hypervisor</w:t>
            </w:r>
            <w:proofErr w:type="spellEnd"/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."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24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Wbudowana możliwość zdalnego dostępu do systemu i pracy zdalnej z wykorzystaniem pełnego interfejsu graficznego.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2</w:t>
            </w:r>
            <w:r w:rsidR="00F6242B">
              <w:rPr>
                <w:rFonts w:ascii="Calibri" w:hAnsi="Calibri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. Dostępność bezpłatnych biuletynów bezpieczeństwa związanych z działaniem systemu operacyjnego.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26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Wbudowana zapora internetowa (firewall) dla ochrony połączeń internetowych, zintegrowana z systemem konsola do zarządzania ustawieniami zapory i regułami IP v4 i IP v6.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27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28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29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Wbudowany system uwierzytelnienia dwuskładnikowego oparty o certyfikat lub klucz prywatny oraz PIN lub uwierzytelnienie biometryczne.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30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Wbudowane mechanizmy ochrony antywirusowej i przeciw złośliwemu oprogramowaniu z zapewnionymi bezpłatnymi aktualizacjami.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lastRenderedPageBreak/>
              <w:t>31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Wbudowany system szyfrowania dysku twardego ze wsparciem modułu TPM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32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Możliwość tworzenia i przechowywania kopii zapasowych kluczy odzyskiwania do szyfrowania dysku w usługach katalogowych.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3</w:t>
            </w:r>
            <w:r w:rsidR="00F6242B">
              <w:rPr>
                <w:rFonts w:ascii="Calibri" w:hAnsi="Calibri"/>
                <w:bCs/>
                <w:sz w:val="24"/>
                <w:szCs w:val="24"/>
                <w:lang w:eastAsia="en-US"/>
              </w:rPr>
              <w:t>3</w:t>
            </w: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. Możliwość tworzenia wirtualnych kart inteligentnych.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34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. Wsparcie dla </w:t>
            </w:r>
            <w:proofErr w:type="spellStart"/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firmware</w:t>
            </w:r>
            <w:proofErr w:type="spellEnd"/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 UEFI i funkcji bezpiecznego rozruchu (</w:t>
            </w:r>
            <w:proofErr w:type="spellStart"/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Secure</w:t>
            </w:r>
            <w:proofErr w:type="spellEnd"/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Boot</w:t>
            </w:r>
            <w:proofErr w:type="spellEnd"/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)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3</w:t>
            </w:r>
            <w:r w:rsidR="00F6242B">
              <w:rPr>
                <w:rFonts w:ascii="Calibri" w:hAnsi="Calibri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. Wbudowany w system, wykorzystywany automatycznie przez wbudowane przeglądarki filtr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reputacyjny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 URL.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36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Wsparcie dla IPSEC oparte na politykach – wdrażanie IPSEC oparte na zestawach reguł definiujących ustawienia zarządzanych w sposób centralny.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37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Mechanizmy logowania w oparciu o: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      a. Login i hasło,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      b. Karty inteligentne i certyfikaty (Smart Card),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      c. Wirtualne karty inteligentne i certyfikaty (logowanie w oparciu o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          certyfikat chroniony poprzez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          moduł TPM),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      d. Certyfikat/Klucz i PIN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      e. Certyfikat/Klucz i uwierzytelnienie biometryczne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38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. Wsparcie dla uwierzytelniania na bazie </w:t>
            </w:r>
            <w:proofErr w:type="spellStart"/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Kerberos</w:t>
            </w:r>
            <w:proofErr w:type="spellEnd"/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 v.5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39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Wbudowany agent do zbierania danych na temat zagrożeń na stacji roboczej.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40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Wsparcie .NET Framework 2.x, 3.x i 4.x – możliwość uruchomienia aplikacji działających we wskazanych środowiskach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41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. Wsparcie dla </w:t>
            </w:r>
            <w:proofErr w:type="spellStart"/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VBScript</w:t>
            </w:r>
            <w:proofErr w:type="spellEnd"/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 – możliwość uruchamiania interpretera poleceń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42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Wsparcie dla Power Shell 5.x – możliwość uruchamiania interpretera poleceń</w:t>
            </w:r>
          </w:p>
          <w:p w:rsidR="00F85532" w:rsidRDefault="00F6242B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43</w:t>
            </w:r>
            <w:r w:rsidR="0000164F">
              <w:rPr>
                <w:rFonts w:ascii="Calibri" w:hAnsi="Calibri"/>
                <w:bCs/>
                <w:sz w:val="24"/>
                <w:szCs w:val="24"/>
                <w:lang w:eastAsia="en-US"/>
              </w:rPr>
              <w:t>. Klucz licencyjny musi być zapisany trwale w BIOS, tak aby umożliwiać instalacje systemu operacyjnego bez potrzeby ręcznego wpisywania klucza licencyjnego i aktywacje automatyczną systemu po podłączeniu do internetu.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 xml:space="preserve">Spełnia: 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TAK / NIE</w:t>
            </w:r>
          </w:p>
          <w:p w:rsidR="00F85532" w:rsidRDefault="00F85532">
            <w:pPr>
              <w:widowControl w:val="0"/>
              <w:rPr>
                <w:rFonts w:ascii="Calibri" w:hAnsi="Calibri"/>
                <w:sz w:val="24"/>
                <w:szCs w:val="24"/>
              </w:rPr>
            </w:pP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Nazwa systemu operacyjnego, wersja.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W przypadku systemu równoważnego załączyć wydruk ze strony producenta oprogramowania lub zaświadczenie potwierdzające spełnienie wymagań.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Gwarancja producenta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Min. 24 miesiące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Spełnia:TAK / NIE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Ilość:               m-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cy</w:t>
            </w:r>
            <w:proofErr w:type="spellEnd"/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tabs>
                <w:tab w:val="left" w:pos="213"/>
              </w:tabs>
              <w:spacing w:line="300" w:lineRule="exact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Wsparcie </w:t>
            </w: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lastRenderedPageBreak/>
              <w:t>techniczne producenta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lastRenderedPageBreak/>
              <w:t xml:space="preserve">- możliwość weryfikacji u producenta konfiguracji fabrycznej zakupionego sprzętu 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lastRenderedPageBreak/>
              <w:t>- możliwość weryfikacji na stronie producenta posiadanej/wykupionej gwarancji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- możliwość weryfikacji statusu naprawy urządzenia po podaniu unikalnego S/N (P/N)</w:t>
            </w:r>
          </w:p>
          <w:p w:rsidR="00F85532" w:rsidRDefault="0000164F">
            <w:pPr>
              <w:widowControl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- naprawy gwarancyjne urządzeń muszą być realizowany przez Producenta lub Autoryzowanego Partnera Serwisowego Producenta.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 xml:space="preserve">Spełnia: 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TAK / NIE</w:t>
            </w:r>
          </w:p>
        </w:tc>
      </w:tr>
      <w:tr w:rsidR="00F85532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F85532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85532" w:rsidRDefault="0000164F">
            <w:pPr>
              <w:widowControl w:val="0"/>
              <w:tabs>
                <w:tab w:val="left" w:pos="213"/>
              </w:tabs>
              <w:spacing w:line="300" w:lineRule="exact"/>
              <w:jc w:val="both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Cs/>
                <w:sz w:val="24"/>
                <w:szCs w:val="24"/>
                <w:lang w:eastAsia="en-US"/>
              </w:rPr>
              <w:t>Wymagania dodatkowe</w:t>
            </w:r>
          </w:p>
        </w:tc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8D2158" w:rsidP="008D2158">
            <w:pPr>
              <w:pStyle w:val="Akapitzlist"/>
              <w:spacing w:after="200" w:line="276" w:lineRule="auto"/>
              <w:ind w:left="1200"/>
              <w:contextualSpacing/>
              <w:rPr>
                <w:rFonts w:eastAsia="Calibri" w:cs="Tahoma"/>
                <w:sz w:val="24"/>
                <w:szCs w:val="24"/>
              </w:rPr>
            </w:pPr>
            <w:r>
              <w:rPr>
                <w:rFonts w:eastAsia="Calibri" w:cs="Tahoma"/>
                <w:sz w:val="24"/>
                <w:szCs w:val="24"/>
              </w:rPr>
              <w:t xml:space="preserve">Dostarczony sprzęt musi być : </w:t>
            </w:r>
          </w:p>
          <w:p w:rsidR="008D2158" w:rsidRDefault="008D2158" w:rsidP="008D2158">
            <w:pPr>
              <w:pStyle w:val="Akapitzlist"/>
              <w:spacing w:after="200" w:line="276" w:lineRule="auto"/>
              <w:ind w:left="1200"/>
              <w:contextualSpacing/>
              <w:rPr>
                <w:rFonts w:eastAsia="Calibri" w:cs="Tahoma"/>
                <w:sz w:val="24"/>
                <w:szCs w:val="24"/>
              </w:rPr>
            </w:pPr>
          </w:p>
          <w:p w:rsidR="008D2158" w:rsidRDefault="008D2158" w:rsidP="008D2158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eastAsia="Calibri" w:cs="Tahoma"/>
                <w:sz w:val="24"/>
                <w:szCs w:val="24"/>
              </w:rPr>
            </w:pPr>
            <w:r>
              <w:rPr>
                <w:rFonts w:eastAsia="Calibri" w:cs="Tahoma"/>
                <w:sz w:val="24"/>
                <w:szCs w:val="24"/>
              </w:rPr>
              <w:t xml:space="preserve">fabrycznie nowy, </w:t>
            </w:r>
          </w:p>
          <w:p w:rsidR="008D2158" w:rsidRDefault="008D2158" w:rsidP="008D2158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eastAsia="Calibri" w:cs="Tahoma"/>
                <w:sz w:val="24"/>
                <w:szCs w:val="24"/>
              </w:rPr>
            </w:pPr>
            <w:r>
              <w:rPr>
                <w:rFonts w:eastAsia="Calibri" w:cs="Tahoma"/>
                <w:sz w:val="24"/>
                <w:szCs w:val="24"/>
              </w:rPr>
              <w:t>nieużywany ( bez śladów  użytkowania),</w:t>
            </w:r>
            <w:r w:rsidRPr="00554250">
              <w:rPr>
                <w:rFonts w:eastAsia="Calibri" w:cs="Tahoma"/>
                <w:sz w:val="24"/>
                <w:szCs w:val="24"/>
              </w:rPr>
              <w:t xml:space="preserve"> </w:t>
            </w:r>
          </w:p>
          <w:p w:rsidR="008D2158" w:rsidRDefault="008D2158" w:rsidP="008D2158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eastAsia="Calibri" w:cs="Tahoma"/>
                <w:sz w:val="24"/>
                <w:szCs w:val="24"/>
              </w:rPr>
            </w:pPr>
            <w:r w:rsidRPr="00554250">
              <w:rPr>
                <w:rFonts w:eastAsia="Calibri" w:cs="Tahoma"/>
                <w:sz w:val="24"/>
                <w:szCs w:val="24"/>
              </w:rPr>
              <w:t xml:space="preserve"> wolny od wad technicznych i prawnych,</w:t>
            </w:r>
          </w:p>
          <w:p w:rsidR="008D2158" w:rsidRPr="008D2158" w:rsidRDefault="008D2158" w:rsidP="008D2158">
            <w:pPr>
              <w:pStyle w:val="Akapitzlist"/>
              <w:numPr>
                <w:ilvl w:val="0"/>
                <w:numId w:val="4"/>
              </w:numPr>
              <w:rPr>
                <w:rFonts w:eastAsia="Calibri" w:cs="Tahoma"/>
                <w:sz w:val="24"/>
                <w:szCs w:val="24"/>
              </w:rPr>
            </w:pPr>
            <w:r w:rsidRPr="008D2158">
              <w:rPr>
                <w:rFonts w:eastAsia="Calibri" w:cs="Tahoma"/>
                <w:sz w:val="24"/>
                <w:szCs w:val="24"/>
              </w:rPr>
              <w:t>pochodzić z legalnych źródeł oraz zostać dostarczony ze wszystkimi elementami pozwalającymi na potwierdzenie legalności ich pochodzenia.</w:t>
            </w:r>
          </w:p>
          <w:p w:rsidR="008D2158" w:rsidRDefault="008D2158" w:rsidP="008D2158">
            <w:pPr>
              <w:pStyle w:val="Akapitzlist"/>
              <w:spacing w:after="200" w:line="276" w:lineRule="auto"/>
              <w:ind w:left="1200"/>
              <w:contextualSpacing/>
              <w:rPr>
                <w:rFonts w:eastAsia="Calibri" w:cs="Tahoma"/>
                <w:sz w:val="24"/>
                <w:szCs w:val="24"/>
              </w:rPr>
            </w:pPr>
          </w:p>
          <w:p w:rsidR="00F85532" w:rsidRDefault="00F85532" w:rsidP="008D2158">
            <w:pPr>
              <w:widowControl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D2158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Spełnia: </w:t>
            </w:r>
          </w:p>
          <w:p w:rsidR="00F85532" w:rsidRDefault="0000164F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TAK / NIE</w:t>
            </w:r>
          </w:p>
        </w:tc>
      </w:tr>
    </w:tbl>
    <w:p w:rsidR="00F85532" w:rsidRDefault="00F85532">
      <w:pPr>
        <w:rPr>
          <w:rFonts w:ascii="Times New Roman" w:hAnsi="Times New Roman"/>
          <w:sz w:val="18"/>
          <w:szCs w:val="18"/>
        </w:rPr>
      </w:pPr>
    </w:p>
    <w:p w:rsidR="00F6242B" w:rsidRDefault="00F6242B">
      <w:pPr>
        <w:rPr>
          <w:rFonts w:ascii="Times New Roman" w:hAnsi="Times New Roman"/>
          <w:sz w:val="18"/>
          <w:szCs w:val="18"/>
        </w:rPr>
      </w:pPr>
    </w:p>
    <w:p w:rsidR="00F6242B" w:rsidRPr="00F6242B" w:rsidRDefault="00F6242B" w:rsidP="00F6242B">
      <w:pPr>
        <w:rPr>
          <w:rFonts w:asciiTheme="minorHAnsi" w:hAnsiTheme="minorHAnsi" w:cstheme="minorHAnsi"/>
          <w:color w:val="FF0000"/>
        </w:rPr>
      </w:pPr>
      <w:r w:rsidRPr="00F6242B">
        <w:rPr>
          <w:rFonts w:asciiTheme="minorHAnsi" w:hAnsiTheme="minorHAnsi" w:cstheme="minorHAnsi"/>
          <w:iCs/>
          <w:color w:val="FF0000"/>
        </w:rPr>
        <w:t>Niniejszy dokument należy opatrzyć kwalifikowanym podpisem elektronicznym lub podpisem zaufanym lub podpisem osobistym właściwej, umocowanej osoby /właściwych, umocowanych osób</w:t>
      </w:r>
    </w:p>
    <w:p w:rsidR="00F6242B" w:rsidRPr="00F6242B" w:rsidRDefault="00F6242B" w:rsidP="00F6242B">
      <w:pPr>
        <w:rPr>
          <w:rFonts w:asciiTheme="minorHAnsi" w:hAnsiTheme="minorHAnsi" w:cstheme="minorHAnsi"/>
          <w:color w:val="FF0000"/>
        </w:rPr>
      </w:pPr>
    </w:p>
    <w:p w:rsidR="00F6242B" w:rsidRPr="00F6242B" w:rsidRDefault="00F6242B">
      <w:pPr>
        <w:rPr>
          <w:rFonts w:asciiTheme="minorHAnsi" w:hAnsiTheme="minorHAnsi" w:cstheme="minorHAnsi"/>
          <w:sz w:val="18"/>
          <w:szCs w:val="18"/>
        </w:rPr>
      </w:pPr>
    </w:p>
    <w:sectPr w:rsidR="00F6242B" w:rsidRPr="00F6242B">
      <w:pgSz w:w="16838" w:h="11906" w:orient="landscape"/>
      <w:pgMar w:top="1020" w:right="1134" w:bottom="1020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B6EA6"/>
    <w:multiLevelType w:val="hybridMultilevel"/>
    <w:tmpl w:val="30FEFDC4"/>
    <w:lvl w:ilvl="0" w:tplc="0415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3A550733"/>
    <w:multiLevelType w:val="multilevel"/>
    <w:tmpl w:val="B372BFB8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B450B35"/>
    <w:multiLevelType w:val="multilevel"/>
    <w:tmpl w:val="2356FE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80D4FC1"/>
    <w:multiLevelType w:val="multilevel"/>
    <w:tmpl w:val="D36A42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32"/>
    <w:rsid w:val="0000164F"/>
    <w:rsid w:val="000E2F7F"/>
    <w:rsid w:val="008D2158"/>
    <w:rsid w:val="00A05B08"/>
    <w:rsid w:val="00EF3670"/>
    <w:rsid w:val="00F6242B"/>
    <w:rsid w:val="00F80148"/>
    <w:rsid w:val="00F8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50A"/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727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F790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F790B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790B"/>
    <w:rPr>
      <w:rFonts w:ascii="Tahoma" w:eastAsia="Times New Roman" w:hAnsi="Tahoma" w:cs="Tahoma"/>
      <w:sz w:val="16"/>
      <w:szCs w:val="16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F54BA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5607C1"/>
    <w:rPr>
      <w:color w:val="800080" w:themeColor="followedHyperlink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abelapozycja">
    <w:name w:val="Tabela pozycja"/>
    <w:basedOn w:val="Normalny"/>
    <w:qFormat/>
    <w:rsid w:val="009F750A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9078DC"/>
    <w:pPr>
      <w:ind w:left="720"/>
    </w:pPr>
    <w:rPr>
      <w:rFonts w:ascii="Calibri" w:hAnsi="Calibri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F790B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790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F54BA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944BA0"/>
    <w:pPr>
      <w:spacing w:beforeAutospacing="1" w:afterAutospacing="1"/>
    </w:pPr>
    <w:rPr>
      <w:rFonts w:ascii="Times New Roman" w:eastAsiaTheme="minorHAnsi" w:hAnsi="Times New Roman"/>
      <w:sz w:val="24"/>
      <w:szCs w:val="24"/>
    </w:rPr>
  </w:style>
  <w:style w:type="paragraph" w:styleId="Poprawka">
    <w:name w:val="Revision"/>
    <w:uiPriority w:val="99"/>
    <w:semiHidden/>
    <w:qFormat/>
    <w:rsid w:val="00793B5E"/>
    <w:rPr>
      <w:rFonts w:ascii="Arial Narrow" w:eastAsia="Times New Roman" w:hAnsi="Arial Narrow" w:cs="Times New Roman"/>
      <w:szCs w:val="20"/>
      <w:lang w:val="pl-PL"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50A"/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727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F790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F790B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790B"/>
    <w:rPr>
      <w:rFonts w:ascii="Tahoma" w:eastAsia="Times New Roman" w:hAnsi="Tahoma" w:cs="Tahoma"/>
      <w:sz w:val="16"/>
      <w:szCs w:val="16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F54BA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5607C1"/>
    <w:rPr>
      <w:color w:val="800080" w:themeColor="followedHyperlink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abelapozycja">
    <w:name w:val="Tabela pozycja"/>
    <w:basedOn w:val="Normalny"/>
    <w:qFormat/>
    <w:rsid w:val="009F750A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9078DC"/>
    <w:pPr>
      <w:ind w:left="720"/>
    </w:pPr>
    <w:rPr>
      <w:rFonts w:ascii="Calibri" w:hAnsi="Calibri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F790B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790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F54BA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944BA0"/>
    <w:pPr>
      <w:spacing w:beforeAutospacing="1" w:afterAutospacing="1"/>
    </w:pPr>
    <w:rPr>
      <w:rFonts w:ascii="Times New Roman" w:eastAsiaTheme="minorHAnsi" w:hAnsi="Times New Roman"/>
      <w:sz w:val="24"/>
      <w:szCs w:val="24"/>
    </w:rPr>
  </w:style>
  <w:style w:type="paragraph" w:styleId="Poprawka">
    <w:name w:val="Revision"/>
    <w:uiPriority w:val="99"/>
    <w:semiHidden/>
    <w:qFormat/>
    <w:rsid w:val="00793B5E"/>
    <w:rPr>
      <w:rFonts w:ascii="Arial Narrow" w:eastAsia="Times New Roman" w:hAnsi="Arial Narrow" w:cs="Times New Roman"/>
      <w:szCs w:val="20"/>
      <w:lang w:val="pl-PL"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CBFC0-33A3-487B-BF0D-2DDDAD17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2009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5</cp:revision>
  <cp:lastPrinted>2022-04-29T10:19:00Z</cp:lastPrinted>
  <dcterms:created xsi:type="dcterms:W3CDTF">2022-04-29T10:33:00Z</dcterms:created>
  <dcterms:modified xsi:type="dcterms:W3CDTF">2022-05-13T11:50:00Z</dcterms:modified>
  <dc:language>pl-PL</dc:language>
</cp:coreProperties>
</file>