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   Znak: ZP/COV/13/21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W/UMWM-UF/UM/NW/             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z dnia …………….2021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późn.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aparatu do znieczulenia  szczegółowego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zobowiązany jest do dostarczenia i wydania Kupującemu Przedmiotu Umowy, a także przeszkolenia personelu medycznego i technicznego w terminie do  6 tygodni od daty podpisania umowy.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medycznego 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wykonywania serwisu na warunkach wskazanych w Ofercie, stanowiącej załącznik nr 1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>ującemu karę umowną w wysokości 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jeśli potrącenie, o którym mowa w ust. 5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ePUAP: /umwm/esp.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z przetwarzaniem danych osobowych i w sprawie swobodnego przepływu takich danych oraz uchylenia dyrektywy 95/46/WE, z późn.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AF2447" w:rsidRDefault="00D4182E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1 Formularz oferty </w:t>
      </w:r>
    </w:p>
    <w:p w:rsidR="00D4182E" w:rsidRPr="00AF2447" w:rsidRDefault="00D4182E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Załącznik nr 2  Wzór protokołu odbioru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Default="00D4182E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 do umowy</w:t>
      </w: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Pr="00D4182E">
        <w:rPr>
          <w:rFonts w:cstheme="minorHAnsi"/>
          <w:b/>
        </w:rPr>
        <w:t>/2021</w:t>
      </w:r>
      <w:r>
        <w:rPr>
          <w:rFonts w:cstheme="minorHAnsi"/>
        </w:rPr>
        <w:t xml:space="preserve"> </w:t>
      </w: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Data odbioru ……………………. 2021 r.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0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0"/>
      <w:r w:rsidRPr="00854E4C">
        <w:rPr>
          <w:rFonts w:cstheme="minorHAnsi"/>
        </w:rPr>
        <w:t xml:space="preserve"> dokonania szkolenia personelu.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1" w:name="sdfootnote1sym"/>
    <w:p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Niepotrzebne skreślić</w:t>
      </w:r>
      <w:bookmarkStart w:id="2" w:name="_GoBack"/>
      <w:bookmarkEnd w:id="2"/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36" w:rsidRDefault="00B52B36" w:rsidP="00B52B36">
      <w:pPr>
        <w:spacing w:after="0" w:line="240" w:lineRule="auto"/>
      </w:pPr>
      <w:r>
        <w:separator/>
      </w:r>
    </w:p>
  </w:endnote>
  <w:endnote w:type="continuationSeparator" w:id="0">
    <w:p w:rsidR="00B52B36" w:rsidRDefault="00B52B36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36" w:rsidRDefault="00B52B36" w:rsidP="00B52B36">
      <w:pPr>
        <w:spacing w:after="0" w:line="240" w:lineRule="auto"/>
      </w:pPr>
      <w:r>
        <w:separator/>
      </w:r>
    </w:p>
  </w:footnote>
  <w:footnote w:type="continuationSeparator" w:id="0">
    <w:p w:rsidR="00B52B36" w:rsidRDefault="00B52B36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5767E4"/>
    <w:rsid w:val="00854E4C"/>
    <w:rsid w:val="00AF16E2"/>
    <w:rsid w:val="00AF2447"/>
    <w:rsid w:val="00B52B36"/>
    <w:rsid w:val="00D4182E"/>
    <w:rsid w:val="00EA2098"/>
    <w:rsid w:val="00EC641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E714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2431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2021-09-27T12:23:00Z</dcterms:created>
  <dcterms:modified xsi:type="dcterms:W3CDTF">2021-09-27T12:28:00Z</dcterms:modified>
</cp:coreProperties>
</file>