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B5" w:rsidRPr="0096696C" w:rsidRDefault="00530CB5" w:rsidP="001B0E4F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96696C">
        <w:rPr>
          <w:rFonts w:ascii="Times New Roman" w:hAnsi="Times New Roman" w:cs="Times New Roman"/>
          <w:b/>
          <w:i/>
          <w:sz w:val="24"/>
          <w:szCs w:val="32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32"/>
        </w:rPr>
        <w:t>3</w:t>
      </w:r>
      <w:r w:rsidRPr="0096696C">
        <w:rPr>
          <w:rFonts w:ascii="Times New Roman" w:hAnsi="Times New Roman" w:cs="Times New Roman"/>
          <w:b/>
          <w:i/>
          <w:sz w:val="24"/>
          <w:szCs w:val="32"/>
        </w:rPr>
        <w:t xml:space="preserve"> do SWZ</w:t>
      </w:r>
      <w:r w:rsidR="006D6036">
        <w:rPr>
          <w:rFonts w:ascii="Times New Roman" w:hAnsi="Times New Roman" w:cs="Times New Roman"/>
          <w:b/>
          <w:i/>
          <w:sz w:val="24"/>
          <w:szCs w:val="32"/>
        </w:rPr>
        <w:t xml:space="preserve"> po zmianach</w:t>
      </w:r>
      <w:r w:rsidR="00F95607">
        <w:rPr>
          <w:rFonts w:ascii="Times New Roman" w:hAnsi="Times New Roman" w:cs="Times New Roman"/>
          <w:b/>
          <w:i/>
          <w:sz w:val="24"/>
          <w:szCs w:val="32"/>
        </w:rPr>
        <w:t xml:space="preserve"> I</w:t>
      </w:r>
      <w:r w:rsidR="001B0E4F">
        <w:rPr>
          <w:rFonts w:ascii="Times New Roman" w:hAnsi="Times New Roman" w:cs="Times New Roman"/>
          <w:b/>
          <w:i/>
          <w:sz w:val="24"/>
          <w:szCs w:val="32"/>
        </w:rPr>
        <w:t>I</w:t>
      </w:r>
      <w:r w:rsidR="00F95607">
        <w:rPr>
          <w:rFonts w:ascii="Times New Roman" w:hAnsi="Times New Roman" w:cs="Times New Roman"/>
          <w:b/>
          <w:i/>
          <w:sz w:val="24"/>
          <w:szCs w:val="32"/>
        </w:rPr>
        <w:t>I</w:t>
      </w:r>
      <w:r w:rsidR="006D6036">
        <w:rPr>
          <w:rFonts w:ascii="Times New Roman" w:hAnsi="Times New Roman" w:cs="Times New Roman"/>
          <w:b/>
          <w:i/>
          <w:sz w:val="24"/>
          <w:szCs w:val="32"/>
        </w:rPr>
        <w:t xml:space="preserve"> </w:t>
      </w:r>
    </w:p>
    <w:p w:rsidR="00530CB5" w:rsidRPr="0096696C" w:rsidRDefault="00530CB5" w:rsidP="001B0E4F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96696C">
        <w:rPr>
          <w:rFonts w:ascii="Times New Roman" w:hAnsi="Times New Roman" w:cs="Times New Roman"/>
          <w:b/>
          <w:i/>
          <w:sz w:val="24"/>
          <w:szCs w:val="32"/>
        </w:rPr>
        <w:t>Nr wewn. post. 76/22</w:t>
      </w:r>
    </w:p>
    <w:p w:rsidR="00530CB5" w:rsidRDefault="00530CB5" w:rsidP="00F95607">
      <w:pPr>
        <w:widowControl w:val="0"/>
        <w:suppressAutoHyphens/>
        <w:spacing w:after="0" w:line="276" w:lineRule="auto"/>
        <w:ind w:left="5245" w:hanging="3260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3261" w:hanging="3260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bookmarkStart w:id="0" w:name="_GoBack"/>
      <w:bookmarkEnd w:id="0"/>
    </w:p>
    <w:p w:rsidR="00530CB5" w:rsidRPr="00530CB5" w:rsidRDefault="00530CB5" w:rsidP="00530CB5">
      <w:pPr>
        <w:widowControl w:val="0"/>
        <w:suppressAutoHyphens/>
        <w:spacing w:after="0" w:line="276" w:lineRule="auto"/>
        <w:jc w:val="center"/>
        <w:rPr>
          <w:rFonts w:ascii="Arial" w:eastAsia="Arial" w:hAnsi="Arial" w:cs="Times New Roman"/>
          <w:b/>
          <w:sz w:val="24"/>
          <w:szCs w:val="24"/>
          <w:lang w:eastAsia="ar-SA"/>
        </w:rPr>
      </w:pPr>
      <w:r w:rsidRPr="00530CB5">
        <w:rPr>
          <w:rFonts w:ascii="Arial Black" w:eastAsia="Arial" w:hAnsi="Arial Black" w:cs="Times New Roman"/>
          <w:b/>
          <w:sz w:val="24"/>
          <w:szCs w:val="24"/>
          <w:lang w:eastAsia="ar-SA"/>
        </w:rPr>
        <w:t>SPECYFIKACJA TECHNICZNA POJAZDU</w:t>
      </w:r>
    </w:p>
    <w:p w:rsidR="00530CB5" w:rsidRPr="00530CB5" w:rsidRDefault="00530CB5" w:rsidP="00530CB5">
      <w:pPr>
        <w:widowControl w:val="0"/>
        <w:suppressAutoHyphens/>
        <w:spacing w:after="0" w:line="276" w:lineRule="auto"/>
        <w:jc w:val="center"/>
        <w:rPr>
          <w:rFonts w:ascii="Arial Black" w:eastAsia="Arial" w:hAnsi="Arial Black" w:cs="Times New Roman"/>
          <w:b/>
          <w:lang w:eastAsia="ar-SA"/>
        </w:rPr>
      </w:pPr>
    </w:p>
    <w:tbl>
      <w:tblPr>
        <w:tblW w:w="9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"/>
        <w:gridCol w:w="624"/>
        <w:gridCol w:w="8442"/>
      </w:tblGrid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30CB5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I. CHARAKTERYSTYKA WYROBU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lang w:eastAsia="ar-SA"/>
              </w:rPr>
              <w:t>Przedmiotem opracowania jest specyfikacja techniczna dla pojazdu osobowego, w wersji nieoznakowanej typu KOMBIVAN. Przyjmuje się robocze oznaczenie samochodu „Pojazd”.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II. DOKUMENTY ODNIESIENIA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Ustawa z dnia 20 czerwca 1997 r. Prawo o ruchu drogowym (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t.jedn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. Dz.U. z 2022r., poz. 988 z późn. zm.).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Rozporządzenie Ministra Infrastruktury z dnia 31 grudnia 2002 r. w sprawie warunków technicznych pojazdów oraz ich niezbędnego wyposażenia (Dz.U. z 2016r., poz. 2022 z późn. zm.).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Rozporządzenie Ministrów: Spraw Wewnętrznych i Administracji, Obrony Narodowej, Rozwoju i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(Dz.U. z 2019r. poz. 594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 późn. zm.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III. PRZEZNACZENIE DOKUMENTU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Specyfikacja techniczna przeznaczona jest do wykorzystania jako załącznik opisujący  przedmiot zamówienia w procedurach związanych z realizacją postępowań przetargowych.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IV. ZAKRES STOSOWANIA DOKUMENTU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Dokument stosowany będzie przy zakupie pojazdu realizowany przez jednostki Policji.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V. WYMAGANIA STANDARDOWE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techniczne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3"/>
              </w:numPr>
              <w:tabs>
                <w:tab w:val="left" w:pos="400"/>
              </w:tabs>
              <w:suppressAutoHyphens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pl-PL"/>
              </w:rPr>
              <w:t>ilość - szt. 4,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3"/>
              </w:numPr>
              <w:tabs>
                <w:tab w:val="left" w:pos="400"/>
              </w:tabs>
              <w:suppressAutoHyphens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pl-PL"/>
              </w:rPr>
              <w:t>Wykonawca zobowiązany jest dostarczyć pojazd do miejsca i w terminie wskazanym w umowie.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1.1. Przeznaczenie pojazdu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P</w:t>
            </w:r>
            <w:r w:rsidRPr="00530CB5">
              <w:rPr>
                <w:rFonts w:ascii="Times New Roman" w:eastAsia="Times New Roman" w:hAnsi="Times New Roman" w:cs="Arial"/>
                <w:lang w:eastAsia="ar-SA"/>
              </w:rPr>
              <w:t>ojazd będzie wykorzystywany przez Policję do realizacji zadań służbowych.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1.2. Warunki eksploatacji – pojazd musi być przystosowany do: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624" w:hanging="6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1.2.1. Eksploatacji we wszystkich porach roku i doby, w warunkach atmosferycznych spotykanych w polskiej strefie klimatycznej: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a) temperaturach otoczenia od -30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 do + 50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C,</w:t>
            </w:r>
          </w:p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b) przy zapyleniu powietrza do 1,0 g/m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3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w czasie 5 godzin,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c) przy prędkości wiatru do 20 m/s,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d) przy wilgotności względnej powietrza do 98% ( przy temperaturze  +25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 ),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e) intensywności deszczu do 180 mm/h trwającego 5 minut.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690" w:hanging="69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1.2.2. Jazdy po drogach twardych i gruntowych.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1.2.3. Przechowywania na wolnym powietrzu.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880" w:hanging="8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1.2.4. Mycia w myjniach automatycznych szczotkowych lub ręcznych.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1.3. Wymagania formalne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spełniać wymagania określone w Rozporządzeniu Ministrów: Spraw Wewnętrznych i Administracji, Obrony Narodowej, Rozwoju i Finansów oraz Sprawiedliwości z dnia 22 marca 2019r.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budowany z wykorzystaniem pojazdu bazowego posiadającego homologację wystawioną zgodnie z Ustawą z dnia 20 czerwca 1997 r. Prawo o ruchu drogowym lub Rozporządzeniem Parlamentu Europejskiego i Rady (UE) 2018/858/WE z dnia 30 maja 2018r. w sprawie homologacji i nadzoru rynku pojazdów silnikowych i ich przyczep i układów, komponentów i oddzielnych zespołów technicznych przeznaczonych do tych pojazdów, zmieniające rozporządzenie (WE) nr 715/2007 i (WE) nr 595/2009 oraz uchylające dyrektywę 2007/46/WE.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  <w:t>Dokument potwierdzający spełnienie wymogu musi być przedstawiony przez Wykonawcy w fazie składania oferty przetargowej.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Dostarczony pojazd musi mieć wykonany przez Wykonawcę i na jego koszt przegląd zerowy, co musi być potwierdzone w dokumentacji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  <w:t>Dokument potwierdzający spełnienie wymogu musi być przedstawiony przez Wykonawcę w fazie odbioru pojazdu.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Dostarczony pojazd musi być zbudowany z wykorzystaniem pojazdu bazowego, w tym samym wariancie homologacyjnym.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 fazie modyfikacji pojazdu Wykonawca zobowiązany jest do konsultowania i uzyskania akceptacji przez Zamawiającego proponowanych do zastosowania w pojeździe rozwiązań konstrukcyjnych i funkcjonalnych dotyczących zabudowy pojazdu.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zobowiązany jest do skompletowania pojazdu bazowego w sposób, co najmniej zgodny z handlową ofertą wyposażenia oferowaną dla odbiorców indywidualnych.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fabrycznie nowy, rok produkcji zgodny z rokiem dostawy.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1.4. Wymagania techniczne dla pojazdu bazowego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nadwozia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typu KOMBIVAN (zgodnie z definicją Instytutu Badań Rynku Motoryzacyjnego SAMAR) kategorii M</w:t>
            </w:r>
            <w:r w:rsidRPr="00530CB5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4237A">
              <w:rPr>
                <w:rFonts w:ascii="Times New Roman" w:eastAsia="Times New Roman" w:hAnsi="Times New Roman" w:cs="Times New Roman"/>
                <w:lang w:eastAsia="ar-SA"/>
              </w:rPr>
              <w:t>lub N</w:t>
            </w:r>
            <w:r w:rsidR="00E4237A" w:rsidRPr="00E4237A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="00E4237A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 xml:space="preserve">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 nadwoziu zamkniętym z dachem o konstrukcji oraz poszyciu wykonanym z metalu.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1.4.1.2.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Nadwozie zamknięte całkowicie przeszkolone z liczbą miejsc siedzących (w tym miejsce kierowcy) dla min. 4 osób.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Para drzwi bocznych drugiego rzędu siedzeń  po obu stronach pojazdu.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Wszystkie drzwi przeszklone.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Rozstaw osi nie mniejszy niż 2750 mm (według danych z pkt. 4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Długość całkowita pojazdu nie mniejsza niż 4400 mm (według danych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z 5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Pojemność przestrzeni bagażowej nie mniejsza niż min. 590 litrów.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Wysokość pojazdu nie większa niż 1900 mm (według danych z pkt. 7 świadectwa zgodności WE).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silnika i układu zasilania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Silnik spalinowy o zapłonie samoczynnym spełniający, co najmniej normę emisji spalin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Euro 6.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Pojemność skokowa silnika, nie mniejsza niż 1490 cm</w:t>
            </w:r>
            <w:r w:rsidRPr="00530CB5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 xml:space="preserve">3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(według danych z pkt 25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Maksymalna moc netto silnika, nie mniejsza niż 75 kW (według danych z pkt 27 świadectwa zgodności WE 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Warunki techniczne dla układu hamulcowego – układ hamulcowy musi być wyposażony, w co najmniej: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U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kład zapobiegający blokowaniu kół pojazdu podczas hamowania.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lektroniczny asystent siły hamowania;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lektroniczny system siły hamowania na przednia i tylną oś pojazdu.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Warunki techniczne dla układu kierowniczego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Regulacja kolumny kierowniczej w płaszczyznach: góra – dół.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Wspomaganie układu kierowniczego.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Kierownica po lewej stronie.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układu napędowego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Prędkość maksymalna nie mniejsza niż 160 km/h (według danych z pkt 29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Maksymalny moment obrotowy min. 250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Nm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(według deklaracji producenta).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System stabilizacji toru jazdy (ESP).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Układ zapobiegający poślizgowi kół przy ruszaniu pojazdu.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Skrzynia biegów manualna lub automatyczna z niemniej niż 6 biegami do przodu.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kół jezdnych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Koła jezdne na poszczególnych osiach z ogumieniem bezdętkowym.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Komplet 4 kół z ogumieniem letnim z obręczami min. 16 cali z fabrycznej oferty producenta pojazdów. W przypadku zaoferowania pojazdu wyposażonego w pełnowymiarowe koło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zapasowe, bieżnik w ogumieniu letnim nie może być kierunkowy.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1.4.6.3.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Pojazd musi być wyposażony w pełnowymiarowe koło zapasowe identyczne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z kołami (obręcz + opona) opisanymi w pkt. 1.4.6.2.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Zastosowane zespoły opona/koło na poszczególnych osiach pojazdu opisane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  <w:t>w pkt. 1.4.6.2 muszą być zgodne z danymi z pkt. 35 świadectwa zgodności WE.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pony nie mogą być starsze niż 78 tygodni licząc od końcowego terminu realizacji umowy.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pony muszą być fabrycznie nowe i homologowane. Zamawiający nie dopuszcza opon bieżnikowanych.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instalacji elektrycznej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1.4.7.1.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apięcie znamionowe instalacji elektrycznej 12V DC („-” na masie).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wyposażenia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Pasy bezpieczeństwa dla wszystkich miejsc siedzących.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1.4.8.2.</w:t>
            </w:r>
          </w:p>
        </w:tc>
        <w:tc>
          <w:tcPr>
            <w:tcW w:w="8442" w:type="dxa"/>
            <w:vAlign w:val="center"/>
          </w:tcPr>
          <w:p w:rsidR="00530CB5" w:rsidRPr="00530CB5" w:rsidRDefault="00745050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761FD">
              <w:rPr>
                <w:rFonts w:ascii="Times New Roman" w:eastAsia="Times New Roman" w:hAnsi="Times New Roman" w:cs="Times New Roman"/>
                <w:lang w:eastAsia="ar-SA"/>
              </w:rPr>
              <w:t>Poduszki gazowe przednie dla I-go rzędu siedzeń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Elektrycznie opuszczane i podnoszone szyby drzwi przednich.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Światła do jazdy dziennej z oferty producenta pojazdów, posiadające homologację, wbudowane w zderzak, spojler lub światła zintegrowane z lampami zespolonymi.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Oświetlenie I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II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Centralny zamek sterowany pilotem.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Regulacja siedzenia kierowcy, co najmniej w płaszczyznach: przód-tył, góra-dół oraz siedzenia dysponenta, co najmniej w płaszczyźnie: przód-tył. Regulacja pochylenia oparć siedzeń I-go rzędu realizowana manualnie (z wykorzystaniem np. uchwytu, pokrętła) lub automatycznie.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inimum dwa komplety kluczyków/kart do pojazdu i pilotów do sterowania centralnym zamkiem.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1.4.8.9.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Klimatyzacja.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1.4.8.10.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Komputer pokładowy.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Komplet dywaników gumowych dla I-go i II-go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Radio samochodowe fabryczne wyposażone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bluetooth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zestaw głośnomówiący oraz instalację głośnikową.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Dwie ramki pod tablicę rejestracyjną zamontowane na pojeździe. Na ramkach nie mogą znajdować się żadne napisy.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Blokada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przeciwuruchomieniowa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(immobiliser).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1.4.9.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Kolorystyka nadwozia i wnętrza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1.4.9.1.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Wykonawca przedstawi propozycję, co najmniej 3 kolorów lakierów z oficjalnej oferty handlowej producenta/importera pojazdów. Zamawiający dokona wyboru koloru lakieru spośród zaoferowanych przez Wykonawcę na etapie podpisywania umowy. Wykonawca zaznaczy oferowane kolory lakierów w oficjalnym katalogu (w języku polskim) producenta/importera pojazdu.</w:t>
            </w:r>
          </w:p>
          <w:p w:rsidR="00530CB5" w:rsidRPr="00530CB5" w:rsidRDefault="00F95607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</w:pPr>
            <w:r w:rsidRPr="00F95607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t xml:space="preserve">Dokument musi być przedstawiony przez Wykonawcę na etapie </w:t>
            </w:r>
            <w:r w:rsidRPr="00F95607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lastRenderedPageBreak/>
              <w:t>podpisywania umowy</w:t>
            </w:r>
            <w:r w:rsidR="00530CB5" w:rsidRPr="00530CB5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t>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1.4.9.2.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Materiały obiciowe siedzeń oraz wszystkich elementów wykończenia wnętrza pojazdu znajdujących się poniżej linii szyb muszą być w kolorze łatwym w utrzymaniu czystości.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1.5. Wymagania techniczne dla zabudowy pojazdu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Ogólne wymagania techniczne dla zabudowy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1.5.1.1.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przystosowany do przewożenia w jego wnętrzu: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a)  I rząd siedzeń – 2 funkcjonariuszy (w tym kierowcy),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b) II rząd siedzeń – co najmniej 2 funkcjonariuszy,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c) przestrzeń bagażowa – wyposażenia służbowego o masie, co najmniej 50kg.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 celów obliczeniowych należy przyjąć wagę jednego funkcjonariusza (w tym kierowcy)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– 95kg.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1.5.1.2.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I rząd siedzeń musi być wyposażony w dodatkowe oświetlenie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ledowe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(2 punkty świetlne, o mocy strumienia świetlnego min 250 lm każdy) o ciepłej barwie światła maks. 3500K. Lampy muszą być umieszczone nad siedzeniem kierowcy i dysponenta w miejscu umożliwiającym czytanie i sporządzanie dokumentacji służbowej.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instalacji elektrycznej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1.5.2.1.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Wyposażenie elektryczne i elektroniczne pojazdu wymienione w poszczególnych punktach niniejszej specyfikacji technicznej musi poprawnie współpracować z wyposażeniem pojazdu bazowego oraz zapewniać wymaganą jakość i odpowiedni poziom bezpieczeństwa.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dla wyposażenia pojazdu – w skład wyposażenia pojazdu wchodzi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Gaśnica proszkowa typu samochodowego o masie środka gaśniczego minimum 1 kg posiadająca odpowiedni certyfikat CNBOP.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1.5.3.2.</w:t>
            </w:r>
          </w:p>
        </w:tc>
        <w:tc>
          <w:tcPr>
            <w:tcW w:w="8442" w:type="dxa"/>
            <w:vAlign w:val="center"/>
          </w:tcPr>
          <w:p w:rsidR="00530CB5" w:rsidRPr="00530CB5" w:rsidRDefault="001B0E4F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B0E4F">
              <w:rPr>
                <w:rFonts w:ascii="Times New Roman" w:eastAsia="Times New Roman" w:hAnsi="Times New Roman" w:cs="Times New Roman"/>
                <w:lang w:eastAsia="ar-SA"/>
              </w:rPr>
              <w:t>Apteczka samochodowa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Trójkąt ostrzegawczy posiadający homologację zgodną z Regulaminem 27 EKG ONZ.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Dwa młotki do rozbijania szyb z nożami do cięcia pasów bezpieczeństwa mocowane w zasięgu ręki kierowcy i dysponenta.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Zestaw podręcznych narzędzi, w którego skład wchodzi, co najmniej: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025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podnośnik samochodowy dostosowany do masy pojazdu,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klucz do kół,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wkrętak/klucz dostosowany do wkrętów zastosowanych w pojeździe,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klucz umożliwiający odłączenie biegunów akumulatora.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musi zapewnić miejsca transportowe dla wszystkich elementów wyposażenia pojazdu gwarantujące ich nieprzemieszczanie się podczas jazdy pojazdem oraz w przypadku gwałtownego ruszania i hamowania.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wyposażony w osłonę komory silnika zabezpieczającą dolną część silnika. Zastosowane rozwiązanie konstrukcyjnie musi zapewnić dobre chłodzenie komory silnika.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1.6. Wymagania konstrukcyjne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Konstrukcja pojazdu oraz wyposażenia musi być oparta na dostępnych na rynku krajowym zespołach, podzespołach i elementach oraz materiałach.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Wszystkie zastosowane w konstrukcji pojazdu oraz wyposażeniu powłoki ochronne (np.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cynkowanie, powłoki lakiernicze i z tworzyw sztucznych) muszą zapewniać skuteczną ochronę antykorozyjną.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pojazdu muszą mieć budowę blokowo-modułową i być zamocowane w pojeździe w sposób nie utrudniający dostępu do innych zespołów i urządzeń.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pojazdu muszą mieć zwartą budowę i uwzględniać zdobycze techniki w zakresie miniaturyzacji.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1.7. Wymagania odnośnie oznaczania i znakowania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posiadać trwale umieszczone w miejscu łatwo dostępnym wewnątrz pojazdu: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6"/>
              </w:numPr>
              <w:tabs>
                <w:tab w:val="left" w:pos="22113"/>
              </w:tabs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tabliczkę zawierającą naniesione w sposób trwały co najmniej dane o producencie, typie, roku produkcji oraz numerze identyfikacyjnym pojazdu (VIN) lub numerze nadwozia, podwozia lub ramy,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6"/>
              </w:numPr>
              <w:tabs>
                <w:tab w:val="left" w:pos="22113"/>
              </w:tabs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tabliczkę wskazującą dopuszczalną liczbę przewożonych osób łącznie z kierowcą.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zamontowane jako elementy zabudowy pojazdu muszą posiadać tabliczki znamionowe zawierające co najmniej następujące dane: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symbol lub numer producenta,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numer kolejny wyrobu,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rok produkcji.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elementy zabudowy pojazdu, takie jak: przełączniki, gniazda np., sterujące wyposażeniem pojazdu, muszą być oznaczone tabliczkami z opisem (słownym lub graficznym) ich funkcji i przeznaczenia. Tabliczki muszą być czytelne oraz wykonane             i zamocowane w sposób trwały.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1.8. Wymagania dotyczące pakowania, przechowywania, transportu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nie wymaga pakowania i po przekazaniu Zamawiającemu musi być gotowy do użycia.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wraz z wyposażeniem musi być przystosowany do przechowywania na wolnym powietrzu w niezadaszonych parkach sprzętu transportowego w warunkach atmosferycznych spotykanych w polskiej strefie klimatycznej opisanych w pkt 1.2.1.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być przystosowany do transportu środkami transportu kołowego. Załadunek pojazdu musi odbywać się samodzielnie (na kołach).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jakościowe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2.1.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być wykonany zgodnie z zasadami wiedzy technicznej, powszechnie obowiązującymi w tym zakresie normami i standardami z uwzględnieniem obowiązujących przepisów.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2.2. Zamawiający nie przewiduje przeprowadzania badań odbiorczych.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bezpieczeństwa użytkowania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3.1. Instrukcja obsługi pojazdu musi zawierać zapisy dotyczące bezpiecznego użytkowania i obsługi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3.2. Rozwiązania konstrukcyjne muszą spełniać wymagania BHP.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3.3. Niezbędne ostrzeżenia w zakresie BHP muszą być umieszczone w sposób trwały w widocznych miejscach.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510" w:hanging="510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3.4. Wnętrze pojazdu nie może posiadać ostrych krawędzi, które mogłyby powodować zranienia i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kontuzje osób podczas użytkowania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3.5. Konstrukcja pojazdu musi zapewniać bezpieczeństwo pożarowe.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3.6. Pojazd musi być wyposażony w gaśnicę typu samochodowego opisaną w pkt 1.5.3.1.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3.7. Pojazd musi być wyposażony w apteczkę samochodową opisaną w pkt 1.5.3.2.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3.8. Zabudowa pojazdu nie może utrudniać dostępu do elementów i wyposażenia pojazdu związanych z bezpieczeństwem użytkowania.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VI. GWARANCJA WYKONAWCY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Pojazd musi być wolny od wad oraz spełniać warunki, o których mowa w ustawie Prawo o ruchu drogowym i przepisach wydanych na jej podstawie.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Pojazd musi być objęty gwarancją z minimalnym limitem przebiegu 100 000 kilometrów na okres: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uppressAutoHyphens/>
              <w:spacing w:after="0" w:line="276" w:lineRule="auto"/>
              <w:ind w:left="1134" w:right="70" w:hanging="42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min. 24 miesięcy – gwarancja na zespoły i podzespoły mechaniczne, elektryczne i elektroniczne pojazdu,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uppressAutoHyphens/>
              <w:spacing w:after="0" w:line="276" w:lineRule="auto"/>
              <w:ind w:left="1134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 24 miesięcy – gwarancja na powłokę lakierniczą,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uppressAutoHyphens/>
              <w:spacing w:after="0" w:line="276" w:lineRule="auto"/>
              <w:ind w:left="1134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min. 60 miesięcy – gwarancja na perforację elementów nadwozia,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1276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  <w:b/>
              </w:rPr>
              <w:t>licząc od daty odbioru pojazdu przez Zamawiającego.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 xml:space="preserve">Gwarancji muszą podlegać wszystkie zespoły i podzespoły bez </w:t>
            </w:r>
            <w:proofErr w:type="spellStart"/>
            <w:r w:rsidRPr="00530CB5">
              <w:rPr>
                <w:rFonts w:ascii="Times New Roman" w:eastAsia="Calibri" w:hAnsi="Times New Roman" w:cs="Times New Roman"/>
              </w:rPr>
              <w:t>wyłączeń</w:t>
            </w:r>
            <w:proofErr w:type="spellEnd"/>
            <w:r w:rsidRPr="00530CB5">
              <w:rPr>
                <w:rFonts w:ascii="Times New Roman" w:eastAsia="Calibri" w:hAnsi="Times New Roman" w:cs="Times New Roman"/>
              </w:rPr>
              <w:t>, z wyjątkiem materiałów eksploatacyjnych. Za materiały eksploatacyjne uważa się elementy wymieniane podczas okresowych przeglądów technicznych, w szczególności: oleje, inne płyny eksploatacyjne.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Warunki gwarancji muszą być odnotowane w książce gwarancyjnej pojazdu.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Zgłoszenie o wystąpieniu wady będą dokonywać upoważnieni przez Zamawiającego przedstawiciele jednostek organizacyjnych Policji i przekażą je Wykonawcy telefonicznie, co zostanie dodatkowo potwierdzone przesłaną tego samego dnia reklamacją zawierającą informacje o wystąpieniu wady faksem.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Usunięcie wady (zakończenie naprawy) musi następować niezwłocznie, nie później jednak niż w ciągu 14</w:t>
            </w:r>
            <w:r w:rsidRPr="00530CB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0CB5">
              <w:rPr>
                <w:rFonts w:ascii="Times New Roman" w:eastAsia="Calibri" w:hAnsi="Times New Roman" w:cs="Times New Roman"/>
              </w:rPr>
              <w:t>dni licząc od dnia jej zgłoszenia.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Usuwanie we własnym zakresie drobnych usterek oraz uzupełnianie materiałów eksploatacyjnych nie mogą powodować utraty ani ograniczenia uprawnień wynikających z fabrycznej gwarancji.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Zmiany adaptacyjne pojazdu, dotyczące montażu wyposażenia służbowego dokonane przez Zamawiającego w uzgodnieniu z Wykonawcą, nie mogą powodować utraty ani ograniczenia uprawnień wynikających z fabrycznej gwarancji.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Wykonawca zobowiązuje się do bezpłatnego udzielania konsultacji w zakresie możliwości zabudowania oraz zaleceń dotyczących montażu w pojeździe: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instalacji antenowych i zasilania;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urządzeń łączności radiowej;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urządzeń do pomiaru zużycia paliwa;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innego sprzętu służbowego.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 xml:space="preserve">Przeglądy okresowe w ramach gwarancji określonej w ust. 2 pkt 1, 2 i 3 realizowane będą            w stacjach obsługi wskazanych przez Wykonawcę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znajdujących się na terenie województwa mazowieckiego.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 xml:space="preserve">Naprawy w ramach gwarancji określonej w ust. 2 pkt 1, 2, 3 realizowane będą bezpłatnie w miejscu użytkowania pojazdu na terenie Polski. W przypadku, gdy wykonanie naprawy jest niemożliwe do wykonania w miejscu użytkowania pojazdu Zamawiający dopuszcza możliwość wykonywania naprawy w miejscu wskazanym przez Wykonawcę. Wykonawca zobowiązany jest do zorganizowania na własny koszt transportu pojazdu do miejsca wykonania naprawy oraz po </w:t>
            </w:r>
            <w:r w:rsidRPr="00530CB5">
              <w:rPr>
                <w:rFonts w:ascii="Times New Roman" w:eastAsia="Calibri" w:hAnsi="Times New Roman" w:cs="Times New Roman"/>
              </w:rPr>
              <w:lastRenderedPageBreak/>
              <w:t>wykonanej naprawie do miejsca użytkowania pojazdu.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624" w:hanging="6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zobowiązany jest do dodatkowego ubezpieczenia dostarczonego pojazdu w zakresie ubezpieczenia typu  „Assistance” gwarantującego bezpłatne holowanie (7 dni w tygodniu) od miejsca awarii do  najbliższej stacji serwisowej wykonującej naprawy gwarancyjne  min. w okresie gwarancji udzielonej przez Wykonawcę (dokument potwierdzający dodatkowe ubezpieczenie Wykonawca dołączy do każdego pojazdu odrębnie).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360"/>
              <w:jc w:val="both"/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  <w:t>Dokument potwierdzający spełnienie wymogu musi być przedstawiony przez Wykonawcę w fazie odbioru pojazdu.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737" w:hanging="737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VII. WYMAGANE DOKUMENTY POTWIERDZAJĄCE SPEŁNIENIE WYMAGAŃ SPECYFIKACJI TECHNICZNEJ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Dokumenty określone w specyfikacji technicznej.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 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 Do wydawanego pojazdu Wykonawca musi dołączyć w języku polskim następujące dokumenty: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książkę gwarancyjną,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wykaz wyposażenia,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instrukcję obsługi pojazdu bazowego, która musi zawierać (w postaci opisów, schematów, rysunków i zdjęć) zagadnienia związane z:</w:t>
            </w:r>
          </w:p>
          <w:p w:rsidR="00530CB5" w:rsidRPr="00530CB5" w:rsidRDefault="00530CB5" w:rsidP="00530CB5">
            <w:pPr>
              <w:widowControl w:val="0"/>
              <w:tabs>
                <w:tab w:val="left" w:pos="1418"/>
                <w:tab w:val="left" w:pos="16002"/>
                <w:tab w:val="left" w:pos="19044"/>
              </w:tabs>
              <w:suppressAutoHyphens/>
              <w:spacing w:after="0" w:line="276" w:lineRule="auto"/>
              <w:ind w:left="510" w:hanging="283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- konstrukcją, obsługa i serwisem pojazdu oraz elementów wyposażenia,</w:t>
            </w:r>
          </w:p>
          <w:p w:rsidR="00530CB5" w:rsidRPr="00530CB5" w:rsidRDefault="00530CB5" w:rsidP="00530CB5">
            <w:pPr>
              <w:widowControl w:val="0"/>
              <w:tabs>
                <w:tab w:val="left" w:pos="1418"/>
                <w:tab w:val="left" w:pos="16002"/>
                <w:tab w:val="left" w:pos="19044"/>
              </w:tabs>
              <w:suppressAutoHyphens/>
              <w:spacing w:after="0" w:line="276" w:lineRule="auto"/>
              <w:ind w:left="510" w:hanging="283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-  bezpiecznym użytkowaniem i obsługą pojazdu.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książkę przeglądów serwisowych,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świadectwo zgodności WE pojazdu bazowego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wraz z oświadczeniem producenta/importera potwierdzającym dane pojazdu nie znajdujące się w świadectwie zgodności, a niezbędne do zarejestrowania pojazdu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dokument potwierdzający przeprowadzenie przeglądu zerowego pojazdu przed pierwszą rejestracją.</w:t>
            </w:r>
          </w:p>
        </w:tc>
      </w:tr>
    </w:tbl>
    <w:p w:rsidR="00530CB5" w:rsidRPr="00530CB5" w:rsidRDefault="00530CB5" w:rsidP="00530CB5">
      <w:pPr>
        <w:widowControl w:val="0"/>
        <w:suppressAutoHyphens/>
        <w:spacing w:after="0" w:line="276" w:lineRule="auto"/>
        <w:jc w:val="both"/>
        <w:rPr>
          <w:rFonts w:ascii="Arial" w:eastAsia="Arial" w:hAnsi="Arial" w:cs="Times New Roman"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709" w:hanging="63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709" w:hanging="630"/>
        <w:jc w:val="both"/>
        <w:rPr>
          <w:rFonts w:ascii="Arial" w:eastAsia="Times New Roman" w:hAnsi="Arial" w:cs="Times New Roman"/>
          <w:lang w:eastAsia="ar-SA"/>
        </w:rPr>
      </w:pPr>
    </w:p>
    <w:p w:rsidR="00561B43" w:rsidRPr="00561B43" w:rsidRDefault="00561B43" w:rsidP="00561B43">
      <w:pPr>
        <w:pStyle w:val="Mario"/>
        <w:spacing w:line="240" w:lineRule="auto"/>
        <w:ind w:left="709" w:hanging="630"/>
        <w:rPr>
          <w:rFonts w:ascii="Times New Roman" w:hAnsi="Times New Roman"/>
          <w:sz w:val="22"/>
          <w:szCs w:val="22"/>
        </w:rPr>
      </w:pPr>
    </w:p>
    <w:p w:rsidR="009D374D" w:rsidRPr="00561B43" w:rsidRDefault="009D374D" w:rsidP="00561B43">
      <w:pPr>
        <w:spacing w:line="240" w:lineRule="auto"/>
        <w:rPr>
          <w:rFonts w:ascii="Times New Roman" w:hAnsi="Times New Roman" w:cs="Times New Roman"/>
        </w:rPr>
      </w:pPr>
    </w:p>
    <w:sectPr w:rsidR="009D374D" w:rsidRPr="0056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F35"/>
    <w:multiLevelType w:val="multilevel"/>
    <w:tmpl w:val="71F09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F15F3"/>
    <w:multiLevelType w:val="multilevel"/>
    <w:tmpl w:val="78C8F7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7788"/>
    <w:multiLevelType w:val="multilevel"/>
    <w:tmpl w:val="D0669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1B6E2B"/>
    <w:multiLevelType w:val="multilevel"/>
    <w:tmpl w:val="5E72A5E4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4" w15:restartNumberingAfterBreak="0">
    <w:nsid w:val="1F95415C"/>
    <w:multiLevelType w:val="multilevel"/>
    <w:tmpl w:val="36408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8B2DAD"/>
    <w:multiLevelType w:val="multilevel"/>
    <w:tmpl w:val="DF28B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003D59"/>
    <w:multiLevelType w:val="multilevel"/>
    <w:tmpl w:val="6CA0A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897EDD"/>
    <w:multiLevelType w:val="multilevel"/>
    <w:tmpl w:val="89AAD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E7792D"/>
    <w:multiLevelType w:val="multilevel"/>
    <w:tmpl w:val="1AE2A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37B247B"/>
    <w:multiLevelType w:val="multilevel"/>
    <w:tmpl w:val="922AE222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7304C"/>
    <w:multiLevelType w:val="multilevel"/>
    <w:tmpl w:val="3CA63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A009A"/>
    <w:multiLevelType w:val="multilevel"/>
    <w:tmpl w:val="7D187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0F52D74"/>
    <w:multiLevelType w:val="multilevel"/>
    <w:tmpl w:val="D5F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F401D9"/>
    <w:multiLevelType w:val="multilevel"/>
    <w:tmpl w:val="1BF4BCEE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4" w15:restartNumberingAfterBreak="0">
    <w:nsid w:val="54B036E4"/>
    <w:multiLevelType w:val="multilevel"/>
    <w:tmpl w:val="F900F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50FDE"/>
    <w:multiLevelType w:val="multilevel"/>
    <w:tmpl w:val="DC3CA85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6" w15:restartNumberingAfterBreak="0">
    <w:nsid w:val="5D4A315E"/>
    <w:multiLevelType w:val="multilevel"/>
    <w:tmpl w:val="64B4A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DBF338C"/>
    <w:multiLevelType w:val="multilevel"/>
    <w:tmpl w:val="A4F864E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5E98275D"/>
    <w:multiLevelType w:val="multilevel"/>
    <w:tmpl w:val="CE16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F6A2134"/>
    <w:multiLevelType w:val="multilevel"/>
    <w:tmpl w:val="F048AE28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945C7"/>
    <w:multiLevelType w:val="multilevel"/>
    <w:tmpl w:val="698A65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4500BD8"/>
    <w:multiLevelType w:val="multilevel"/>
    <w:tmpl w:val="2B9A25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87E2D"/>
    <w:multiLevelType w:val="multilevel"/>
    <w:tmpl w:val="9A900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05B2EAA"/>
    <w:multiLevelType w:val="multilevel"/>
    <w:tmpl w:val="EBA6CC0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24" w15:restartNumberingAfterBreak="0">
    <w:nsid w:val="755B7D93"/>
    <w:multiLevelType w:val="multilevel"/>
    <w:tmpl w:val="92BCD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8EA6B16"/>
    <w:multiLevelType w:val="multilevel"/>
    <w:tmpl w:val="E890A16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9"/>
  </w:num>
  <w:num w:numId="5">
    <w:abstractNumId w:val="17"/>
  </w:num>
  <w:num w:numId="6">
    <w:abstractNumId w:val="4"/>
  </w:num>
  <w:num w:numId="7">
    <w:abstractNumId w:val="13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"/>
  </w:num>
  <w:num w:numId="16">
    <w:abstractNumId w:val="20"/>
  </w:num>
  <w:num w:numId="17">
    <w:abstractNumId w:val="15"/>
  </w:num>
  <w:num w:numId="18">
    <w:abstractNumId w:val="9"/>
  </w:num>
  <w:num w:numId="19">
    <w:abstractNumId w:val="25"/>
  </w:num>
  <w:num w:numId="20">
    <w:abstractNumId w:val="8"/>
  </w:num>
  <w:num w:numId="21">
    <w:abstractNumId w:val="3"/>
  </w:num>
  <w:num w:numId="22">
    <w:abstractNumId w:val="12"/>
  </w:num>
  <w:num w:numId="23">
    <w:abstractNumId w:val="24"/>
  </w:num>
  <w:num w:numId="24">
    <w:abstractNumId w:val="6"/>
  </w:num>
  <w:num w:numId="25">
    <w:abstractNumId w:val="2"/>
  </w:num>
  <w:num w:numId="26">
    <w:abstractNumId w:val="0"/>
  </w:num>
  <w:num w:numId="27">
    <w:abstractNumId w:val="21"/>
    <w:lvlOverride w:ilvl="0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BC"/>
    <w:rsid w:val="001B0E4F"/>
    <w:rsid w:val="00530CB5"/>
    <w:rsid w:val="00561B43"/>
    <w:rsid w:val="005B7043"/>
    <w:rsid w:val="006D6036"/>
    <w:rsid w:val="00745050"/>
    <w:rsid w:val="009D374D"/>
    <w:rsid w:val="00B35058"/>
    <w:rsid w:val="00C00518"/>
    <w:rsid w:val="00C7375E"/>
    <w:rsid w:val="00D76CBC"/>
    <w:rsid w:val="00E4237A"/>
    <w:rsid w:val="00F95607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3C8"/>
  <w15:chartTrackingRefBased/>
  <w15:docId w15:val="{9A1DD3B9-7954-4703-82AD-C7D4D68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6z0">
    <w:name w:val="WW8Num56z0"/>
    <w:qFormat/>
    <w:rsid w:val="00561B43"/>
    <w:rPr>
      <w:strike w:val="0"/>
      <w:dstrike w:val="0"/>
    </w:rPr>
  </w:style>
  <w:style w:type="character" w:customStyle="1" w:styleId="h2">
    <w:name w:val="h2"/>
    <w:basedOn w:val="Domylnaczcionkaakapitu"/>
    <w:qFormat/>
    <w:rsid w:val="00561B43"/>
  </w:style>
  <w:style w:type="paragraph" w:customStyle="1" w:styleId="Mario">
    <w:name w:val="Mario"/>
    <w:basedOn w:val="Normalny"/>
    <w:qFormat/>
    <w:rsid w:val="00561B43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61B4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qFormat/>
    <w:rsid w:val="00561B43"/>
    <w:pPr>
      <w:widowControl w:val="0"/>
      <w:suppressLineNumbers/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R1">
    <w:name w:val="FR1"/>
    <w:qFormat/>
    <w:rsid w:val="00561B43"/>
    <w:pPr>
      <w:widowControl w:val="0"/>
      <w:suppressAutoHyphens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2764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8</cp:revision>
  <dcterms:created xsi:type="dcterms:W3CDTF">2022-11-22T08:56:00Z</dcterms:created>
  <dcterms:modified xsi:type="dcterms:W3CDTF">2022-11-25T06:54:00Z</dcterms:modified>
</cp:coreProperties>
</file>