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0505315E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C312CB">
        <w:rPr>
          <w:rFonts w:asciiTheme="minorHAnsi" w:hAnsiTheme="minorHAnsi" w:cstheme="minorHAnsi"/>
          <w:iCs/>
          <w:sz w:val="20"/>
          <w:szCs w:val="20"/>
        </w:rPr>
        <w:t>21.09.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54396D90" w14:textId="77777777" w:rsidR="00C312CB" w:rsidRPr="00C312CB" w:rsidRDefault="00C312CB" w:rsidP="00C312C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 w:rsidRPr="00C312CB">
        <w:rPr>
          <w:rFonts w:asciiTheme="minorHAnsi" w:hAnsiTheme="minorHAnsi" w:cstheme="minorHAnsi"/>
          <w:color w:val="000000" w:themeColor="text1"/>
          <w:sz w:val="14"/>
          <w:szCs w:val="14"/>
        </w:rPr>
        <w:t>Nr postępowania: 2022\S 164-464074</w:t>
      </w:r>
    </w:p>
    <w:p w14:paraId="3A2D1996" w14:textId="77777777" w:rsidR="00C312CB" w:rsidRPr="00C312CB" w:rsidRDefault="00C312CB" w:rsidP="00C312C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312CB">
        <w:rPr>
          <w:rFonts w:asciiTheme="minorHAnsi" w:hAnsiTheme="minorHAnsi" w:cstheme="minorHAnsi"/>
          <w:color w:val="000000" w:themeColor="text1"/>
          <w:sz w:val="14"/>
          <w:szCs w:val="14"/>
        </w:rPr>
        <w:t>Nr referencyjny 35</w:t>
      </w:r>
    </w:p>
    <w:p w14:paraId="35E4D873" w14:textId="5EE1E05D" w:rsidR="00440A6C" w:rsidRDefault="00C312CB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312CB">
        <w:rPr>
          <w:rFonts w:asciiTheme="minorHAnsi" w:hAnsiTheme="minorHAnsi" w:cstheme="minorHAnsi"/>
          <w:color w:val="000000" w:themeColor="text1"/>
          <w:sz w:val="14"/>
          <w:szCs w:val="14"/>
        </w:rPr>
        <w:t>Identyfikator postępowania ocds-148610-af2d1f91-254e-11ed-9071-8637ea33a6f9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48B6CA8A" w14:textId="0B2EC8CE" w:rsidR="00A726BE" w:rsidRPr="0014054E" w:rsidRDefault="00440A6C" w:rsidP="00CE18A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14054E">
        <w:rPr>
          <w:rFonts w:asciiTheme="minorHAnsi" w:hAnsiTheme="minorHAnsi" w:cstheme="minorHAnsi"/>
          <w:b/>
          <w:bCs/>
          <w:sz w:val="22"/>
          <w:szCs w:val="22"/>
        </w:rPr>
        <w:t>Do Wykonawców</w:t>
      </w:r>
      <w:r w:rsidRPr="0014054E">
        <w:rPr>
          <w:rFonts w:asciiTheme="minorHAnsi" w:hAnsiTheme="minorHAnsi" w:cstheme="minorHAnsi"/>
          <w:sz w:val="22"/>
          <w:szCs w:val="22"/>
        </w:rPr>
        <w:t xml:space="preserve"> biorących udział w postępowaniu o udzielenie zamówienia publicznego prowadzonego </w:t>
      </w:r>
      <w:r w:rsidR="00E2754D" w:rsidRPr="0014054E">
        <w:rPr>
          <w:rFonts w:asciiTheme="minorHAnsi" w:hAnsiTheme="minorHAnsi" w:cstheme="minorHAnsi"/>
          <w:sz w:val="22"/>
          <w:szCs w:val="22"/>
        </w:rPr>
        <w:br/>
      </w:r>
      <w:r w:rsidR="00AA34A1" w:rsidRPr="0014054E">
        <w:rPr>
          <w:rFonts w:asciiTheme="minorHAnsi" w:hAnsiTheme="minorHAnsi" w:cstheme="minorHAnsi"/>
          <w:sz w:val="22"/>
          <w:szCs w:val="22"/>
        </w:rPr>
        <w:t>w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 trybie przetargu nieograniczonego na podstawie art.132 ustawy  z dnia 11 września 2019 roku Prawo zamówień publicznych ( </w:t>
      </w:r>
      <w:proofErr w:type="spellStart"/>
      <w:r w:rsidR="00CE18A6" w:rsidRPr="0014054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E18A6" w:rsidRPr="0014054E">
        <w:rPr>
          <w:rFonts w:asciiTheme="minorHAnsi" w:hAnsiTheme="minorHAnsi" w:cstheme="minorHAnsi"/>
          <w:sz w:val="22"/>
          <w:szCs w:val="22"/>
        </w:rPr>
        <w:t>. Dz.U. z 20</w:t>
      </w:r>
      <w:r w:rsidR="00A009FB">
        <w:rPr>
          <w:rFonts w:asciiTheme="minorHAnsi" w:hAnsiTheme="minorHAnsi" w:cstheme="minorHAnsi"/>
          <w:sz w:val="22"/>
          <w:szCs w:val="22"/>
        </w:rPr>
        <w:t>22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 r. poz. </w:t>
      </w:r>
      <w:r w:rsidR="00A009FB">
        <w:rPr>
          <w:rFonts w:asciiTheme="minorHAnsi" w:hAnsiTheme="minorHAnsi" w:cstheme="minorHAnsi"/>
          <w:sz w:val="22"/>
          <w:szCs w:val="22"/>
        </w:rPr>
        <w:t xml:space="preserve">1710 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) </w:t>
      </w:r>
      <w:r w:rsidR="001A0CC1" w:rsidRPr="0014054E">
        <w:rPr>
          <w:rFonts w:asciiTheme="minorHAnsi" w:hAnsiTheme="minorHAnsi" w:cstheme="minorHAnsi"/>
          <w:sz w:val="22"/>
          <w:szCs w:val="22"/>
        </w:rPr>
        <w:t xml:space="preserve">zwanej dalej „ Ustawą PZP” </w:t>
      </w:r>
      <w:r w:rsidR="00AA34A1" w:rsidRPr="0014054E">
        <w:rPr>
          <w:rFonts w:asciiTheme="minorHAnsi" w:hAnsiTheme="minorHAnsi" w:cstheme="minorHAnsi"/>
          <w:sz w:val="22"/>
          <w:szCs w:val="22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="00DD58BD" w:rsidRPr="00DD58BD">
        <w:rPr>
          <w:rFonts w:asciiTheme="minorHAnsi" w:hAnsiTheme="minorHAnsi" w:cstheme="minorHAnsi"/>
          <w:sz w:val="22"/>
          <w:szCs w:val="22"/>
        </w:rPr>
        <w:t>„Dostawa bonów żywieniowych dla pracowników Przedsiębiorstwa Gospodarki Komunalnej Spółki z o. o. w Koszalinie. "</w:t>
      </w:r>
      <w:r w:rsidR="00DD58BD"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53CC952A" w14:textId="2784E494" w:rsidR="00AA34A1" w:rsidRPr="0014054E" w:rsidRDefault="00AA34A1" w:rsidP="00A726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92A9C19" w14:textId="17FCB36D" w:rsidR="00660374" w:rsidRPr="0014054E" w:rsidRDefault="009D2730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4054E">
        <w:rPr>
          <w:rFonts w:asciiTheme="minorHAnsi" w:hAnsiTheme="minorHAnsi" w:cstheme="minorHAnsi"/>
          <w:sz w:val="22"/>
          <w:szCs w:val="22"/>
          <w:u w:val="single"/>
        </w:rPr>
        <w:t>ZMIANA</w:t>
      </w:r>
      <w:r w:rsidR="006E4DB6" w:rsidRPr="0014054E">
        <w:rPr>
          <w:rFonts w:asciiTheme="minorHAnsi" w:hAnsiTheme="minorHAnsi" w:cstheme="minorHAnsi"/>
          <w:sz w:val="22"/>
          <w:szCs w:val="22"/>
          <w:u w:val="single"/>
        </w:rPr>
        <w:t xml:space="preserve"> TREŚCI SPECYFIKACJI WARUNKÓW ZAMÓWIENIA</w:t>
      </w:r>
    </w:p>
    <w:p w14:paraId="0A902454" w14:textId="77777777" w:rsidR="001A0CC1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640232" w14:textId="24B6100A" w:rsidR="00FB73DB" w:rsidRPr="0014054E" w:rsidRDefault="001A0CC1" w:rsidP="001A0C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4054E">
        <w:rPr>
          <w:rFonts w:asciiTheme="minorHAnsi" w:hAnsiTheme="minorHAnsi" w:cstheme="minorHAnsi"/>
          <w:sz w:val="22"/>
          <w:szCs w:val="22"/>
        </w:rPr>
        <w:t>D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ziałając w oparciu o art. 135 ust. 3 </w:t>
      </w:r>
      <w:r w:rsidRPr="0014054E">
        <w:rPr>
          <w:rFonts w:asciiTheme="minorHAnsi" w:hAnsiTheme="minorHAnsi" w:cstheme="minorHAnsi"/>
          <w:sz w:val="22"/>
          <w:szCs w:val="22"/>
        </w:rPr>
        <w:t>U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stawy </w:t>
      </w:r>
      <w:r w:rsidRPr="0014054E">
        <w:rPr>
          <w:rFonts w:asciiTheme="minorHAnsi" w:hAnsiTheme="minorHAnsi" w:cstheme="minorHAnsi"/>
          <w:sz w:val="22"/>
          <w:szCs w:val="22"/>
        </w:rPr>
        <w:t xml:space="preserve">PZP Zamawiający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FE2C8A">
        <w:rPr>
          <w:rFonts w:asciiTheme="minorHAnsi" w:hAnsiTheme="minorHAnsi" w:cstheme="minorHAnsi"/>
          <w:sz w:val="22"/>
          <w:szCs w:val="22"/>
        </w:rPr>
        <w:t xml:space="preserve">, że </w:t>
      </w:r>
      <w:r w:rsidR="00FF04CA" w:rsidRPr="0014054E">
        <w:rPr>
          <w:rFonts w:asciiTheme="minorHAnsi" w:hAnsiTheme="minorHAnsi" w:cstheme="minorHAnsi"/>
          <w:sz w:val="22"/>
          <w:szCs w:val="22"/>
        </w:rPr>
        <w:t xml:space="preserve"> zmienia treść specyfikacji warunków zamówienia:</w:t>
      </w:r>
    </w:p>
    <w:p w14:paraId="7F850538" w14:textId="6EA9175A" w:rsidR="003D33EA" w:rsidRPr="0014054E" w:rsidRDefault="003D33EA" w:rsidP="003D33EA">
      <w:pPr>
        <w:pStyle w:val="NormalnyWeb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2B209DA5" w14:textId="7A7757FB" w:rsidR="001469CA" w:rsidRDefault="00FE2C8A" w:rsidP="00396C5E">
      <w:pPr>
        <w:pStyle w:val="NormalnyWeb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Pytanie nr 1 </w:t>
      </w:r>
    </w:p>
    <w:p w14:paraId="099DFBFD" w14:textId="7FECC828" w:rsidR="00FE2C8A" w:rsidRP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>C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hcielibyśmy Państwu zwrócić uwagę na możliwość efektywniejszego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opisu przedmiotu zamówienia, który w pełni odzwierciedlałby stosowanie przez Państwa zasady równego traktowania,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uczciwej konkurencji i przejrzystości w toku prowadzenia przedmiotowego postępowania. Zgodnie z treścią wystosowanego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przez Państwo zapytania ofertowego z nieznanych przyczyn w ROZDZ. XI WARUNKI UDZIAŁU W POSTĘPOWANIU.</w:t>
      </w:r>
    </w:p>
    <w:p w14:paraId="2A6B397D" w14:textId="4C540B25" w:rsidR="00FE2C8A" w:rsidRP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FE2C8A">
        <w:rPr>
          <w:rFonts w:asciiTheme="majorHAnsi" w:hAnsiTheme="majorHAnsi" w:cstheme="minorHAnsi"/>
          <w:color w:val="002060"/>
          <w:sz w:val="22"/>
          <w:szCs w:val="22"/>
        </w:rPr>
        <w:t>Wymagacie Państwo „….Wykonawca spełni warunek, jeżeli wykaże, że w okresie ostatnich 3 lat, licząc wstecz od dnia, w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którym upływa termin składania ofert, a jeżeli okres prowadzenia działalności jest krótszy – w tym okresie wykonał lub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wykonuje co najmniej 1 dostawę żywieniowych bonów w formie papierowej o wartości dostawy minimum 300.000,00 zł</w:t>
      </w:r>
    </w:p>
    <w:p w14:paraId="20B4DA8A" w14:textId="352E6E7F" w:rsidR="00FE2C8A" w:rsidRP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FE2C8A">
        <w:rPr>
          <w:rFonts w:asciiTheme="majorHAnsi" w:hAnsiTheme="majorHAnsi" w:cstheme="minorHAnsi"/>
          <w:color w:val="002060"/>
          <w:sz w:val="22"/>
          <w:szCs w:val="22"/>
        </w:rPr>
        <w:t>brutto….” co wyklucza bony żywieniowe w formie elektronicznej (np. kart elektronicznych/kart przedpłaconych).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Tymczasem wskazujemy, że spełniają one wymagania i funkcjonalności, jakich oczekujecie Państwo w przedmiotowym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 xml:space="preserve">postępowaniu od zamawianych bonów żywieniowe. </w:t>
      </w:r>
      <w:r>
        <w:rPr>
          <w:rFonts w:asciiTheme="majorHAnsi" w:hAnsiTheme="majorHAnsi" w:cstheme="minorHAnsi"/>
          <w:color w:val="002060"/>
          <w:sz w:val="22"/>
          <w:szCs w:val="22"/>
        </w:rPr>
        <w:br/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W szczególności karty przedpłacone mogą być oznaczone zarówno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informacją o terminie ich ważności, jak i nominale Mogą one upoważniać do zakupu określonych kategorii towarów</w:t>
      </w:r>
    </w:p>
    <w:p w14:paraId="6872746D" w14:textId="215F7CF1" w:rsidR="00FE2C8A" w:rsidRP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FE2C8A">
        <w:rPr>
          <w:rFonts w:asciiTheme="majorHAnsi" w:hAnsiTheme="majorHAnsi" w:cstheme="minorHAnsi"/>
          <w:color w:val="002060"/>
          <w:sz w:val="22"/>
          <w:szCs w:val="22"/>
        </w:rPr>
        <w:t>wyłącznie w określonych punktach sprzedaży detalicznej na terenie całej Polski. Istnieje bowiem możliwość zamknięcia sieci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punktów handlowo-usługowych znajdujących w sieci akceptacji Mastercard, akceptujących zamawiane karty przedpłacone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zgodnie z wymaganiami Zamawiającego, co się odbywa poprzez przypisanie określonego numeru MID (numeru</w:t>
      </w:r>
    </w:p>
    <w:p w14:paraId="6FBA05B6" w14:textId="6CFD2F74" w:rsidR="00FE2C8A" w:rsidRP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FE2C8A">
        <w:rPr>
          <w:rFonts w:asciiTheme="majorHAnsi" w:hAnsiTheme="majorHAnsi" w:cstheme="minorHAnsi"/>
          <w:color w:val="002060"/>
          <w:sz w:val="22"/>
          <w:szCs w:val="22"/>
        </w:rPr>
        <w:t>przypisanego do danego punktu handlowo-usługowego) lub określonego kodu MCC (numeru przypisanego do danej branży)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do zamawianych kart przedpłaconych. Ponadto użytkownicy kart przedpłaconych nie ponoszą dodatkowych kosztów i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innych opłat manipulacyjnych z tytułu realizacji transakcji tymi kartami. Wreszcie karty przedpłacone posiadają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odpowiednie zabezpieczenia uniemożliwiające ich podrobienie lub przerobienie w stopniu znacznie szerszym niż hologram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bonu papierowego.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Zwracamy Państwu uwagę, że w naszej ocenie, mając na uwadze powyższe, ograniczenie przedmiotu potwierdzenia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wyłącznie do bonów papierowych nie znajduje uzasadnienia, gdyż analiza funkcjonalności kart przedpłaconych prowadzi do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wniosku, że mogą one być postrzegane przez użytkowników jako substytuty bonów towarowych. Mając na uwadze zasadę</w:t>
      </w:r>
      <w:r w:rsidR="00171838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równego traktowania, uczciwej konkurencji i przejrzystości, przedmiotu zamówienia nie należy opisywać w sposób, który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mógłby utrudniać uczciwą konkurencję, w szczególności przez wskazanie określonej formy produktów lub usług, jeżeli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mogłoby to doprowadzić do uprzywilejowania lub wyeliminowania niektórych wykonawców lub produktów spełniających</w:t>
      </w:r>
    </w:p>
    <w:p w14:paraId="4F7732FE" w14:textId="30E15265" w:rsidR="00FE2C8A" w:rsidRDefault="00FE2C8A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FE2C8A">
        <w:rPr>
          <w:rFonts w:asciiTheme="majorHAnsi" w:hAnsiTheme="majorHAnsi" w:cstheme="minorHAnsi"/>
          <w:color w:val="002060"/>
          <w:sz w:val="22"/>
          <w:szCs w:val="22"/>
        </w:rPr>
        <w:t>wymagania zamawiającego, jednakże wydawanych w innej formie. W szczególności podkreślenia wymaga, że karty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przedpłacone cechuje znacznie wyższy poziom zabezpieczeń niż bony towarowe, zaś bezpieczeństwo zamawianego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produktu powinna być kluczowa z punktu widzenia zamawiającego oraz samych użytkowników. Dlatego zwracamy się z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 xml:space="preserve">uprzejmą prośbą </w:t>
      </w:r>
      <w:r w:rsidR="00171838">
        <w:rPr>
          <w:rFonts w:asciiTheme="majorHAnsi" w:hAnsiTheme="majorHAnsi" w:cstheme="minorHAnsi"/>
          <w:color w:val="002060"/>
          <w:sz w:val="22"/>
          <w:szCs w:val="22"/>
        </w:rPr>
        <w:br/>
      </w:r>
      <w:r w:rsidRPr="00FE2C8A">
        <w:rPr>
          <w:rFonts w:asciiTheme="majorHAnsi" w:hAnsiTheme="majorHAnsi" w:cstheme="minorHAnsi"/>
          <w:color w:val="002060"/>
          <w:sz w:val="22"/>
          <w:szCs w:val="22"/>
        </w:rPr>
        <w:t>o rozważenie rozszerzenia przedmiotu zamówienia również na elektroniczne karty przedpłacone.</w:t>
      </w:r>
    </w:p>
    <w:p w14:paraId="4F22AEED" w14:textId="009DA9D2" w:rsidR="00171838" w:rsidRDefault="00171838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3B888A19" w14:textId="0026AC64" w:rsidR="00171838" w:rsidRDefault="00171838" w:rsidP="00FE2C8A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6B025F5" w14:textId="65DDA286" w:rsidR="00171838" w:rsidRPr="00171838" w:rsidRDefault="00171838" w:rsidP="00FE2C8A">
      <w:pPr>
        <w:pStyle w:val="NormalnyWeb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</w:pPr>
      <w:bookmarkStart w:id="1" w:name="_Hlk114660868"/>
      <w:r w:rsidRPr="00171838"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  <w:t xml:space="preserve">Odpowiedz: </w:t>
      </w:r>
    </w:p>
    <w:bookmarkEnd w:id="1"/>
    <w:p w14:paraId="4D990719" w14:textId="77777777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Zamawiający informuje, że zmodyfikował  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>ROZDZ. XI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ab/>
      </w:r>
      <w:r>
        <w:rPr>
          <w:rFonts w:asciiTheme="majorHAnsi" w:hAnsiTheme="majorHAnsi" w:cstheme="minorHAnsi"/>
          <w:color w:val="002060"/>
          <w:sz w:val="22"/>
          <w:szCs w:val="22"/>
        </w:rPr>
        <w:t>SWZ „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 xml:space="preserve">WARUNKI UDZIAŁU </w:t>
      </w:r>
      <w:r>
        <w:rPr>
          <w:rFonts w:asciiTheme="majorHAnsi" w:hAnsiTheme="majorHAnsi" w:cstheme="minorHAnsi"/>
          <w:color w:val="002060"/>
          <w:sz w:val="22"/>
          <w:szCs w:val="22"/>
        </w:rPr>
        <w:br/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>W POSTĘPOWANIU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”, poprzez dodanie następującej treści : </w:t>
      </w:r>
    </w:p>
    <w:p w14:paraId="02B0DC9B" w14:textId="52A7DF5E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>„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>Zamawiający dopuszcza, aby Wykonawca legitymował się realizacją co najmniej 1 dostawy bonów żywieniowych w formie elektronicznej o wartości dostawy minimum 300.000,00 zł brutto.</w:t>
      </w:r>
      <w:r>
        <w:rPr>
          <w:rFonts w:asciiTheme="majorHAnsi" w:hAnsiTheme="majorHAnsi" w:cstheme="minorHAnsi"/>
          <w:color w:val="002060"/>
          <w:sz w:val="22"/>
          <w:szCs w:val="22"/>
        </w:rPr>
        <w:t>”</w:t>
      </w:r>
    </w:p>
    <w:p w14:paraId="283A58DA" w14:textId="77777777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1A85AAC9" w14:textId="43A032A7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Informujemy, że 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>ROZDZ. XI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ab/>
        <w:t>SWZ „WARUNKI UDZIAŁU W POSTĘPOWANIU”,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otrzymuje następujące brzmienie: </w:t>
      </w:r>
    </w:p>
    <w:p w14:paraId="412A820A" w14:textId="77777777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4AA1542" w14:textId="73C3FF6A" w:rsidR="00171838" w:rsidRP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171838">
        <w:rPr>
          <w:rFonts w:asciiTheme="majorHAnsi" w:hAnsiTheme="majorHAnsi" w:cstheme="minorHAnsi"/>
          <w:color w:val="002060"/>
          <w:sz w:val="22"/>
          <w:szCs w:val="22"/>
        </w:rPr>
        <w:t>ROZDZ. XI</w:t>
      </w:r>
      <w:r w:rsidRPr="00171838">
        <w:rPr>
          <w:rFonts w:asciiTheme="majorHAnsi" w:hAnsiTheme="majorHAnsi" w:cstheme="minorHAnsi"/>
          <w:color w:val="002060"/>
          <w:sz w:val="22"/>
          <w:szCs w:val="22"/>
        </w:rPr>
        <w:tab/>
        <w:t>WARUNKI UDZIAŁU W POSTĘPOWANIU.</w:t>
      </w:r>
    </w:p>
    <w:p w14:paraId="4E731345" w14:textId="16FFB544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171838">
        <w:rPr>
          <w:rFonts w:asciiTheme="majorHAnsi" w:hAnsiTheme="majorHAnsi" w:cstheme="minorHAnsi"/>
          <w:color w:val="002060"/>
          <w:sz w:val="22"/>
          <w:szCs w:val="22"/>
        </w:rPr>
        <w:t>O  udzielenie zamówienia mogą ubiegać się Wykonawcy, którzy nie podlegają wykluczeniu na zasadach określonych w Rozdziale X SWZ oraz spełniają określone przez Zamawiającego warunki udziału w postępowaniu dotyczące zdolności technicznej lub zawodowej. Wykonawca spełni warunek, jeżeli wykaże, że w okresie ostatnich 3 lat, licząc wstecz od dnia, w którym upływa termin składania ofert, a jeżeli okres prowadzenia działalności jest krótszy – w tym okresie wykonał lub wykonuje co najmniej 1 dostawę   żywieniowych   bonów  w formie papierowej o wartości  dostawy minimum 300.000,00 zł brutto. Zamawiający dopuszcza, aby Wykonawca legitymował się realizacją co najmniej 1 dostawy bonów żywieniowych w formie elektronicznej o wartości dostawy minimum 300.000,00 zł brutto.</w:t>
      </w:r>
    </w:p>
    <w:p w14:paraId="6AD9B669" w14:textId="3D37C9A3" w:rsidR="0066354D" w:rsidRDefault="0066354D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203F56D9" w14:textId="77777777" w:rsidR="0066354D" w:rsidRDefault="0066354D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3B2CFA4C" w14:textId="355D2069" w:rsidR="0066354D" w:rsidRDefault="0066354D" w:rsidP="0066354D">
      <w:pPr>
        <w:pStyle w:val="NormalnyWeb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  <w:t xml:space="preserve">Pytanie nr 2 </w:t>
      </w:r>
      <w:r w:rsidRPr="00171838"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  <w:t xml:space="preserve">: </w:t>
      </w:r>
    </w:p>
    <w:p w14:paraId="744481F2" w14:textId="77777777" w:rsidR="002D4A40" w:rsidRPr="002D4A40" w:rsidRDefault="0066354D" w:rsidP="002D4A40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66354D">
        <w:rPr>
          <w:rFonts w:asciiTheme="majorHAnsi" w:hAnsiTheme="majorHAnsi" w:cstheme="minorHAnsi"/>
          <w:color w:val="002060"/>
          <w:sz w:val="22"/>
          <w:szCs w:val="22"/>
        </w:rPr>
        <w:t>Zamawiający napisał, że przedmiotem dostawy są bony żywieniowe, proszę o doprecyzowanie, czy bony żywieniowe mają być w formie papierowej na których ma być zawarta na awersie bonu klauzula dotycząca zakazu zakupu wyrobów tytoniowych i alkoholowych, o którym Państwo napisali w przedmiocie zamówienia w rozdz. VI pkt 6? W rozdz. XI SWZ „Warunki Udziału w Postępowaniu” Zamawiający napisał, że jednym z warunków udziały w postępowaniu jest doświadczenie wykonawcy. Wykonawca spełni warunek, jeżeli wykaże, że w okresie ostatnich 3 lat, licząc wstecz od dnia, w którym upływa termin składania ofert, a jeżeli okres prowadzenia działalności</w:t>
      </w:r>
      <w:r>
        <w:t xml:space="preserve"> </w:t>
      </w:r>
      <w:r w:rsidRPr="0066354D">
        <w:rPr>
          <w:rFonts w:asciiTheme="majorHAnsi" w:hAnsiTheme="majorHAnsi" w:cstheme="minorHAnsi"/>
          <w:color w:val="002060"/>
          <w:sz w:val="22"/>
          <w:szCs w:val="22"/>
        </w:rPr>
        <w:t>jest krótszy – w tym okresie wykonał lub wykonuje co najmniej 1 dostawę żywieniowych bonów w formie papierowej o wartości dostawy minimum 300.000,00 zł</w:t>
      </w:r>
      <w:r w:rsidR="002D4A40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="002D4A40" w:rsidRPr="002D4A40">
        <w:rPr>
          <w:rFonts w:asciiTheme="majorHAnsi" w:hAnsiTheme="majorHAnsi" w:cstheme="minorHAnsi"/>
          <w:color w:val="002060"/>
          <w:sz w:val="22"/>
          <w:szCs w:val="22"/>
        </w:rPr>
        <w:t>brutto.</w:t>
      </w:r>
    </w:p>
    <w:p w14:paraId="50B13323" w14:textId="094103EA" w:rsidR="0066354D" w:rsidRDefault="002D4A40" w:rsidP="002D4A40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2D4A40">
        <w:rPr>
          <w:rFonts w:asciiTheme="majorHAnsi" w:hAnsiTheme="majorHAnsi" w:cstheme="minorHAnsi"/>
          <w:color w:val="002060"/>
          <w:sz w:val="22"/>
          <w:szCs w:val="22"/>
        </w:rPr>
        <w:t>Biorąc pod uwagę, że wykonawca musi wykazać referencje, że w ostatnich trzech latach wykonał co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2D4A40">
        <w:rPr>
          <w:rFonts w:asciiTheme="majorHAnsi" w:hAnsiTheme="majorHAnsi" w:cstheme="minorHAnsi"/>
          <w:color w:val="002060"/>
          <w:sz w:val="22"/>
          <w:szCs w:val="22"/>
        </w:rPr>
        <w:t>najmniej jedną dostawę żywieniowych bonów w formie papierowej o wartości dostawy minimum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2D4A40">
        <w:rPr>
          <w:rFonts w:asciiTheme="majorHAnsi" w:hAnsiTheme="majorHAnsi" w:cstheme="minorHAnsi"/>
          <w:color w:val="002060"/>
          <w:sz w:val="22"/>
          <w:szCs w:val="22"/>
        </w:rPr>
        <w:t>300.000,00 zł brutto sugeruje, że postępowanie dotyczy dostawy bonów żywieniowych w formie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2D4A40">
        <w:rPr>
          <w:rFonts w:asciiTheme="majorHAnsi" w:hAnsiTheme="majorHAnsi" w:cstheme="minorHAnsi"/>
          <w:color w:val="002060"/>
          <w:sz w:val="22"/>
          <w:szCs w:val="22"/>
        </w:rPr>
        <w:t>papierowej</w:t>
      </w:r>
      <w:r>
        <w:rPr>
          <w:rFonts w:asciiTheme="majorHAnsi" w:hAnsiTheme="majorHAnsi" w:cstheme="minorHAnsi"/>
          <w:color w:val="002060"/>
          <w:sz w:val="22"/>
          <w:szCs w:val="22"/>
        </w:rPr>
        <w:t xml:space="preserve">. </w:t>
      </w:r>
    </w:p>
    <w:p w14:paraId="1E3FE647" w14:textId="1471E319" w:rsidR="00981D0E" w:rsidRDefault="00981D0E" w:rsidP="002D4A40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7021FD7C" w14:textId="63068238" w:rsidR="00981D0E" w:rsidRDefault="00981D0E" w:rsidP="002D4A40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546E50C" w14:textId="77777777" w:rsidR="00981D0E" w:rsidRPr="00981D0E" w:rsidRDefault="00981D0E" w:rsidP="00981D0E">
      <w:pPr>
        <w:pStyle w:val="NormalnyWeb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</w:pPr>
      <w:r w:rsidRPr="00981D0E">
        <w:rPr>
          <w:rFonts w:asciiTheme="majorHAnsi" w:hAnsiTheme="majorHAnsi" w:cstheme="minorHAnsi"/>
          <w:b/>
          <w:bCs/>
          <w:color w:val="002060"/>
          <w:sz w:val="22"/>
          <w:szCs w:val="22"/>
          <w:u w:val="single"/>
        </w:rPr>
        <w:t xml:space="preserve">Odpowiedz: </w:t>
      </w:r>
    </w:p>
    <w:p w14:paraId="470CBCBE" w14:textId="77777777" w:rsidR="00CB644F" w:rsidRDefault="00981D0E" w:rsidP="00CB644F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981D0E">
        <w:rPr>
          <w:rFonts w:asciiTheme="majorHAnsi" w:hAnsiTheme="majorHAnsi" w:cstheme="minorHAnsi"/>
          <w:color w:val="002060"/>
          <w:sz w:val="22"/>
          <w:szCs w:val="22"/>
        </w:rPr>
        <w:t xml:space="preserve">W odpowiedzi na stawiane pytanie pragniemy poinformować, że zgodnie z zapisem w opisie przedmiotu zamówienia w rozdziale VI, pkt. 6 bony żywieniowe na awersie muszą mieć zamieszczoną klauzulę dotyczącą zakazu zakupu wyrobów tytoniowych i alkoholowych. </w:t>
      </w:r>
    </w:p>
    <w:p w14:paraId="0BBE8812" w14:textId="0A0A452E" w:rsidR="00981D0E" w:rsidRPr="0066354D" w:rsidRDefault="00981D0E" w:rsidP="00CB644F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981D0E">
        <w:rPr>
          <w:rFonts w:asciiTheme="majorHAnsi" w:hAnsiTheme="majorHAnsi" w:cstheme="minorHAnsi"/>
          <w:color w:val="002060"/>
          <w:sz w:val="22"/>
          <w:szCs w:val="22"/>
        </w:rPr>
        <w:t>Bony mają być w formie papierowej o wartości nominalnej jak w opisie przedmiotu zamówienia, pkt. 1.</w:t>
      </w:r>
    </w:p>
    <w:p w14:paraId="338B6E75" w14:textId="07194D42" w:rsidR="00171838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4F1A5762" w14:textId="77777777" w:rsidR="00171838" w:rsidRPr="00FE2C8A" w:rsidRDefault="00171838" w:rsidP="00171838">
      <w:pPr>
        <w:pStyle w:val="NormalnyWeb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E43" w14:textId="77777777" w:rsidR="00CC523E" w:rsidRDefault="00CC523E" w:rsidP="00CC523E">
      <w:r>
        <w:separator/>
      </w:r>
    </w:p>
  </w:endnote>
  <w:endnote w:type="continuationSeparator" w:id="0">
    <w:p w14:paraId="1B6B7B97" w14:textId="77777777" w:rsidR="00CC523E" w:rsidRDefault="00CC523E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EndPr/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3A21" w14:textId="77777777" w:rsidR="00CC523E" w:rsidRDefault="00CC523E" w:rsidP="00CC523E">
      <w:r>
        <w:separator/>
      </w:r>
    </w:p>
  </w:footnote>
  <w:footnote w:type="continuationSeparator" w:id="0">
    <w:p w14:paraId="09909A12" w14:textId="77777777" w:rsidR="00CC523E" w:rsidRDefault="00CC523E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0CCA"/>
    <w:rsid w:val="00A726BE"/>
    <w:rsid w:val="00A73EFC"/>
    <w:rsid w:val="00A81C47"/>
    <w:rsid w:val="00A81F13"/>
    <w:rsid w:val="00A86376"/>
    <w:rsid w:val="00A871C1"/>
    <w:rsid w:val="00A90FE7"/>
    <w:rsid w:val="00A935AD"/>
    <w:rsid w:val="00A95706"/>
    <w:rsid w:val="00AA20FE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55CA"/>
    <w:rsid w:val="00C56123"/>
    <w:rsid w:val="00C565D5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40</cp:revision>
  <cp:lastPrinted>2022-09-21T12:26:00Z</cp:lastPrinted>
  <dcterms:created xsi:type="dcterms:W3CDTF">2022-08-17T10:13:00Z</dcterms:created>
  <dcterms:modified xsi:type="dcterms:W3CDTF">2022-09-21T12:26:00Z</dcterms:modified>
</cp:coreProperties>
</file>