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57C06B6E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06629D">
        <w:rPr>
          <w:rFonts w:asciiTheme="majorHAnsi" w:hAnsiTheme="majorHAnsi" w:cs="Tahoma"/>
          <w:b/>
        </w:rPr>
        <w:t>12</w:t>
      </w:r>
      <w:r w:rsidRPr="00322E0A">
        <w:rPr>
          <w:rFonts w:asciiTheme="majorHAnsi" w:hAnsiTheme="majorHAnsi" w:cs="Tahoma"/>
          <w:b/>
        </w:rPr>
        <w:t>.2022.BM</w:t>
      </w:r>
    </w:p>
    <w:p w14:paraId="04447921" w14:textId="0F2A8EAA" w:rsidR="00002262" w:rsidRPr="00F8600A" w:rsidRDefault="0020068E" w:rsidP="0020068E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br/>
      </w: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58EB2796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bookmarkStart w:id="0" w:name="_Hlk115094135"/>
      <w:r w:rsidR="006F35B7" w:rsidRPr="006F35B7">
        <w:rPr>
          <w:rFonts w:asciiTheme="majorHAnsi" w:hAnsiTheme="majorHAnsi" w:cs="Calibri"/>
          <w:b/>
          <w:color w:val="000000"/>
        </w:rPr>
        <w:t>Budowa dróg na terenie Gminy Bukowiec o łącznej długości ok. 4 km</w:t>
      </w:r>
      <w:bookmarkEnd w:id="0"/>
      <w:r w:rsidR="006F35B7" w:rsidRPr="006F35B7">
        <w:rPr>
          <w:rFonts w:asciiTheme="majorHAnsi" w:hAnsiTheme="majorHAnsi" w:cs="Calibri"/>
          <w:b/>
          <w:color w:val="000000"/>
        </w:rPr>
        <w:t>.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</w:t>
      </w:r>
      <w:proofErr w:type="spellStart"/>
      <w:r w:rsidR="00ED33F7">
        <w:rPr>
          <w:rFonts w:asciiTheme="majorHAnsi" w:hAnsiTheme="majorHAnsi" w:cs="Tahoma"/>
        </w:rPr>
        <w:t>Pzp</w:t>
      </w:r>
      <w:proofErr w:type="spellEnd"/>
      <w:r w:rsidR="00ED33F7">
        <w:rPr>
          <w:rFonts w:asciiTheme="majorHAnsi" w:hAnsiTheme="majorHAnsi" w:cs="Tahoma"/>
        </w:rPr>
        <w:t xml:space="preserve">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06629D">
        <w:rPr>
          <w:rFonts w:asciiTheme="majorHAnsi" w:hAnsiTheme="majorHAnsi" w:cs="Tahoma"/>
          <w:b/>
          <w:bCs/>
        </w:rPr>
        <w:t>12</w:t>
      </w:r>
      <w:r w:rsidR="00D25A2B" w:rsidRPr="00D25A2B">
        <w:rPr>
          <w:rFonts w:asciiTheme="majorHAnsi" w:hAnsiTheme="majorHAnsi" w:cs="Tahoma"/>
          <w:b/>
          <w:bCs/>
        </w:rPr>
        <w:t>.2022.BM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 Inwestycji Strategicznych w ramach Rządowego Funduszu Polski Ład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 xml:space="preserve">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 xml:space="preserve">z </w:t>
      </w:r>
      <w:proofErr w:type="spellStart"/>
      <w:r w:rsidR="003D7385" w:rsidRPr="0057441C">
        <w:rPr>
          <w:rFonts w:asciiTheme="majorHAnsi" w:hAnsiTheme="majorHAnsi" w:cs="Tahoma"/>
        </w:rPr>
        <w:t>późn</w:t>
      </w:r>
      <w:proofErr w:type="spellEnd"/>
      <w:r w:rsidR="003D7385" w:rsidRPr="0057441C">
        <w:rPr>
          <w:rFonts w:asciiTheme="majorHAnsi" w:hAnsiTheme="majorHAnsi" w:cs="Tahoma"/>
        </w:rPr>
        <w:t>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48215A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395A4B75" w:rsidR="008A5FC0" w:rsidRPr="00436894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lastRenderedPageBreak/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1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b</w:t>
      </w:r>
      <w:r w:rsidR="00B1067A" w:rsidRPr="00B1067A">
        <w:rPr>
          <w:rFonts w:asciiTheme="majorHAnsi" w:hAnsiTheme="majorHAnsi" w:cs="Tahoma"/>
        </w:rPr>
        <w:t>udow</w:t>
      </w:r>
      <w:r w:rsidR="00B1067A">
        <w:rPr>
          <w:rFonts w:asciiTheme="majorHAnsi" w:hAnsiTheme="majorHAnsi" w:cs="Tahoma"/>
        </w:rPr>
        <w:t>y</w:t>
      </w:r>
      <w:r w:rsidR="00B1067A" w:rsidRPr="00B1067A">
        <w:rPr>
          <w:rFonts w:asciiTheme="majorHAnsi" w:hAnsiTheme="majorHAnsi" w:cs="Tahoma"/>
        </w:rPr>
        <w:t xml:space="preserve"> dróg na terenie Gminy Bukowiec o łącznej długości ok. 4 km.</w:t>
      </w:r>
      <w:r w:rsidR="004A53A8" w:rsidRPr="00436894">
        <w:t xml:space="preserve"> </w:t>
      </w:r>
      <w:r w:rsidR="004A53A8" w:rsidRPr="00436894">
        <w:rPr>
          <w:rFonts w:asciiTheme="majorHAnsi" w:hAnsiTheme="majorHAnsi" w:cs="Tahoma"/>
        </w:rPr>
        <w:t xml:space="preserve">zgodnie z ofertą 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</w:p>
    <w:p w14:paraId="46B951FE" w14:textId="5D5A353F" w:rsidR="00A115AA" w:rsidRPr="0048215A" w:rsidRDefault="00734E28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bookmarkStart w:id="2" w:name="_Hlk81939317"/>
      <w:bookmarkEnd w:id="1"/>
      <w:r w:rsidRPr="0048215A">
        <w:rPr>
          <w:rFonts w:asciiTheme="majorHAnsi" w:hAnsiTheme="majorHAnsi" w:cs="Tahoma"/>
        </w:rPr>
        <w:t>Przedmiot umowy obejmuje</w:t>
      </w:r>
      <w:bookmarkStart w:id="3" w:name="_Hlk35246045"/>
      <w:r w:rsidR="00AA2CA2" w:rsidRPr="0048215A">
        <w:rPr>
          <w:rFonts w:asciiTheme="majorHAnsi" w:hAnsiTheme="majorHAnsi" w:cs="Tahoma"/>
        </w:rPr>
        <w:t>:</w:t>
      </w:r>
    </w:p>
    <w:p w14:paraId="7182502F" w14:textId="346BCD01" w:rsidR="0048215A" w:rsidRPr="0048215A" w:rsidRDefault="0048215A" w:rsidP="0048215A">
      <w:pPr>
        <w:spacing w:after="0"/>
        <w:ind w:firstLine="426"/>
        <w:jc w:val="both"/>
        <w:rPr>
          <w:rFonts w:asciiTheme="majorHAnsi" w:hAnsiTheme="majorHAnsi" w:cs="Tahoma"/>
        </w:rPr>
      </w:pPr>
      <w:bookmarkStart w:id="4" w:name="_Hlk75332619"/>
      <w:bookmarkEnd w:id="2"/>
      <w:r w:rsidRPr="0048215A">
        <w:rPr>
          <w:rFonts w:asciiTheme="majorHAnsi" w:hAnsiTheme="majorHAnsi" w:cs="Tahoma"/>
        </w:rPr>
        <w:t xml:space="preserve">2.1. Etap 1 – obejmuje: </w:t>
      </w:r>
    </w:p>
    <w:p w14:paraId="441C5905" w14:textId="2C265C86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a)</w:t>
      </w:r>
      <w:r w:rsidRPr="00122C89">
        <w:rPr>
          <w:rFonts w:asciiTheme="majorHAnsi" w:hAnsiTheme="majorHAnsi" w:cs="Tahoma"/>
          <w:bCs/>
        </w:rPr>
        <w:tab/>
        <w:t>wykonanie dróg oznaczonych numerami 5 i 6 (drogi o nawierzchni z kostki betonowej )</w:t>
      </w:r>
    </w:p>
    <w:p w14:paraId="682B1222" w14:textId="77777777" w:rsid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– koszt etapu 1 maksymalnie 50 % wartości oferty,</w:t>
      </w:r>
    </w:p>
    <w:p w14:paraId="3DD4AEA0" w14:textId="29F3AA54" w:rsidR="00122C89" w:rsidRPr="00122C89" w:rsidRDefault="00122C89" w:rsidP="00122C89">
      <w:pPr>
        <w:spacing w:after="0"/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         2.2 </w:t>
      </w:r>
      <w:r w:rsidRPr="00122C89">
        <w:rPr>
          <w:rFonts w:asciiTheme="majorHAnsi" w:hAnsiTheme="majorHAnsi" w:cs="Tahoma"/>
          <w:bCs/>
        </w:rPr>
        <w:t>Etap 2 – obejmuje:</w:t>
      </w:r>
    </w:p>
    <w:p w14:paraId="233C0C97" w14:textId="1294DBFB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a)    realizację pozostałych odcinków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 xml:space="preserve">dróg </w:t>
      </w:r>
    </w:p>
    <w:p w14:paraId="51BBB5E0" w14:textId="5551E706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b)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 xml:space="preserve">przeprowadzenie wymaganych prób i badań oraz przygotowanie dokumentów związanych z oddaniem budowanych obiektów w użytkowanie, </w:t>
      </w:r>
    </w:p>
    <w:p w14:paraId="3AA910EE" w14:textId="0221150F" w:rsidR="00122C89" w:rsidRPr="00606A75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c)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>inwentaryzację powykonawczą,</w:t>
      </w:r>
      <w:r w:rsidRPr="00606A75">
        <w:rPr>
          <w:rFonts w:asciiTheme="majorHAnsi" w:hAnsiTheme="majorHAnsi" w:cs="Tahoma"/>
          <w:bCs/>
        </w:rPr>
        <w:t xml:space="preserve"> </w:t>
      </w:r>
    </w:p>
    <w:p w14:paraId="75E0D54F" w14:textId="4A319653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</w:p>
    <w:p w14:paraId="674E60EC" w14:textId="14BA5D6E" w:rsidR="00C041AA" w:rsidRPr="00B9456B" w:rsidRDefault="00606A75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 xml:space="preserve">3.    </w:t>
      </w:r>
      <w:bookmarkEnd w:id="3"/>
      <w:bookmarkEnd w:id="4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5" w:name="_Hlk101418981"/>
      <w:bookmarkStart w:id="6" w:name="_Hlk81939390"/>
      <w:r>
        <w:rPr>
          <w:rFonts w:asciiTheme="majorHAnsi" w:hAnsiTheme="majorHAnsi" w:cs="Tahoma"/>
        </w:rPr>
        <w:t>Zamawiający przekaże Wykonawcy plac budowy w terminie do 14 dni roboczych od dnia podpisania Umowy.</w:t>
      </w:r>
    </w:p>
    <w:bookmarkEnd w:id="5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4BD5BAC4" w:rsidR="00B86CDB" w:rsidRPr="00556232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Theme="majorHAnsi" w:hAnsiTheme="majorHAnsi" w:cs="Tahoma"/>
        </w:rPr>
        <w:t>Zakończenie robót nastąpi w terminie 1</w:t>
      </w:r>
      <w:r w:rsidR="001248C5">
        <w:rPr>
          <w:rFonts w:asciiTheme="majorHAnsi" w:hAnsiTheme="majorHAnsi" w:cs="Tahoma"/>
        </w:rPr>
        <w:t>3</w:t>
      </w:r>
      <w:r>
        <w:rPr>
          <w:rFonts w:asciiTheme="majorHAnsi" w:hAnsiTheme="majorHAnsi" w:cs="Tahoma"/>
        </w:rPr>
        <w:t xml:space="preserve"> miesięcy od dnia podpisania umowy.</w:t>
      </w:r>
    </w:p>
    <w:p w14:paraId="676A04F2" w14:textId="77777777" w:rsidR="00556232" w:rsidRPr="00B9456B" w:rsidRDefault="00556232" w:rsidP="00556232">
      <w:pPr>
        <w:pStyle w:val="Akapitzlist"/>
        <w:ind w:left="284"/>
        <w:jc w:val="both"/>
      </w:pPr>
    </w:p>
    <w:bookmarkEnd w:id="6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01CB6B21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734E28" w:rsidRPr="00436894">
        <w:rPr>
          <w:rFonts w:asciiTheme="majorHAnsi" w:hAnsiTheme="majorHAnsi" w:cs="Tahoma"/>
        </w:rPr>
        <w:t>,</w:t>
      </w:r>
      <w:r w:rsidR="00A51C86" w:rsidRPr="00436894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6DA0D913" w:rsidR="00A51C86" w:rsidRPr="00436894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Kwota </w:t>
      </w:r>
      <w:r w:rsidR="00312159" w:rsidRPr="00436894">
        <w:rPr>
          <w:rFonts w:asciiTheme="majorHAnsi" w:hAnsiTheme="majorHAnsi" w:cs="Tahoma"/>
        </w:rPr>
        <w:t>……………..</w:t>
      </w:r>
      <w:r w:rsidRPr="00436894">
        <w:rPr>
          <w:rFonts w:asciiTheme="majorHAnsi" w:hAnsiTheme="majorHAnsi" w:cs="Tahoma"/>
        </w:rPr>
        <w:t xml:space="preserve"> zł brutto z</w:t>
      </w:r>
      <w:r w:rsidR="00A51C86" w:rsidRPr="00436894">
        <w:rPr>
          <w:rFonts w:asciiTheme="majorHAnsi" w:hAnsiTheme="majorHAnsi" w:cs="Tahoma"/>
        </w:rPr>
        <w:t>a wyko</w:t>
      </w:r>
      <w:r w:rsidR="00877EB2" w:rsidRPr="00436894">
        <w:rPr>
          <w:rFonts w:asciiTheme="majorHAnsi" w:hAnsiTheme="majorHAnsi" w:cs="Tahoma"/>
        </w:rPr>
        <w:t>na</w:t>
      </w:r>
      <w:r w:rsidR="00A51C86" w:rsidRPr="00436894">
        <w:rPr>
          <w:rFonts w:asciiTheme="majorHAnsi" w:hAnsiTheme="majorHAnsi" w:cs="Tahoma"/>
        </w:rPr>
        <w:t>nie Etapu 1</w:t>
      </w:r>
    </w:p>
    <w:p w14:paraId="02656EDB" w14:textId="0B9309B3" w:rsidR="00A51C86" w:rsidRPr="00436894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Kwota </w:t>
      </w:r>
      <w:r w:rsidR="00312159" w:rsidRPr="00436894">
        <w:rPr>
          <w:rFonts w:asciiTheme="majorHAnsi" w:hAnsiTheme="majorHAnsi" w:cs="Tahoma"/>
        </w:rPr>
        <w:t>……………..</w:t>
      </w:r>
      <w:r w:rsidR="009378D7" w:rsidRPr="00436894">
        <w:rPr>
          <w:rFonts w:asciiTheme="majorHAnsi" w:hAnsiTheme="majorHAnsi" w:cs="Tahoma"/>
        </w:rPr>
        <w:t xml:space="preserve"> </w:t>
      </w:r>
      <w:r w:rsidRPr="00436894">
        <w:rPr>
          <w:rFonts w:asciiTheme="majorHAnsi" w:hAnsiTheme="majorHAnsi" w:cs="Tahoma"/>
        </w:rPr>
        <w:t>zł brutto z</w:t>
      </w:r>
      <w:r w:rsidR="00877EB2" w:rsidRPr="00436894">
        <w:rPr>
          <w:rFonts w:asciiTheme="majorHAnsi" w:hAnsiTheme="majorHAnsi" w:cs="Tahoma"/>
        </w:rPr>
        <w:t xml:space="preserve">a wykonanie Etapu 2 </w:t>
      </w:r>
    </w:p>
    <w:bookmarkEnd w:id="7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8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 xml:space="preserve">a także wszelkie koszty serwisowania, </w:t>
      </w:r>
      <w:r w:rsidRPr="00516FEE">
        <w:rPr>
          <w:rFonts w:asciiTheme="majorHAnsi" w:hAnsiTheme="majorHAnsi" w:cs="Tahoma"/>
        </w:rPr>
        <w:lastRenderedPageBreak/>
        <w:t>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8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096C33CA" w14:textId="010653EC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8F41485" w14:textId="3CCAEFAD" w:rsidR="0048215A" w:rsidRPr="00436894" w:rsidRDefault="009D187D" w:rsidP="007C438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Wynagrodzenie będzie płatne zgodnie z zasadami programu </w:t>
      </w:r>
      <w:proofErr w:type="spellStart"/>
      <w:r w:rsidRPr="00436894">
        <w:rPr>
          <w:rFonts w:asciiTheme="majorHAnsi" w:hAnsiTheme="majorHAnsi" w:cs="Tahoma"/>
        </w:rPr>
        <w:t>dofinansującego</w:t>
      </w:r>
      <w:proofErr w:type="spellEnd"/>
      <w:r w:rsidRPr="00436894">
        <w:rPr>
          <w:rFonts w:asciiTheme="majorHAnsi" w:hAnsiTheme="majorHAnsi" w:cs="Tahoma"/>
        </w:rPr>
        <w:t xml:space="preserve"> realizację inwestycji. Przewiduje się zapewnienie finansowania inwestycji przez Wykonawcę w części niepokrytej udziałem własnym Zamawiającego, na czas poprzedzający wypłaty dofinansowania </w:t>
      </w:r>
      <w:r w:rsidRPr="00F6458B">
        <w:rPr>
          <w:rFonts w:asciiTheme="majorHAnsi" w:hAnsiTheme="majorHAnsi" w:cs="Tahoma"/>
        </w:rPr>
        <w:t xml:space="preserve">z Promesy nr </w:t>
      </w:r>
      <w:r w:rsidR="007C4384" w:rsidRPr="00F6458B">
        <w:rPr>
          <w:rFonts w:asciiTheme="majorHAnsi" w:hAnsiTheme="majorHAnsi" w:cs="Tahoma"/>
        </w:rPr>
        <w:t>2/2021/1820/</w:t>
      </w:r>
      <w:r w:rsidRPr="00F6458B">
        <w:rPr>
          <w:rFonts w:asciiTheme="majorHAnsi" w:hAnsiTheme="majorHAnsi" w:cs="Tahoma"/>
        </w:rPr>
        <w:t>/</w:t>
      </w:r>
      <w:proofErr w:type="spellStart"/>
      <w:r w:rsidRPr="00F6458B">
        <w:rPr>
          <w:rFonts w:asciiTheme="majorHAnsi" w:hAnsiTheme="majorHAnsi" w:cs="Tahoma"/>
        </w:rPr>
        <w:t>PolskiLad</w:t>
      </w:r>
      <w:proofErr w:type="spellEnd"/>
      <w:r w:rsidRPr="00436894">
        <w:rPr>
          <w:rFonts w:asciiTheme="majorHAnsi" w:hAnsiTheme="majorHAnsi" w:cs="Tahoma"/>
        </w:rPr>
        <w:t xml:space="preserve">,  na zasadach wskazanych we wstępnej Promesie dot. dofinansowania Inwestycji: </w:t>
      </w:r>
      <w:r w:rsidR="007C4384" w:rsidRPr="00436894">
        <w:rPr>
          <w:rFonts w:asciiTheme="majorHAnsi" w:hAnsiTheme="majorHAnsi" w:cs="Tahoma"/>
        </w:rPr>
        <w:t>Budowa dróg na terenie Gminy Bukowiec o łącznej długości ok. 4 km</w:t>
      </w:r>
      <w:r w:rsidRPr="00436894">
        <w:rPr>
          <w:rFonts w:asciiTheme="majorHAnsi" w:hAnsiTheme="majorHAnsi" w:cs="Tahoma"/>
        </w:rPr>
        <w:t>, z jednoczesnym zastrzeżeniem, że zapłata wynagrodzenia Wykonawcy w całości nastąpi po wykonaniu inwestycji w terminie nie dłuższym niż 35 dni od dnia odbioru inwestycji.</w:t>
      </w:r>
    </w:p>
    <w:p w14:paraId="618D5C5D" w14:textId="3DD0DDD7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I WALORYZACJA WYNAGRODZENIA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Umowy. </w:t>
      </w:r>
    </w:p>
    <w:p w14:paraId="51BCF5E6" w14:textId="46275754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9" w:name="_Ref386183329"/>
      <w:r w:rsidRPr="002255CF">
        <w:rPr>
          <w:rFonts w:asciiTheme="majorHAnsi" w:hAnsiTheme="majorHAnsi" w:cs="Times New Roman"/>
          <w:sz w:val="22"/>
          <w:szCs w:val="22"/>
        </w:rPr>
        <w:lastRenderedPageBreak/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2) po upływie co najmniej 12 miesięcy obowiązywania Umowy:</w:t>
      </w:r>
    </w:p>
    <w:p w14:paraId="792F7906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 na pisemny wniosek Wykonawcy – w przypadku zmiany wysokości minimalnego wynagrodzenia za pracę albo wysokości minimalnej stawki godzinowej, ustalonych na podstawie przepisów ustawy z dnia 10 października 2002 r. o minimalnym wynagrodzeniu za pracę,</w:t>
      </w:r>
    </w:p>
    <w:p w14:paraId="2D42C14F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9D7690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Mnożnik korygujący wynagrodzenie Wykonawcy (</w:t>
      </w:r>
      <w:proofErr w:type="spellStart"/>
      <w:r w:rsidRPr="002255CF">
        <w:rPr>
          <w:rFonts w:asciiTheme="majorHAnsi" w:hAnsiTheme="majorHAnsi" w:cs="Times New Roman"/>
          <w:sz w:val="22"/>
          <w:szCs w:val="22"/>
        </w:rPr>
        <w:t>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proofErr w:type="spellEnd"/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06629D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</m:t>
              </m:r>
              <m:r>
                <w:rPr>
                  <w:rFonts w:ascii="Cambria Math" w:hAnsi="Cambria Math" w:cs="Times New Roman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c</m:t>
              </m:r>
              <m:r>
                <w:rPr>
                  <w:rFonts w:ascii="Cambria Math" w:hAnsi="Cambria Math" w:cs="Times New Roman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lastRenderedPageBreak/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06629D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06629D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06629D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06629D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WAGA</w:t>
            </w:r>
          </w:p>
        </w:tc>
      </w:tr>
      <w:tr w:rsidR="00E750C3" w:rsidRPr="002255CF" w14:paraId="1E5437CB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minimalnym wynagrodzeniu za pracę) osób bezpośrednio zaangażowanych w realizację przedmiotu Umowy, o których mowa w § 7 Umowy wraz z określeniem zakresu (części etatu),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przypadku otrzymania przez Stronę informacji o niezatwierdzeniu wniosku lub częściowym zatwierdzeniu wniosku, Strona ta może w ciągu 30 dni od dnia otrzymania tej informacji 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0E6F2C17" w14:textId="75C4D27C" w:rsidR="00505768" w:rsidRDefault="00E750C3" w:rsidP="00505768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  <w:bookmarkEnd w:id="9"/>
    </w:p>
    <w:p w14:paraId="1ACBD177" w14:textId="77777777" w:rsidR="00436894" w:rsidRPr="00436894" w:rsidRDefault="00436894" w:rsidP="00436894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9D550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C2F1124" w14:textId="77777777" w:rsidR="00DF794A" w:rsidRPr="00B9456B" w:rsidRDefault="00DF794A" w:rsidP="00C15AE4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lastRenderedPageBreak/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4E67355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10" w:name="_Hlk96867837"/>
      <w:r w:rsidRPr="0054702D">
        <w:rPr>
          <w:rFonts w:asciiTheme="majorHAnsi" w:hAnsiTheme="majorHAnsi" w:cs="Tahoma"/>
        </w:rPr>
        <w:lastRenderedPageBreak/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B922F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1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1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2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2"/>
    <w:p w14:paraId="31C02019" w14:textId="131F84DC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3DE49969" w:rsidR="00800D66" w:rsidRPr="00436894" w:rsidRDefault="00A51C86" w:rsidP="0043689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10"/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lastRenderedPageBreak/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63CD0A8B" w:rsidR="006029BB" w:rsidRPr="00436894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7FC08E0C" w14:textId="160082A1" w:rsidR="00E556DD" w:rsidRPr="00E60A71" w:rsidRDefault="00E60A71" w:rsidP="00B922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F32AA3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F32AA3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</w:t>
      </w:r>
      <w:r w:rsidR="00955169" w:rsidRPr="0054702D">
        <w:rPr>
          <w:rFonts w:asciiTheme="majorHAnsi" w:hAnsiTheme="majorHAnsi" w:cs="Tahoma"/>
          <w:sz w:val="22"/>
          <w:szCs w:val="22"/>
        </w:rPr>
        <w:lastRenderedPageBreak/>
        <w:t xml:space="preserve">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762EE05A" w:rsidR="002D7584" w:rsidRPr="00703617" w:rsidRDefault="005B6808" w:rsidP="00C231F1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703617" w:rsidRPr="00703617">
        <w:rPr>
          <w:rFonts w:asciiTheme="majorHAnsi" w:hAnsiTheme="majorHAnsi" w:cs="Tahoma"/>
          <w:sz w:val="22"/>
          <w:szCs w:val="22"/>
        </w:rPr>
        <w:t>5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1, 2 i 3. Za dzień zapłaty uznawany będzie dzień obciążenia rachunku bankowego Zamawiającego</w:t>
      </w:r>
    </w:p>
    <w:p w14:paraId="3A0C4A7C" w14:textId="77777777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</w:t>
      </w:r>
      <w:r w:rsidR="00AA05F8" w:rsidRPr="00AA05F8">
        <w:rPr>
          <w:rFonts w:asciiTheme="majorHAnsi" w:hAnsiTheme="majorHAnsi" w:cs="Tahoma"/>
        </w:rPr>
        <w:lastRenderedPageBreak/>
        <w:t>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45AE67C" w:rsidR="00494ADE" w:rsidRPr="00436894" w:rsidRDefault="00494ADE" w:rsidP="00436894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3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3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4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4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</w:t>
      </w:r>
      <w:r w:rsidRPr="00FD4B19">
        <w:rPr>
          <w:rFonts w:asciiTheme="majorHAnsi" w:hAnsiTheme="majorHAnsi" w:cs="Tahoma"/>
        </w:rPr>
        <w:lastRenderedPageBreak/>
        <w:t xml:space="preserve">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5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5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B6AFE6E" w14:textId="5CB48D83" w:rsidR="00C44F3C" w:rsidRPr="00436894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2079C0BC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EBFA638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579B393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09A439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363718FF" w:rsidR="007A309F" w:rsidRPr="00657AAC" w:rsidRDefault="00FF5C11" w:rsidP="00362823">
      <w:pPr>
        <w:pStyle w:val="Akapitzlist"/>
        <w:numPr>
          <w:ilvl w:val="0"/>
          <w:numId w:val="27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8C7187">
        <w:rPr>
          <w:rFonts w:asciiTheme="majorHAnsi" w:hAnsiTheme="majorHAnsi" w:cs="Tahoma"/>
        </w:rPr>
        <w:br/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97D5FB7" w14:textId="2E28FC42" w:rsidR="00C44F3C" w:rsidRPr="00436894" w:rsidRDefault="007A309F" w:rsidP="0097441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</w:t>
      </w:r>
      <w:r w:rsidR="00DC5F40">
        <w:rPr>
          <w:rFonts w:asciiTheme="majorHAnsi" w:hAnsiTheme="majorHAnsi"/>
        </w:rPr>
        <w:t>………………………..</w:t>
      </w:r>
      <w:r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budowy - </w:t>
      </w:r>
      <w:r w:rsidRPr="006C6181">
        <w:rPr>
          <w:rFonts w:asciiTheme="majorHAnsi" w:hAnsiTheme="majorHAnsi"/>
        </w:rPr>
        <w:t xml:space="preserve">Uprawnienia budowlane nr </w:t>
      </w:r>
      <w:r w:rsidR="00DC5F40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 bez ograniczeń,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3212ACB9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 xml:space="preserve">za szkody osobowe i rzeczowe, wyrządzone przy realizacji </w:t>
      </w:r>
      <w:r w:rsidRPr="00462AAD">
        <w:rPr>
          <w:rFonts w:asciiTheme="majorHAnsi" w:hAnsiTheme="majorHAnsi" w:cs="Tahoma"/>
        </w:rPr>
        <w:lastRenderedPageBreak/>
        <w:t>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6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6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7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7"/>
    <w:p w14:paraId="3F150EFD" w14:textId="77777777" w:rsidR="00DB3C14" w:rsidRPr="00AB2C2C" w:rsidRDefault="00DB3C14" w:rsidP="00DB3C14">
      <w:pPr>
        <w:widowControl w:val="0"/>
        <w:tabs>
          <w:tab w:val="left" w:pos="803"/>
        </w:tabs>
        <w:suppressAutoHyphens/>
        <w:spacing w:before="120" w:after="0" w:line="240" w:lineRule="auto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DB3C14">
      <w:pPr>
        <w:widowControl w:val="0"/>
        <w:tabs>
          <w:tab w:val="left" w:pos="1063"/>
        </w:tabs>
        <w:suppressAutoHyphens/>
        <w:spacing w:after="0" w:line="240" w:lineRule="auto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B922F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B922F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33E985D1" w14:textId="2AC4126F" w:rsidR="00DF794A" w:rsidRDefault="00DF794A" w:rsidP="00494ADE">
      <w:pPr>
        <w:spacing w:after="120" w:line="240" w:lineRule="auto"/>
        <w:rPr>
          <w:rFonts w:asciiTheme="majorHAnsi" w:hAnsiTheme="majorHAnsi" w:cs="Tahoma"/>
        </w:rPr>
      </w:pPr>
    </w:p>
    <w:p w14:paraId="3F03EC77" w14:textId="7562374E" w:rsidR="00CA0AEB" w:rsidRDefault="00CA0AEB" w:rsidP="00494ADE">
      <w:pPr>
        <w:spacing w:after="120" w:line="240" w:lineRule="auto"/>
        <w:rPr>
          <w:rFonts w:asciiTheme="majorHAnsi" w:hAnsiTheme="majorHAnsi" w:cs="Tahoma"/>
        </w:rPr>
      </w:pPr>
    </w:p>
    <w:p w14:paraId="53F0A88A" w14:textId="527EA40D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5F687278" w14:textId="44FC4713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D3F89CF" w14:textId="77777777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6500" w14:textId="77777777" w:rsidR="00EF6FAB" w:rsidRDefault="00EF6FAB" w:rsidP="002E14A3">
      <w:pPr>
        <w:spacing w:after="0" w:line="240" w:lineRule="auto"/>
      </w:pPr>
      <w:r>
        <w:separator/>
      </w:r>
    </w:p>
  </w:endnote>
  <w:endnote w:type="continuationSeparator" w:id="0">
    <w:p w14:paraId="453A195C" w14:textId="77777777" w:rsidR="00EF6FAB" w:rsidRDefault="00EF6FAB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3C32" w14:textId="77777777" w:rsidR="00EF6FAB" w:rsidRDefault="00EF6FAB" w:rsidP="002E14A3">
      <w:pPr>
        <w:spacing w:after="0" w:line="240" w:lineRule="auto"/>
      </w:pPr>
      <w:r>
        <w:separator/>
      </w:r>
    </w:p>
  </w:footnote>
  <w:footnote w:type="continuationSeparator" w:id="0">
    <w:p w14:paraId="75C86C5D" w14:textId="77777777" w:rsidR="00EF6FAB" w:rsidRDefault="00EF6FAB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7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0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38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8"/>
  </w:num>
  <w:num w:numId="5" w16cid:durableId="289938320">
    <w:abstractNumId w:val="30"/>
  </w:num>
  <w:num w:numId="6" w16cid:durableId="1096364248">
    <w:abstractNumId w:val="23"/>
  </w:num>
  <w:num w:numId="7" w16cid:durableId="1942256884">
    <w:abstractNumId w:val="29"/>
  </w:num>
  <w:num w:numId="8" w16cid:durableId="904493512">
    <w:abstractNumId w:val="25"/>
  </w:num>
  <w:num w:numId="9" w16cid:durableId="1024551888">
    <w:abstractNumId w:val="12"/>
  </w:num>
  <w:num w:numId="10" w16cid:durableId="866797572">
    <w:abstractNumId w:val="35"/>
  </w:num>
  <w:num w:numId="11" w16cid:durableId="492642823">
    <w:abstractNumId w:val="16"/>
  </w:num>
  <w:num w:numId="12" w16cid:durableId="574046989">
    <w:abstractNumId w:val="17"/>
  </w:num>
  <w:num w:numId="13" w16cid:durableId="226233733">
    <w:abstractNumId w:val="4"/>
  </w:num>
  <w:num w:numId="14" w16cid:durableId="1459684503">
    <w:abstractNumId w:val="15"/>
  </w:num>
  <w:num w:numId="15" w16cid:durableId="2023628901">
    <w:abstractNumId w:val="31"/>
  </w:num>
  <w:num w:numId="16" w16cid:durableId="979922392">
    <w:abstractNumId w:val="11"/>
  </w:num>
  <w:num w:numId="17" w16cid:durableId="651131656">
    <w:abstractNumId w:val="33"/>
  </w:num>
  <w:num w:numId="18" w16cid:durableId="1846748272">
    <w:abstractNumId w:val="34"/>
  </w:num>
  <w:num w:numId="19" w16cid:durableId="669453679">
    <w:abstractNumId w:val="42"/>
  </w:num>
  <w:num w:numId="20" w16cid:durableId="1585842475">
    <w:abstractNumId w:val="24"/>
  </w:num>
  <w:num w:numId="21" w16cid:durableId="1720592367">
    <w:abstractNumId w:val="9"/>
  </w:num>
  <w:num w:numId="22" w16cid:durableId="1115294917">
    <w:abstractNumId w:val="7"/>
  </w:num>
  <w:num w:numId="23" w16cid:durableId="1152017409">
    <w:abstractNumId w:val="19"/>
  </w:num>
  <w:num w:numId="24" w16cid:durableId="2118674412">
    <w:abstractNumId w:val="32"/>
  </w:num>
  <w:num w:numId="25" w16cid:durableId="1125849918">
    <w:abstractNumId w:val="5"/>
  </w:num>
  <w:num w:numId="26" w16cid:durableId="314190579">
    <w:abstractNumId w:val="39"/>
  </w:num>
  <w:num w:numId="27" w16cid:durableId="48891913">
    <w:abstractNumId w:val="26"/>
  </w:num>
  <w:num w:numId="28" w16cid:durableId="1328896430">
    <w:abstractNumId w:val="20"/>
  </w:num>
  <w:num w:numId="29" w16cid:durableId="1730298712">
    <w:abstractNumId w:val="37"/>
  </w:num>
  <w:num w:numId="30" w16cid:durableId="803619921">
    <w:abstractNumId w:val="43"/>
  </w:num>
  <w:num w:numId="31" w16cid:durableId="1725062967">
    <w:abstractNumId w:val="18"/>
  </w:num>
  <w:num w:numId="32" w16cid:durableId="1990015608">
    <w:abstractNumId w:val="10"/>
  </w:num>
  <w:num w:numId="33" w16cid:durableId="2050493427">
    <w:abstractNumId w:val="28"/>
  </w:num>
  <w:num w:numId="34" w16cid:durableId="1988237422">
    <w:abstractNumId w:val="27"/>
  </w:num>
  <w:num w:numId="35" w16cid:durableId="1318462912">
    <w:abstractNumId w:val="36"/>
  </w:num>
  <w:num w:numId="36" w16cid:durableId="1358385767">
    <w:abstractNumId w:val="2"/>
  </w:num>
  <w:num w:numId="37" w16cid:durableId="918367708">
    <w:abstractNumId w:val="41"/>
  </w:num>
  <w:num w:numId="38" w16cid:durableId="388842767">
    <w:abstractNumId w:val="14"/>
  </w:num>
  <w:num w:numId="39" w16cid:durableId="2032954867">
    <w:abstractNumId w:val="13"/>
  </w:num>
  <w:num w:numId="40" w16cid:durableId="1588419904">
    <w:abstractNumId w:val="21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152A"/>
    <w:rsid w:val="00190F92"/>
    <w:rsid w:val="001947C8"/>
    <w:rsid w:val="001A2620"/>
    <w:rsid w:val="001A26FE"/>
    <w:rsid w:val="001A2904"/>
    <w:rsid w:val="001A3407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4400"/>
    <w:rsid w:val="008B61F3"/>
    <w:rsid w:val="008C1114"/>
    <w:rsid w:val="008C1D09"/>
    <w:rsid w:val="008C3B60"/>
    <w:rsid w:val="008C7187"/>
    <w:rsid w:val="008D2EFF"/>
    <w:rsid w:val="008E663F"/>
    <w:rsid w:val="008F0AD0"/>
    <w:rsid w:val="008F709E"/>
    <w:rsid w:val="008F74A5"/>
    <w:rsid w:val="008F7BCA"/>
    <w:rsid w:val="00911C95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067A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20265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458B"/>
    <w:rsid w:val="00F7165F"/>
    <w:rsid w:val="00F767CD"/>
    <w:rsid w:val="00F8130C"/>
    <w:rsid w:val="00F852FE"/>
    <w:rsid w:val="00F8600A"/>
    <w:rsid w:val="00F96D07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7951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RRiB</cp:lastModifiedBy>
  <cp:revision>2</cp:revision>
  <cp:lastPrinted>2020-06-05T11:00:00Z</cp:lastPrinted>
  <dcterms:created xsi:type="dcterms:W3CDTF">2022-11-02T08:19:00Z</dcterms:created>
  <dcterms:modified xsi:type="dcterms:W3CDTF">2022-11-02T08:19:00Z</dcterms:modified>
</cp:coreProperties>
</file>