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F7AD" w14:textId="77777777" w:rsidR="001952A3" w:rsidRDefault="001952A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C47062" w14:textId="77777777" w:rsidR="001952A3" w:rsidRDefault="001952A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180C7B" w14:textId="77777777" w:rsidR="001952A3" w:rsidRDefault="00CA3D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EZP.270.98.2023</w:t>
      </w:r>
    </w:p>
    <w:p w14:paraId="43A3C351" w14:textId="77777777" w:rsidR="001952A3" w:rsidRDefault="001952A3">
      <w:pPr>
        <w:rPr>
          <w:rFonts w:asciiTheme="minorHAnsi" w:hAnsiTheme="minorHAnsi" w:cstheme="minorHAnsi"/>
          <w:sz w:val="22"/>
          <w:szCs w:val="22"/>
        </w:rPr>
      </w:pPr>
    </w:p>
    <w:p w14:paraId="7C88E532" w14:textId="77777777" w:rsidR="001952A3" w:rsidRDefault="00CA3D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Tom III SWZ - Opis przedmiotu zamówienia</w:t>
      </w:r>
    </w:p>
    <w:p w14:paraId="2ACDA926" w14:textId="77777777" w:rsidR="001952A3" w:rsidRDefault="001952A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DEE58E" w14:textId="77777777" w:rsidR="001952A3" w:rsidRDefault="00CA3D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Dotyczy postępowania: </w:t>
      </w:r>
      <w:r>
        <w:rPr>
          <w:rFonts w:asciiTheme="minorHAnsi" w:hAnsiTheme="minorHAnsi" w:cstheme="minorHAnsi"/>
          <w:b/>
          <w:bCs/>
          <w:sz w:val="22"/>
          <w:szCs w:val="22"/>
        </w:rPr>
        <w:t>Dostawa płyt elektronicznych typu FMC Carrier w standardzie MTCA.4 dla projektu PolFEL</w:t>
      </w:r>
    </w:p>
    <w:p w14:paraId="38194EC1" w14:textId="77777777" w:rsidR="001952A3" w:rsidRDefault="001952A3">
      <w:pPr>
        <w:rPr>
          <w:rFonts w:asciiTheme="minorHAnsi" w:hAnsiTheme="minorHAnsi" w:cstheme="minorHAnsi"/>
          <w:sz w:val="22"/>
          <w:szCs w:val="22"/>
        </w:rPr>
      </w:pPr>
    </w:p>
    <w:p w14:paraId="3DEF179B" w14:textId="77777777" w:rsidR="001952A3" w:rsidRDefault="001952A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6978D1" w14:textId="77777777" w:rsidR="001952A3" w:rsidRDefault="001952A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4CA5CC" w14:textId="77777777" w:rsidR="001952A3" w:rsidRPr="0025716E" w:rsidRDefault="00CA3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hAnsiTheme="minorHAnsi" w:cstheme="minorHAnsi"/>
          <w:sz w:val="22"/>
          <w:szCs w:val="22"/>
        </w:rPr>
        <w:t xml:space="preserve">Układy typu FMC Carrier w standardzie MTCA.4 – </w:t>
      </w:r>
      <w:r w:rsidRPr="0025716E">
        <w:rPr>
          <w:rFonts w:asciiTheme="minorHAnsi" w:hAnsiTheme="minorHAnsi" w:cstheme="minorHAnsi"/>
          <w:b/>
          <w:bCs/>
          <w:sz w:val="22"/>
          <w:szCs w:val="22"/>
        </w:rPr>
        <w:t>10 sztuk</w:t>
      </w:r>
    </w:p>
    <w:p w14:paraId="14813B9C" w14:textId="77777777" w:rsidR="001952A3" w:rsidRPr="0025716E" w:rsidRDefault="00CA3DF4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hAnsiTheme="minorHAnsi" w:cstheme="minorHAnsi"/>
          <w:sz w:val="22"/>
          <w:szCs w:val="22"/>
        </w:rPr>
        <w:t>Format płyty: wg. specyfikacji PICMG: "double width, mid-size", zgodna ze standardem MTCA.4</w:t>
      </w:r>
    </w:p>
    <w:p w14:paraId="3CD88180" w14:textId="77777777" w:rsidR="001952A3" w:rsidRPr="0025716E" w:rsidRDefault="00CA3DF4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hAnsiTheme="minorHAnsi" w:cstheme="minorHAnsi"/>
          <w:sz w:val="22"/>
          <w:szCs w:val="22"/>
        </w:rPr>
        <w:t>Standard złącza "Zone 3" / RTM: Rekomendacja DESY D1.x</w:t>
      </w:r>
    </w:p>
    <w:p w14:paraId="58ECDD52" w14:textId="77777777" w:rsidR="001952A3" w:rsidRPr="0025716E" w:rsidRDefault="00CA3DF4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hAnsiTheme="minorHAnsi" w:cstheme="minorHAnsi"/>
          <w:sz w:val="22"/>
          <w:szCs w:val="22"/>
        </w:rPr>
        <w:t>2 złącza FMC w standardzie co najmniej LPC (wg specyfikacji ANSI VITA 57.1), zapewniające obsługę elektrycznych standardów komunikacji na poziomie 1.8V oraz LVDS na liniach LA.</w:t>
      </w:r>
    </w:p>
    <w:p w14:paraId="11F37A1E" w14:textId="6BAAC485" w:rsidR="001952A3" w:rsidRPr="0025716E" w:rsidRDefault="00CA3DF4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hAnsiTheme="minorHAnsi" w:cstheme="minorHAnsi"/>
          <w:sz w:val="22"/>
          <w:szCs w:val="22"/>
        </w:rPr>
        <w:t xml:space="preserve">Układ FPGA: Układ z rodziny Xilinx Zynq 7000 lub Xilinx Zynq UltraScale+ lub równoważny tj. kompatybilny z posiadaną przez Zamawiającego licencją oprogramowania </w:t>
      </w:r>
      <w:r w:rsidR="0025716E" w:rsidRPr="0025716E">
        <w:rPr>
          <w:rFonts w:asciiTheme="minorHAnsi" w:hAnsiTheme="minorHAnsi" w:cstheme="minorHAnsi"/>
          <w:sz w:val="22"/>
          <w:szCs w:val="22"/>
        </w:rPr>
        <w:t>Xilinx Vivado ML Enterpr</w:t>
      </w:r>
      <w:r w:rsidR="0025716E">
        <w:rPr>
          <w:rFonts w:asciiTheme="minorHAnsi" w:hAnsiTheme="minorHAnsi" w:cstheme="minorHAnsi"/>
          <w:sz w:val="22"/>
          <w:szCs w:val="22"/>
        </w:rPr>
        <w:t>ice Edition, EF-VIVADO-ENTER-FL</w:t>
      </w:r>
      <w:r w:rsidR="0025716E" w:rsidRPr="0025716E">
        <w:rPr>
          <w:rFonts w:asciiTheme="minorHAnsi" w:hAnsiTheme="minorHAnsi" w:cstheme="minorHAnsi"/>
          <w:sz w:val="22"/>
          <w:szCs w:val="22"/>
        </w:rPr>
        <w:t xml:space="preserve"> </w:t>
      </w:r>
      <w:r w:rsidR="0025716E">
        <w:rPr>
          <w:rFonts w:asciiTheme="minorHAnsi" w:hAnsiTheme="minorHAnsi" w:cstheme="minorHAnsi"/>
          <w:sz w:val="22"/>
          <w:szCs w:val="22"/>
        </w:rPr>
        <w:t>(</w:t>
      </w:r>
      <w:r w:rsidR="0025716E" w:rsidRPr="0025716E">
        <w:rPr>
          <w:rFonts w:asciiTheme="minorHAnsi" w:hAnsiTheme="minorHAnsi" w:cstheme="minorHAnsi"/>
          <w:sz w:val="22"/>
          <w:szCs w:val="22"/>
        </w:rPr>
        <w:t>aktualna subskrypcja: 2023.1</w:t>
      </w:r>
      <w:r w:rsidR="0025716E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  <w:r w:rsidRPr="0025716E">
        <w:rPr>
          <w:rFonts w:asciiTheme="minorHAnsi" w:hAnsiTheme="minorHAnsi" w:cstheme="minorHAnsi"/>
          <w:sz w:val="22"/>
          <w:szCs w:val="22"/>
        </w:rPr>
        <w:t xml:space="preserve"> z wbudowanym procesorem ARM</w:t>
      </w:r>
      <w:r w:rsidR="00C04342" w:rsidRPr="002571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096E2" w14:textId="77777777" w:rsidR="001952A3" w:rsidRPr="0025716E" w:rsidRDefault="00CA3DF4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hAnsiTheme="minorHAnsi" w:cstheme="minorHAnsi"/>
          <w:sz w:val="22"/>
          <w:szCs w:val="22"/>
        </w:rPr>
        <w:t>Obsługa portów złącza AMC:</w:t>
      </w:r>
    </w:p>
    <w:p w14:paraId="5FC9289A" w14:textId="77777777" w:rsidR="001952A3" w:rsidRPr="0025716E" w:rsidRDefault="00CA3DF4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eastAsia="Liberation Serif;Times New Roma" w:hAnsiTheme="minorHAnsi" w:cstheme="minorHAnsi"/>
          <w:sz w:val="22"/>
          <w:szCs w:val="22"/>
        </w:rPr>
        <w:t xml:space="preserve">    </w:t>
      </w:r>
      <w:r w:rsidRPr="0025716E">
        <w:rPr>
          <w:rFonts w:asciiTheme="minorHAnsi" w:hAnsiTheme="minorHAnsi" w:cstheme="minorHAnsi"/>
          <w:sz w:val="22"/>
          <w:szCs w:val="22"/>
        </w:rPr>
        <w:t>Gigabit Ethernet: porty 0 i 1</w:t>
      </w:r>
    </w:p>
    <w:p w14:paraId="4327873E" w14:textId="77777777" w:rsidR="001952A3" w:rsidRPr="0025716E" w:rsidRDefault="00CA3DF4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eastAsia="Liberation Serif;Times New Roma" w:hAnsiTheme="minorHAnsi" w:cstheme="minorHAnsi"/>
          <w:sz w:val="22"/>
          <w:szCs w:val="22"/>
        </w:rPr>
        <w:t xml:space="preserve">   </w:t>
      </w:r>
      <w:r w:rsidRPr="0025716E">
        <w:rPr>
          <w:rFonts w:asciiTheme="minorHAnsi" w:hAnsiTheme="minorHAnsi" w:cstheme="minorHAnsi"/>
          <w:sz w:val="22"/>
          <w:szCs w:val="22"/>
        </w:rPr>
        <w:t>PCI Express: porty 4-7</w:t>
      </w:r>
    </w:p>
    <w:p w14:paraId="5E7C338F" w14:textId="77777777" w:rsidR="001952A3" w:rsidRPr="0025716E" w:rsidRDefault="00CA3DF4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eastAsia="Liberation Serif;Times New Roma" w:hAnsiTheme="minorHAnsi" w:cstheme="minorHAnsi"/>
          <w:sz w:val="22"/>
          <w:szCs w:val="22"/>
        </w:rPr>
        <w:t xml:space="preserve">   </w:t>
      </w:r>
      <w:r w:rsidRPr="0025716E">
        <w:rPr>
          <w:rFonts w:asciiTheme="minorHAnsi" w:hAnsiTheme="minorHAnsi" w:cstheme="minorHAnsi"/>
          <w:sz w:val="22"/>
          <w:szCs w:val="22"/>
        </w:rPr>
        <w:t>Połączenia bezpośrednie do innych płyt w kasecie: porty 12-15</w:t>
      </w:r>
    </w:p>
    <w:p w14:paraId="5DD2CD37" w14:textId="77777777" w:rsidR="001952A3" w:rsidRPr="0025716E" w:rsidRDefault="00CA3DF4">
      <w:pPr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eastAsia="Liberation Serif;Times New Roma" w:hAnsiTheme="minorHAnsi" w:cstheme="minorHAnsi"/>
          <w:sz w:val="22"/>
          <w:szCs w:val="22"/>
        </w:rPr>
        <w:t xml:space="preserve">   </w:t>
      </w:r>
      <w:r w:rsidRPr="0025716E">
        <w:rPr>
          <w:rFonts w:asciiTheme="minorHAnsi" w:hAnsiTheme="minorHAnsi" w:cstheme="minorHAnsi"/>
          <w:sz w:val="22"/>
          <w:szCs w:val="22"/>
        </w:rPr>
        <w:t>Szyna MLVDS: porty 17-20</w:t>
      </w:r>
    </w:p>
    <w:p w14:paraId="7B178FC4" w14:textId="77777777" w:rsidR="001952A3" w:rsidRPr="0025716E" w:rsidRDefault="00CA3DF4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hAnsiTheme="minorHAnsi" w:cstheme="minorHAnsi"/>
          <w:sz w:val="22"/>
          <w:szCs w:val="22"/>
        </w:rPr>
        <w:t>Obsługa protokołu IPMI w kasecie MTCA</w:t>
      </w:r>
    </w:p>
    <w:p w14:paraId="51F35BC5" w14:textId="77777777" w:rsidR="001952A3" w:rsidRPr="0025716E" w:rsidRDefault="00CA3DF4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hAnsiTheme="minorHAnsi" w:cstheme="minorHAnsi"/>
          <w:sz w:val="22"/>
          <w:szCs w:val="22"/>
        </w:rPr>
        <w:t>Pamięć RAM dołączona do procesora ARM: minimum 4GB</w:t>
      </w:r>
    </w:p>
    <w:p w14:paraId="0014814B" w14:textId="77777777" w:rsidR="001952A3" w:rsidRPr="0025716E" w:rsidRDefault="00CA3DF4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16E">
        <w:rPr>
          <w:rFonts w:asciiTheme="minorHAnsi" w:hAnsiTheme="minorHAnsi" w:cstheme="minorHAnsi"/>
          <w:sz w:val="22"/>
          <w:szCs w:val="22"/>
        </w:rPr>
        <w:t>Złącze USB-Serial do komunikacji diagnostycznej wyprowadzone na panel czołowy</w:t>
      </w:r>
    </w:p>
    <w:sectPr w:rsidR="001952A3" w:rsidRPr="0025716E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957D" w14:textId="77777777" w:rsidR="00074319" w:rsidRDefault="00CA3DF4">
      <w:r>
        <w:separator/>
      </w:r>
    </w:p>
  </w:endnote>
  <w:endnote w:type="continuationSeparator" w:id="0">
    <w:p w14:paraId="7CDF35FE" w14:textId="77777777" w:rsidR="00074319" w:rsidRDefault="00C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CA77" w14:textId="77777777" w:rsidR="00074319" w:rsidRDefault="00CA3DF4">
      <w:r>
        <w:separator/>
      </w:r>
    </w:p>
  </w:footnote>
  <w:footnote w:type="continuationSeparator" w:id="0">
    <w:p w14:paraId="62D735C0" w14:textId="77777777" w:rsidR="00074319" w:rsidRDefault="00CA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80DB" w14:textId="77777777" w:rsidR="001952A3" w:rsidRDefault="00CA3DF4">
    <w:pPr>
      <w:pStyle w:val="Nagwek"/>
    </w:pPr>
    <w:r>
      <w:rPr>
        <w:noProof/>
        <w:lang w:eastAsia="pl-PL" w:bidi="ar-SA"/>
      </w:rPr>
      <w:drawing>
        <wp:inline distT="0" distB="0" distL="0" distR="0" wp14:anchorId="69F05AF4" wp14:editId="44DE31C2">
          <wp:extent cx="5759450" cy="7924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851"/>
    <w:multiLevelType w:val="multilevel"/>
    <w:tmpl w:val="823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EC6B47"/>
    <w:multiLevelType w:val="multilevel"/>
    <w:tmpl w:val="C2FA9D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8A34EA"/>
    <w:multiLevelType w:val="multilevel"/>
    <w:tmpl w:val="7384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A3"/>
    <w:rsid w:val="00074319"/>
    <w:rsid w:val="001952A3"/>
    <w:rsid w:val="0025716E"/>
    <w:rsid w:val="005125DD"/>
    <w:rsid w:val="006D1265"/>
    <w:rsid w:val="00C04342"/>
    <w:rsid w:val="00C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E04F"/>
  <w15:docId w15:val="{6C110C89-C2C8-4E5F-A547-FC6432FB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Marath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 w:after="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spacing w:before="140" w:after="0"/>
      <w:outlineLvl w:val="2"/>
    </w:pPr>
    <w:rPr>
      <w:rFonts w:ascii="Liberation Serif" w:eastAsia="Noto Serif CJK SC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48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048BF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048BF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48BF"/>
    <w:rPr>
      <w:rFonts w:ascii="Segoe UI" w:hAnsi="Segoe UI" w:cs="Mangal"/>
      <w:sz w:val="18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2152"/>
    <w:rPr>
      <w:rFonts w:cs="Mangal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048B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04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48BF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152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Szewiński</dc:creator>
  <dc:description/>
  <cp:lastModifiedBy>Kruk Magdalena</cp:lastModifiedBy>
  <cp:revision>2</cp:revision>
  <cp:lastPrinted>2023-11-09T07:42:00Z</cp:lastPrinted>
  <dcterms:created xsi:type="dcterms:W3CDTF">2023-11-13T13:11:00Z</dcterms:created>
  <dcterms:modified xsi:type="dcterms:W3CDTF">2023-11-13T13:11:00Z</dcterms:modified>
  <dc:language>pl-PL</dc:language>
</cp:coreProperties>
</file>