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7B" w:rsidRPr="001A2F7B" w:rsidRDefault="001A2F7B" w:rsidP="001A2F7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1A2F7B">
        <w:rPr>
          <w:rFonts w:ascii="Arial" w:eastAsia="MS Gothic" w:hAnsi="Arial" w:cs="Tahoma"/>
          <w:b/>
          <w:bCs/>
          <w:szCs w:val="22"/>
        </w:rPr>
        <w:t>załącznik nr 1.4 do Specyfikacji Warunków Zamówienia</w:t>
      </w:r>
    </w:p>
    <w:p w:rsidR="001A2F7B" w:rsidRPr="001A2F7B" w:rsidRDefault="001A2F7B" w:rsidP="001A2F7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A2F7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Rz.271.59.2022</w:t>
      </w:r>
    </w:p>
    <w:p w:rsidR="001A2F7B" w:rsidRPr="001A2F7B" w:rsidRDefault="001A2F7B" w:rsidP="001A2F7B">
      <w:pPr>
        <w:overflowPunct/>
        <w:spacing w:before="113" w:after="113" w:line="276" w:lineRule="auto"/>
        <w:jc w:val="center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1A2F7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A2F7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A2F7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1A2F7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1A2F7B" w:rsidRPr="001A2F7B" w:rsidRDefault="001A2F7B" w:rsidP="001A2F7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2F7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40.45pt;height:57.05pt" o:ole="">
            <v:imagedata r:id="rId7" o:title=""/>
          </v:shape>
          <w:control r:id="rId8" w:name="unnamed04" w:shapeid="_x0000_i1099"/>
        </w:object>
      </w:r>
    </w:p>
    <w:p w:rsidR="001A2F7B" w:rsidRPr="001A2F7B" w:rsidRDefault="001A2F7B" w:rsidP="001A2F7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1A2F7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1A2F7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1A2F7B">
        <w:rPr>
          <w:rFonts w:ascii="Arial" w:eastAsia="Times New Roman" w:hAnsi="Arial" w:cs="Times New Roman"/>
          <w:sz w:val="20"/>
          <w:szCs w:val="20"/>
        </w:rPr>
        <w:t>)</w:t>
      </w:r>
    </w:p>
    <w:p w:rsidR="001A2F7B" w:rsidRPr="001A2F7B" w:rsidRDefault="001A2F7B" w:rsidP="001A2F7B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1A2F7B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1A2F7B" w:rsidRPr="001A2F7B" w:rsidRDefault="001A2F7B" w:rsidP="001A2F7B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1A2F7B"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101" type="#_x0000_t75" style="width:240.45pt;height:19.7pt" o:ole="">
            <v:imagedata r:id="rId9" o:title=""/>
          </v:shape>
          <w:control r:id="rId10" w:name="unnamed13" w:shapeid="_x0000_i1101"/>
        </w:object>
      </w:r>
      <w:r w:rsidRPr="001A2F7B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1A2F7B" w:rsidRPr="001A2F7B" w:rsidRDefault="001A2F7B" w:rsidP="001A2F7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1A2F7B">
        <w:rPr>
          <w:rFonts w:ascii="Arial" w:eastAsia="MS Gothic" w:hAnsi="Arial" w:cs="Tahoma"/>
          <w:b/>
          <w:bCs/>
          <w:spacing w:val="40"/>
          <w:sz w:val="26"/>
          <w:szCs w:val="26"/>
        </w:rPr>
        <w:t>Wykaz zaoferowanego prod</w:t>
      </w:r>
      <w:r w:rsidR="000F395E">
        <w:rPr>
          <w:rFonts w:ascii="Arial" w:eastAsia="MS Gothic" w:hAnsi="Arial" w:cs="Tahoma"/>
          <w:b/>
          <w:bCs/>
          <w:spacing w:val="40"/>
          <w:sz w:val="26"/>
          <w:szCs w:val="26"/>
        </w:rPr>
        <w:t>uktu równoważnego</w:t>
      </w:r>
      <w:r w:rsidR="000F395E">
        <w:rPr>
          <w:rFonts w:ascii="Arial" w:eastAsia="MS Gothic" w:hAnsi="Arial" w:cs="Tahoma"/>
          <w:b/>
          <w:bCs/>
          <w:spacing w:val="40"/>
          <w:sz w:val="26"/>
          <w:szCs w:val="26"/>
        </w:rPr>
        <w:br/>
        <w:t>Oprawa parkowa TYP 1</w:t>
      </w:r>
      <w:bookmarkStart w:id="0" w:name="_GoBack"/>
      <w:bookmarkEnd w:id="0"/>
    </w:p>
    <w:p w:rsidR="001A2F7B" w:rsidRPr="001A2F7B" w:rsidRDefault="001A2F7B" w:rsidP="001A2F7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1A2F7B">
        <w:rPr>
          <w:rFonts w:ascii="Arial" w:hAnsi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1A2F7B">
        <w:rPr>
          <w:rFonts w:ascii="Arial" w:hAnsi="Arial"/>
          <w:b/>
          <w:bCs/>
          <w:szCs w:val="22"/>
        </w:rPr>
        <w:t>Pzp</w:t>
      </w:r>
      <w:proofErr w:type="spellEnd"/>
      <w:r w:rsidRPr="001A2F7B">
        <w:rPr>
          <w:rFonts w:ascii="Arial" w:hAnsi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1A2F7B">
        <w:rPr>
          <w:rFonts w:ascii="Arial" w:hAnsi="Arial"/>
          <w:b/>
          <w:bCs/>
          <w:szCs w:val="22"/>
        </w:rPr>
        <w:t>Pzp</w:t>
      </w:r>
      <w:proofErr w:type="spellEnd"/>
      <w:r w:rsidRPr="001A2F7B">
        <w:rPr>
          <w:rFonts w:ascii="Arial" w:hAnsi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1A2F7B">
        <w:rPr>
          <w:rFonts w:ascii="Arial" w:hAnsi="Arial"/>
          <w:b/>
          <w:bCs/>
          <w:szCs w:val="22"/>
        </w:rPr>
        <w:t>Pzp</w:t>
      </w:r>
      <w:proofErr w:type="spellEnd"/>
      <w:r w:rsidRPr="001A2F7B">
        <w:rPr>
          <w:rFonts w:ascii="Arial" w:hAnsi="Arial"/>
          <w:b/>
          <w:bCs/>
          <w:szCs w:val="22"/>
        </w:rPr>
        <w:t>.</w:t>
      </w:r>
    </w:p>
    <w:p w:rsidR="001A2F7B" w:rsidRPr="001A2F7B" w:rsidRDefault="001A2F7B" w:rsidP="001A2F7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1A2F7B">
        <w:rPr>
          <w:rFonts w:ascii="Arial" w:hAnsi="Arial"/>
          <w:b/>
          <w:bCs/>
          <w:szCs w:val="22"/>
        </w:rPr>
        <w:t>Przedmiot zamówienia:</w:t>
      </w:r>
    </w:p>
    <w:p w:rsidR="001A2F7B" w:rsidRPr="001A2F7B" w:rsidRDefault="001A2F7B" w:rsidP="001A2F7B">
      <w:pPr>
        <w:overflowPunct/>
        <w:spacing w:before="0" w:after="0" w:line="276" w:lineRule="auto"/>
        <w:rPr>
          <w:rFonts w:ascii="Arial" w:hAnsi="Arial"/>
          <w:szCs w:val="22"/>
        </w:rPr>
      </w:pPr>
      <w:r w:rsidRPr="001A2F7B">
        <w:rPr>
          <w:rFonts w:ascii="Arial" w:hAnsi="Arial"/>
          <w:szCs w:val="22"/>
        </w:rPr>
        <w:t>Remont systemu oświetlenia drogowego na terenie Gminy Miejskiej Legionowo</w:t>
      </w:r>
    </w:p>
    <w:p w:rsidR="001A2F7B" w:rsidRPr="001A2F7B" w:rsidRDefault="001A2F7B" w:rsidP="001A2F7B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1A2F7B">
        <w:rPr>
          <w:rFonts w:ascii="Arial" w:hAnsi="Arial"/>
          <w:b/>
          <w:bCs/>
          <w:szCs w:val="22"/>
        </w:rPr>
        <w:t>Zamawiający:</w:t>
      </w:r>
    </w:p>
    <w:p w:rsidR="001A2F7B" w:rsidRPr="001A2F7B" w:rsidRDefault="001A2F7B" w:rsidP="001A2F7B">
      <w:pPr>
        <w:overflowPunct/>
        <w:spacing w:before="0" w:after="0" w:line="276" w:lineRule="auto"/>
        <w:rPr>
          <w:rFonts w:ascii="Arial" w:hAnsi="Arial"/>
          <w:szCs w:val="22"/>
        </w:rPr>
      </w:pPr>
      <w:r w:rsidRPr="001A2F7B">
        <w:rPr>
          <w:rFonts w:ascii="Arial" w:hAnsi="Arial"/>
          <w:szCs w:val="22"/>
        </w:rPr>
        <w:t>Gmina Miejska Legionowo – Urząd Miasta Legionowo</w:t>
      </w:r>
    </w:p>
    <w:p w:rsidR="001A2F7B" w:rsidRPr="001A2F7B" w:rsidRDefault="001A2F7B" w:rsidP="001A2F7B">
      <w:pPr>
        <w:overflowPunct/>
        <w:spacing w:before="283" w:after="0" w:line="276" w:lineRule="auto"/>
        <w:rPr>
          <w:rFonts w:ascii="Arial" w:hAnsi="Arial"/>
          <w:szCs w:val="22"/>
        </w:rPr>
      </w:pPr>
      <w:r w:rsidRPr="001A2F7B">
        <w:rPr>
          <w:rFonts w:ascii="Arial" w:hAnsi="Arial"/>
          <w:szCs w:val="22"/>
        </w:rPr>
        <w:t>Producent oprawy</w:t>
      </w:r>
      <w:r w:rsidRPr="001A2F7B">
        <w:rPr>
          <w:rFonts w:ascii="Arial" w:hAnsi="Arial"/>
        </w:rPr>
        <w:object w:dxaOrig="225" w:dyaOrig="225">
          <v:shape id="_x0000_i1103" type="#_x0000_t75" style="width:482.25pt;height:19.7pt" o:ole="">
            <v:imagedata r:id="rId11" o:title=""/>
          </v:shape>
          <w:control r:id="rId12" w:name="unnamed75" w:shapeid="_x0000_i1103"/>
        </w:object>
      </w:r>
    </w:p>
    <w:p w:rsidR="001A2F7B" w:rsidRPr="001A2F7B" w:rsidRDefault="001A2F7B" w:rsidP="001A2F7B">
      <w:pPr>
        <w:overflowPunct/>
        <w:spacing w:before="0" w:after="0" w:line="276" w:lineRule="auto"/>
        <w:rPr>
          <w:rFonts w:ascii="Arial" w:hAnsi="Arial"/>
          <w:szCs w:val="22"/>
        </w:rPr>
      </w:pPr>
      <w:r w:rsidRPr="001A2F7B">
        <w:rPr>
          <w:rFonts w:ascii="Arial" w:hAnsi="Arial"/>
          <w:szCs w:val="22"/>
        </w:rPr>
        <w:t>Nazwa oprawy (nazwa własna oprawy)</w:t>
      </w:r>
    </w:p>
    <w:p w:rsidR="001A2F7B" w:rsidRPr="001A2F7B" w:rsidRDefault="001A2F7B" w:rsidP="001A2F7B">
      <w:pPr>
        <w:overflowPunct/>
        <w:rPr>
          <w:szCs w:val="22"/>
        </w:rPr>
      </w:pPr>
      <w:r w:rsidRPr="001A2F7B">
        <w:object w:dxaOrig="225" w:dyaOrig="225">
          <v:shape id="_x0000_i1105" type="#_x0000_t75" style="width:482.25pt;height:19.7pt" o:ole="">
            <v:imagedata r:id="rId11" o:title=""/>
          </v:shape>
          <w:control r:id="rId13" w:name="Pole tekstowe 1" w:shapeid="_x0000_i1105"/>
        </w:object>
      </w:r>
    </w:p>
    <w:p w:rsidR="001A2F7B" w:rsidRPr="001A2F7B" w:rsidRDefault="001A2F7B" w:rsidP="001A2F7B">
      <w:pPr>
        <w:overflowPunct/>
        <w:spacing w:before="283" w:after="0" w:line="276" w:lineRule="auto"/>
        <w:rPr>
          <w:rFonts w:ascii="Arial" w:hAnsi="Arial"/>
          <w:szCs w:val="22"/>
        </w:rPr>
      </w:pPr>
      <w:r w:rsidRPr="001A2F7B">
        <w:rPr>
          <w:rFonts w:ascii="Arial" w:hAnsi="Arial" w:cs="Arial"/>
          <w:szCs w:val="22"/>
        </w:rPr>
        <w:t>Rysunek poglądowy:</w:t>
      </w:r>
    </w:p>
    <w:p w:rsidR="001A2F7B" w:rsidRPr="001A2F7B" w:rsidRDefault="001A2F7B" w:rsidP="001A2F7B">
      <w:pPr>
        <w:overflowPunct/>
        <w:spacing w:before="283" w:after="0" w:line="276" w:lineRule="auto"/>
        <w:ind w:left="720" w:hanging="363"/>
        <w:rPr>
          <w:rFonts w:ascii="Arial" w:hAnsi="Arial" w:cs="Arial"/>
          <w:szCs w:val="22"/>
        </w:rPr>
      </w:pPr>
      <w:r w:rsidRPr="001A2F7B">
        <w:rPr>
          <w:rFonts w:ascii="Arial" w:hAnsi="Arial" w:cs="Arial"/>
          <w:noProof/>
          <w:szCs w:val="22"/>
          <w:lang w:eastAsia="pl-PL" w:bidi="ar-SA"/>
        </w:rPr>
        <w:lastRenderedPageBreak/>
        <w:drawing>
          <wp:inline distT="0" distB="0" distL="0" distR="0" wp14:anchorId="5CC027FF" wp14:editId="52CB3987">
            <wp:extent cx="2359660" cy="1868170"/>
            <wp:effectExtent l="0" t="0" r="0" b="0"/>
            <wp:docPr id="1" name="Obraz 6" descr="Wzór oprawy par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Wzór oprawy parkowe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Budowa oprawy parkowej materiał korpusu – wysokociśnieniowy odlew aluminiowy malowany proszkowo na wybrany kolor z ogólnodostępnej palety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50" type="#_x0000_t75" style="width:8.15pt;height:23.75pt" o:ole="">
            <v:imagedata r:id="rId15" o:title=""/>
          </v:shape>
          <w:control r:id="rId16" w:name="Spełnia" w:shapeid="_x0000_i215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9" type="#_x0000_t75" style="width:8.15pt;height:23.75pt" o:ole="">
            <v:imagedata r:id="rId17" o:title=""/>
          </v:shape>
          <w:control r:id="rId18" w:name="Nie spełnia" w:shapeid="_x0000_i214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Materiał klosza zewnętrznego – poliwęglan płaski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8" type="#_x0000_t75" style="width:8.15pt;height:23.75pt" o:ole="">
            <v:imagedata r:id="rId19" o:title=""/>
          </v:shape>
          <w:control r:id="rId20" w:name="Spełnia1" w:shapeid="_x0000_i214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7" type="#_x0000_t75" style="width:8.15pt;height:23.75pt" o:ole="">
            <v:imagedata r:id="rId21" o:title=""/>
          </v:shape>
          <w:control r:id="rId22" w:name="Nie spełnia1" w:shapeid="_x0000_i214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Montaż na słupie o średnicy Ø60mm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6" type="#_x0000_t75" style="width:8.15pt;height:23.75pt" o:ole="">
            <v:imagedata r:id="rId23" o:title=""/>
          </v:shape>
          <w:control r:id="rId24" w:name="Spełnia2" w:shapeid="_x0000_i214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5" type="#_x0000_t75" style="width:8.15pt;height:23.75pt" o:ole="">
            <v:imagedata r:id="rId25" o:title=""/>
          </v:shape>
          <w:control r:id="rId26" w:name="Nie spełnia2" w:shapeid="_x0000_i214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Stopień odporności klosza na uderzenia mechaniczne – IK09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4" type="#_x0000_t75" style="width:8.15pt;height:23.75pt" o:ole="">
            <v:imagedata r:id="rId27" o:title=""/>
          </v:shape>
          <w:control r:id="rId28" w:name="Spełnia3" w:shapeid="_x0000_i214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3" type="#_x0000_t75" style="width:8.15pt;height:23.75pt" o:ole="">
            <v:imagedata r:id="rId17" o:title=""/>
          </v:shape>
          <w:control r:id="rId29" w:name="Nie spełnia3" w:shapeid="_x0000_i214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Szczelność komory optycznej i elektrycznej – IP66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2" type="#_x0000_t75" style="width:8.15pt;height:23.75pt" o:ole="">
            <v:imagedata r:id="rId30" o:title=""/>
          </v:shape>
          <w:control r:id="rId31" w:name="Spełnia4" w:shapeid="_x0000_i2142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1" type="#_x0000_t75" style="width:8.15pt;height:23.75pt" o:ole="">
            <v:imagedata r:id="rId32" o:title=""/>
          </v:shape>
          <w:control r:id="rId33" w:name="Nie spełnia4" w:shapeid="_x0000_i2141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Możliwość konfiguracji wykończenia korony oprawy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0" type="#_x0000_t75" style="width:8.15pt;height:23.75pt" o:ole="">
            <v:imagedata r:id="rId34" o:title=""/>
          </v:shape>
          <w:control r:id="rId35" w:name="Spełnia5" w:shapeid="_x0000_i214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9" type="#_x0000_t75" style="width:8.15pt;height:23.75pt" o:ole="">
            <v:imagedata r:id="rId36" o:title=""/>
          </v:shape>
          <w:control r:id="rId37" w:name="Nie spełnia5" w:shapeid="_x0000_i213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Beznarzędziowy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dostęp do osprzętu oprawy za pomocą dedykowanych zacisków oraz 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beznarzędziowa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wymiana układu optycznego oraz całego osprzętu elektrycznego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8" type="#_x0000_t75" style="width:8.15pt;height:23.75pt" o:ole="">
            <v:imagedata r:id="rId38" o:title=""/>
          </v:shape>
          <w:control r:id="rId39" w:name="Spełnia6" w:shapeid="_x0000_i213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7" type="#_x0000_t75" style="width:8.15pt;height:23.75pt" o:ole="">
            <v:imagedata r:id="rId40" o:title=""/>
          </v:shape>
          <w:control r:id="rId41" w:name="Nie spełnia6" w:shapeid="_x0000_i213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Zawias chroniący pokrywę przed upadkiem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6" type="#_x0000_t75" style="width:8.15pt;height:23.75pt" o:ole="">
            <v:imagedata r:id="rId42" o:title=""/>
          </v:shape>
          <w:control r:id="rId43" w:name="Spełnia7" w:shapeid="_x0000_i213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5" type="#_x0000_t75" style="width:8.15pt;height:23.75pt" o:ole="">
            <v:imagedata r:id="rId44" o:title=""/>
          </v:shape>
          <w:control r:id="rId45" w:name="Nie spełnia7" w:shapeid="_x0000_i213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Wymiana elementów układu optycznego bez konieczności wykonywania połączeń lutowanych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4" type="#_x0000_t75" style="width:8.15pt;height:23.75pt" o:ole="">
            <v:imagedata r:id="rId46" o:title=""/>
          </v:shape>
          <w:control r:id="rId47" w:name="Spełnia8" w:shapeid="_x0000_i213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3" type="#_x0000_t75" style="width:8.15pt;height:23.75pt" o:ole="">
            <v:imagedata r:id="rId25" o:title=""/>
          </v:shape>
          <w:control r:id="rId48" w:name="Nie spełnia8" w:shapeid="_x0000_i213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regulacji ciśnienia wewnątrz oprawy, zapobiegający zjawisku kondensacji pary wodnej w komorze elektrycznej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2" type="#_x0000_t75" style="width:8.15pt;height:23.75pt" o:ole="">
            <v:imagedata r:id="rId49" o:title=""/>
          </v:shape>
          <w:control r:id="rId50" w:name="Spełnia9" w:shapeid="_x0000_i2132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1" type="#_x0000_t75" style="width:8.15pt;height:23.75pt" o:ole="">
            <v:imagedata r:id="rId51" o:title=""/>
          </v:shape>
          <w:control r:id="rId52" w:name="Nie spełnia9" w:shapeid="_x0000_i2131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optymalnego odprowadzenia ciepła (termiczne rozdzielenie pomiędzy układem zasilającym, a układem optycznym)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0" type="#_x0000_t75" style="width:8.15pt;height:23.75pt" o:ole="">
            <v:imagedata r:id="rId38" o:title=""/>
          </v:shape>
          <w:control r:id="rId53" w:name="Spełnia10" w:shapeid="_x0000_i213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9" type="#_x0000_t75" style="width:8.15pt;height:23.75pt" o:ole="">
            <v:imagedata r:id="rId54" o:title=""/>
          </v:shape>
          <w:control r:id="rId55" w:name="Nie spełnia10" w:shapeid="_x0000_i212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Zakres temperatury otoczenia podczas pracy oprawy: od -30°C do +35°C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8" type="#_x0000_t75" style="width:8.15pt;height:23.75pt" o:ole="">
            <v:imagedata r:id="rId56" o:title=""/>
          </v:shape>
          <w:control r:id="rId57" w:name="Spełnia11" w:shapeid="_x0000_i212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7" type="#_x0000_t75" style="width:8.15pt;height:23.75pt" o:ole="">
            <v:imagedata r:id="rId58" o:title=""/>
          </v:shape>
          <w:control r:id="rId59" w:name="Nie spełnia11" w:shapeid="_x0000_i212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Wygląd, styl i wielkość oprawy zgodny z rysunkiem zamieszczonymi w PFU. Dopuszczalna tolerancja wymiarów ±15% pod warunkiem zachowania kształtu i proporcji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6" type="#_x0000_t75" style="width:8.15pt;height:23.75pt" o:ole="">
            <v:imagedata r:id="rId60" o:title=""/>
          </v:shape>
          <w:control r:id="rId61" w:name="Spełnia12" w:shapeid="_x0000_i212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5" type="#_x0000_t75" style="width:8.15pt;height:23.75pt" o:ole="">
            <v:imagedata r:id="rId62" o:title=""/>
          </v:shape>
          <w:control r:id="rId63" w:name="Nie spełnia12" w:shapeid="_x0000_i212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4" type="#_x0000_t75" style="width:8.15pt;height:23.75pt" o:ole="">
            <v:imagedata r:id="rId56" o:title=""/>
          </v:shape>
          <w:control r:id="rId64" w:name="Spełnia13" w:shapeid="_x0000_i212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3" type="#_x0000_t75" style="width:8.15pt;height:23.75pt" o:ole="">
            <v:imagedata r:id="rId65" o:title=""/>
          </v:shape>
          <w:control r:id="rId66" w:name="Nie spełnia13" w:shapeid="_x0000_i212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przed układem zasilającym posiada zabezpieczenie przeciwprzepięciowe 10kV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2" type="#_x0000_t75" style="width:8.15pt;height:23.75pt" o:ole="">
            <v:imagedata r:id="rId67" o:title=""/>
          </v:shape>
          <w:control r:id="rId68" w:name="Spełnia14" w:shapeid="_x0000_i2122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1" type="#_x0000_t75" style="width:8.15pt;height:23.75pt" o:ole="">
            <v:imagedata r:id="rId69" o:title=""/>
          </v:shape>
          <w:control r:id="rId70" w:name="Nie spełnia14" w:shapeid="_x0000_i2121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wykonana w I lub II klasie ochronności elektrycznej (zgodnie z projektem elektrycznym)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0" type="#_x0000_t75" style="width:8.15pt;height:23.75pt" o:ole="">
            <v:imagedata r:id="rId62" o:title=""/>
          </v:shape>
          <w:control r:id="rId71" w:name="Spełnia15" w:shapeid="_x0000_i212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9" type="#_x0000_t75" style="width:8.15pt;height:23.75pt" o:ole="">
            <v:imagedata r:id="rId72" o:title=""/>
          </v:shape>
          <w:control r:id="rId73" w:name="Nie spełnia15" w:shapeid="_x0000_i211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Znamionowe napięcie zasilania 220-240 V / 50-60 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Hz</w:t>
      </w:r>
      <w:proofErr w:type="spellEnd"/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8" type="#_x0000_t75" style="width:8.15pt;height:23.75pt" o:ole="">
            <v:imagedata r:id="rId74" o:title=""/>
          </v:shape>
          <w:control r:id="rId75" w:name="Spełnia16" w:shapeid="_x0000_i211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7" type="#_x0000_t75" style="width:8.15pt;height:23.75pt" o:ole="">
            <v:imagedata r:id="rId76" o:title=""/>
          </v:shape>
          <w:control r:id="rId77" w:name="Nie spełnia16" w:shapeid="_x0000_i211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wyposażona jest w rozłącznik nożowy odcinający napięcie zasilania w momencie otwarcia oprawy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6" type="#_x0000_t75" style="width:8.15pt;height:23.75pt" o:ole="">
            <v:imagedata r:id="rId78" o:title=""/>
          </v:shape>
          <w:control r:id="rId79" w:name="Spełnia17" w:shapeid="_x0000_i211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5" type="#_x0000_t75" style="width:8.15pt;height:23.75pt" o:ole="">
            <v:imagedata r:id="rId80" o:title=""/>
          </v:shape>
          <w:control r:id="rId81" w:name="Nie spełnia17" w:shapeid="_x0000_i211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wyposażona w etykietę z kodem QR wraz z dodatkową naklejką do umieszczenia np. we wnęce słupowej i/lub na projekcie. Kod QR poprzez użycie dedykowanej aplikacji producenta umożliwia uzyskanie pełnej charakterystyki oprawy i dostęp do informacji takich jak: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- parametry fotometryczne, elektryczne oraz mechaniczne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- dokumentacja oprawy, instrukcja montażu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- instrukcja serwisowania w przypadku nieprawidłowego działania oprawy oświetleniowej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- lista części zamiennych wraz z kodami producenta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4" type="#_x0000_t75" style="width:8.15pt;height:23.75pt" o:ole="">
            <v:imagedata r:id="rId82" o:title=""/>
          </v:shape>
          <w:control r:id="rId83" w:name="Spełnia18" w:shapeid="_x0000_i211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3" type="#_x0000_t75" style="width:8.15pt;height:23.75pt" o:ole="">
            <v:imagedata r:id="rId84" o:title=""/>
          </v:shape>
          <w:control r:id="rId85" w:name="Nie spełnia18" w:shapeid="_x0000_i211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Rodzaj źródła światła – LED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2" type="#_x0000_t75" style="width:8.15pt;height:23.75pt" o:ole="">
            <v:imagedata r:id="rId86" o:title=""/>
          </v:shape>
          <w:control r:id="rId87" w:name="Spełnia19" w:shapeid="_x0000_i2112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1" type="#_x0000_t75" style="width:8.15pt;height:23.75pt" o:ole="">
            <v:imagedata r:id="rId88" o:title=""/>
          </v:shape>
          <w:control r:id="rId89" w:name="Nie spełnia19" w:shapeid="_x0000_i2111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Temperatura barwowa źródeł światła: 3000K ±10%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10" type="#_x0000_t75" style="width:8.15pt;height:23.75pt" o:ole="">
            <v:imagedata r:id="rId90" o:title=""/>
          </v:shape>
          <w:control r:id="rId91" w:name="Spełnia20" w:shapeid="_x0000_i211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9" type="#_x0000_t75" style="width:8.15pt;height:23.75pt" o:ole="">
            <v:imagedata r:id="rId92" o:title=""/>
          </v:shape>
          <w:control r:id="rId93" w:name="Nie spełnia20" w:shapeid="_x0000_i210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Bryła fotometryczna kształtowana za pomocą płaskiej wielosoczewkowej matrycy LED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8" type="#_x0000_t75" style="width:8.15pt;height:23.75pt" o:ole="">
            <v:imagedata r:id="rId94" o:title=""/>
          </v:shape>
          <w:control r:id="rId95" w:name="Spełnia21" w:shapeid="_x0000_i210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7" type="#_x0000_t75" style="width:8.15pt;height:23.75pt" o:ole="">
            <v:imagedata r:id="rId96" o:title=""/>
          </v:shape>
          <w:control r:id="rId97" w:name="Nie spełnia21" w:shapeid="_x0000_i210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Każda z soczewek matrycy emituje taką samą krzywą światłości, a całkowity strumień oprawy jest sumą strumieni poszczególnych soczewek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6" type="#_x0000_t75" style="width:8.15pt;height:23.75pt" o:ole="">
            <v:imagedata r:id="rId98" o:title=""/>
          </v:shape>
          <w:control r:id="rId99" w:name="Spełnia22" w:shapeid="_x0000_i210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5" type="#_x0000_t75" style="width:8.15pt;height:23.75pt" o:ole="">
            <v:imagedata r:id="rId86" o:title=""/>
          </v:shape>
          <w:control r:id="rId100" w:name="Nie spełnia22" w:shapeid="_x0000_i210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Oprawy muszą spełniać wymagania normy EN 62471 „Bezpieczeństwo fotobiologiczne lamp i systemów lampowych”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4" type="#_x0000_t75" style="width:8.15pt;height:23.75pt" o:ole="">
            <v:imagedata r:id="rId101" o:title=""/>
          </v:shape>
          <w:control r:id="rId102" w:name="Spełnia23" w:shapeid="_x0000_i210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3" type="#_x0000_t75" style="width:8.15pt;height:23.75pt" o:ole="">
            <v:imagedata r:id="rId103" o:title=""/>
          </v:shape>
          <w:control r:id="rId104" w:name="Nie spełnia23" w:shapeid="_x0000_i210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Trwałość strumienia światła oprawy mierzona parametrem L90B10 dla temperatury TC = 105°C min. 100 000h (zgodnie z IES LM-80 TM-21)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2" type="#_x0000_t75" style="width:8.15pt;height:23.75pt" o:ole="">
            <v:imagedata r:id="rId105" o:title=""/>
          </v:shape>
          <w:control r:id="rId106" w:name="Spełnia24" w:shapeid="_x0000_i2102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1" type="#_x0000_t75" style="width:8.15pt;height:23.75pt" o:ole="">
            <v:imagedata r:id="rId107" o:title=""/>
          </v:shape>
          <w:control r:id="rId108" w:name="Nie spełnia24" w:shapeid="_x0000_i2101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Wartości wskaźnika udziału światła wysyłanego ku górze (ULOR) nie większa niż określona w Rozporządzeniu WE nr 245/2009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00" type="#_x0000_t75" style="width:8.15pt;height:23.75pt" o:ole="">
            <v:imagedata r:id="rId109" o:title=""/>
          </v:shape>
          <w:control r:id="rId110" w:name="Spełnia25" w:shapeid="_x0000_i2100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9" type="#_x0000_t75" style="width:8.15pt;height:23.75pt" o:ole="">
            <v:imagedata r:id="rId111" o:title=""/>
          </v:shape>
          <w:control r:id="rId112" w:name="Nie spełnia25" w:shapeid="_x0000_i2099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8" type="#_x0000_t75" style="width:8.15pt;height:23.75pt" o:ole="">
            <v:imagedata r:id="rId103" o:title=""/>
          </v:shape>
          <w:control r:id="rId113" w:name="Spełnia26" w:shapeid="_x0000_i2098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7" type="#_x0000_t75" style="width:8.15pt;height:23.75pt" o:ole="">
            <v:imagedata r:id="rId114" o:title=""/>
          </v:shape>
          <w:control r:id="rId115" w:name="Nie spełnia26" w:shapeid="_x0000_i2097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musi być oznakowana znakiem CE oraz  posiadać deklarację zgodności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6" type="#_x0000_t75" style="width:8.15pt;height:23.75pt" o:ole="">
            <v:imagedata r:id="rId116" o:title=""/>
          </v:shape>
          <w:control r:id="rId117" w:name="Spełnia27" w:shapeid="_x0000_i2096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5" type="#_x0000_t75" style="width:8.15pt;height:23.75pt" o:ole="">
            <v:imagedata r:id="rId76" o:title=""/>
          </v:shape>
          <w:control r:id="rId118" w:name="Nie spełnia27" w:shapeid="_x0000_i2095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Pr="000F395E" w:rsidRDefault="000F395E" w:rsidP="000F395E">
      <w:pPr>
        <w:numPr>
          <w:ilvl w:val="0"/>
          <w:numId w:val="10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wiarygodność podawanych  przez producenta parametrów funkcjonalnych deklarowanych w momencie wprowadzenia wyrobu do obrotu, takich jak: napięcie zasilania, klasa ochronności elektrycznej, pobierana moc, skuteczność świetlna, temperatura barwowa,  strumień świetlny - certyfikat ENEC+ lub równoważny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4" type="#_x0000_t75" style="width:8.15pt;height:23.75pt" o:ole="">
            <v:imagedata r:id="rId72" o:title=""/>
          </v:shape>
          <w:control r:id="rId119" w:name="Spełnia28" w:shapeid="_x0000_i2094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0F395E" w:rsidRPr="000F395E" w:rsidRDefault="000F395E" w:rsidP="000F395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93" type="#_x0000_t75" style="width:8.15pt;height:23.75pt" o:ole="">
            <v:imagedata r:id="rId120" o:title=""/>
          </v:shape>
          <w:control r:id="rId121" w:name="Nie spełnia28" w:shapeid="_x0000_i2093"/>
        </w:object>
      </w:r>
      <w:r w:rsidRPr="000F395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0F395E" w:rsidRDefault="000F395E" w:rsidP="001A2F7B">
      <w:pPr>
        <w:overflowPunct/>
        <w:spacing w:before="0" w:after="0" w:line="276" w:lineRule="auto"/>
        <w:rPr>
          <w:rFonts w:ascii="Arial" w:hAnsi="Arial" w:cs="Arial"/>
          <w:szCs w:val="22"/>
        </w:rPr>
      </w:pPr>
    </w:p>
    <w:p w:rsidR="001A2F7B" w:rsidRPr="001A2F7B" w:rsidRDefault="001A2F7B" w:rsidP="001A2F7B">
      <w:pPr>
        <w:overflowPunct/>
        <w:spacing w:before="0" w:after="0" w:line="276" w:lineRule="auto"/>
        <w:rPr>
          <w:rFonts w:ascii="Arial" w:hAnsi="Arial"/>
        </w:rPr>
      </w:pPr>
      <w:r w:rsidRPr="001A2F7B">
        <w:rPr>
          <w:rFonts w:ascii="Arial" w:hAnsi="Arial"/>
          <w:b/>
          <w:bCs/>
          <w:szCs w:val="22"/>
        </w:rPr>
        <w:t>Uwaga</w:t>
      </w:r>
    </w:p>
    <w:p w:rsidR="00307C82" w:rsidRPr="005E050C" w:rsidRDefault="001A2F7B" w:rsidP="001A2F7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A2F7B">
        <w:rPr>
          <w:rFonts w:ascii="Arial" w:hAnsi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5E050C">
      <w:footerReference w:type="default" r:id="rId12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F395E">
      <w:rPr>
        <w:rFonts w:ascii="Calibri" w:hAnsi="Calibri"/>
        <w:noProof/>
        <w:sz w:val="20"/>
        <w:szCs w:val="20"/>
      </w:rPr>
      <w:t>6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D41"/>
    <w:multiLevelType w:val="multilevel"/>
    <w:tmpl w:val="1786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/>
    <w:lvlOverride w:ilvl="1"/>
    <w:lvlOverride w:ilvl="2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95E"/>
    <w:rsid w:val="00113011"/>
    <w:rsid w:val="001A2F7B"/>
    <w:rsid w:val="00307C82"/>
    <w:rsid w:val="00322C12"/>
    <w:rsid w:val="005E050C"/>
    <w:rsid w:val="006750AB"/>
    <w:rsid w:val="00694DD7"/>
    <w:rsid w:val="006B6003"/>
    <w:rsid w:val="00891D8F"/>
    <w:rsid w:val="00A63934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84" Type="http://schemas.openxmlformats.org/officeDocument/2006/relationships/image" Target="media/image37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6.xml"/><Relationship Id="rId16" Type="http://schemas.openxmlformats.org/officeDocument/2006/relationships/control" Target="activeX/activeX5.xml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control" Target="activeX/activeX47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113" Type="http://schemas.openxmlformats.org/officeDocument/2006/relationships/control" Target="activeX/activeX57.xml"/><Relationship Id="rId118" Type="http://schemas.openxmlformats.org/officeDocument/2006/relationships/control" Target="activeX/activeX60.xml"/><Relationship Id="rId80" Type="http://schemas.openxmlformats.org/officeDocument/2006/relationships/image" Target="media/image35.wmf"/><Relationship Id="rId85" Type="http://schemas.openxmlformats.org/officeDocument/2006/relationships/control" Target="activeX/activeX42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59" Type="http://schemas.openxmlformats.org/officeDocument/2006/relationships/control" Target="activeX/activeX28.xml"/><Relationship Id="rId103" Type="http://schemas.openxmlformats.org/officeDocument/2006/relationships/image" Target="media/image46.wmf"/><Relationship Id="rId108" Type="http://schemas.openxmlformats.org/officeDocument/2006/relationships/control" Target="activeX/activeX54.xml"/><Relationship Id="rId124" Type="http://schemas.openxmlformats.org/officeDocument/2006/relationships/theme" Target="theme/theme1.xml"/><Relationship Id="rId54" Type="http://schemas.openxmlformats.org/officeDocument/2006/relationships/image" Target="media/image23.wmf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control" Target="activeX/activeX45.xml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119" Type="http://schemas.openxmlformats.org/officeDocument/2006/relationships/control" Target="activeX/activeX61.xml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control" Target="activeX/activeX40.xml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48.xml"/><Relationship Id="rId104" Type="http://schemas.openxmlformats.org/officeDocument/2006/relationships/control" Target="activeX/activeX52.xml"/><Relationship Id="rId120" Type="http://schemas.openxmlformats.org/officeDocument/2006/relationships/image" Target="media/image53.wmf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110" Type="http://schemas.openxmlformats.org/officeDocument/2006/relationships/control" Target="activeX/activeX55.xml"/><Relationship Id="rId115" Type="http://schemas.openxmlformats.org/officeDocument/2006/relationships/control" Target="activeX/activeX58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105" Type="http://schemas.openxmlformats.org/officeDocument/2006/relationships/image" Target="media/image47.wmf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control" Target="activeX/activeX46.xml"/><Relationship Id="rId98" Type="http://schemas.openxmlformats.org/officeDocument/2006/relationships/image" Target="media/image44.wmf"/><Relationship Id="rId121" Type="http://schemas.openxmlformats.org/officeDocument/2006/relationships/control" Target="activeX/activeX62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52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62" Type="http://schemas.openxmlformats.org/officeDocument/2006/relationships/image" Target="media/image27.wmf"/><Relationship Id="rId83" Type="http://schemas.openxmlformats.org/officeDocument/2006/relationships/control" Target="activeX/activeX41.xml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52" Type="http://schemas.openxmlformats.org/officeDocument/2006/relationships/control" Target="activeX/activeX24.xml"/><Relationship Id="rId73" Type="http://schemas.openxmlformats.org/officeDocument/2006/relationships/control" Target="activeX/activeX36.xml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control" Target="activeX/activeX49.xml"/><Relationship Id="rId101" Type="http://schemas.openxmlformats.org/officeDocument/2006/relationships/image" Target="media/image45.wmf"/><Relationship Id="rId1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1038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2022-12-28T07:13:00Z</dcterms:created>
  <dcterms:modified xsi:type="dcterms:W3CDTF">2023-01-12T07:42:00Z</dcterms:modified>
  <dc:language>pl-PL</dc:language>
</cp:coreProperties>
</file>