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421319">
        <w:rPr>
          <w:rFonts w:ascii="Times New Roman" w:hAnsi="Times New Roman" w:cs="Times New Roman"/>
          <w:b/>
          <w:sz w:val="20"/>
          <w:szCs w:val="20"/>
        </w:rPr>
        <w:t>3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42131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(Zadanie nr </w:t>
      </w:r>
      <w:r w:rsidR="0042131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421319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421319">
        <w:rPr>
          <w:rFonts w:ascii="Times New Roman" w:hAnsi="Times New Roman" w:cs="Times New Roman"/>
          <w:b/>
        </w:rPr>
        <w:t>KPP w Mławie ul. Sienkiewicza 2; 06-500 Mława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421319">
        <w:rPr>
          <w:rFonts w:ascii="Times New Roman" w:hAnsi="Times New Roman" w:cs="Times New Roman"/>
          <w:b/>
        </w:rPr>
        <w:t>3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421319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 w:colFirst="3" w:colLast="3"/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1319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421319" w:rsidRDefault="00421319" w:rsidP="00421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319" w:rsidRPr="00395B6E" w:rsidRDefault="00421319" w:rsidP="00421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421319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944"/>
    <w:rsid w:val="00C86112"/>
    <w:rsid w:val="00CA2479"/>
    <w:rsid w:val="00CA6D05"/>
    <w:rsid w:val="00CD4A7B"/>
    <w:rsid w:val="00CE14EF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3F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2023-08-21T11:47:00Z</dcterms:created>
  <dcterms:modified xsi:type="dcterms:W3CDTF">2023-08-21T11:48:00Z</dcterms:modified>
</cp:coreProperties>
</file>