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52FE789B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81259A">
        <w:rPr>
          <w:rFonts w:ascii="Arial" w:hAnsi="Arial" w:cs="Arial"/>
        </w:rPr>
        <w:t xml:space="preserve"> </w:t>
      </w:r>
      <w:r w:rsidR="0081259A" w:rsidRPr="00235778">
        <w:rPr>
          <w:rFonts w:ascii="Arial" w:hAnsi="Arial" w:cs="Arial"/>
          <w:b/>
          <w:color w:val="00B050"/>
        </w:rPr>
        <w:t>4.11</w:t>
      </w:r>
      <w:r w:rsidR="006F78DA" w:rsidRPr="00235778">
        <w:rPr>
          <w:rFonts w:ascii="Arial" w:hAnsi="Arial" w:cs="Arial"/>
          <w:b/>
          <w:color w:val="00B050"/>
        </w:rPr>
        <w:t xml:space="preserve">.2023 </w:t>
      </w:r>
      <w:r w:rsidR="00DB7345" w:rsidRPr="00235778">
        <w:rPr>
          <w:rFonts w:ascii="Arial" w:hAnsi="Arial" w:cs="Arial"/>
          <w:b/>
          <w:color w:val="00B050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</w:t>
      </w:r>
      <w:bookmarkStart w:id="24" w:name="_GoBack"/>
      <w:bookmarkEnd w:id="24"/>
      <w:r w:rsidRPr="00884FF2">
        <w:rPr>
          <w:rFonts w:ascii="Arial" w:hAnsi="Arial" w:cs="Arial"/>
          <w:shd w:val="clear" w:color="auto" w:fill="FFFFFF"/>
        </w:rPr>
        <w:t xml:space="preserve">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15098F49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81259A">
        <w:rPr>
          <w:rFonts w:ascii="Arial" w:hAnsi="Arial" w:cs="Arial"/>
          <w:b/>
        </w:rPr>
        <w:t xml:space="preserve"> </w:t>
      </w:r>
      <w:r w:rsidR="0081259A" w:rsidRPr="0081259A">
        <w:rPr>
          <w:rFonts w:ascii="Arial" w:hAnsi="Arial" w:cs="Arial"/>
          <w:b/>
          <w:color w:val="00B050"/>
        </w:rPr>
        <w:t>6.10</w:t>
      </w:r>
      <w:r w:rsidR="00D91853" w:rsidRPr="0081259A">
        <w:rPr>
          <w:rFonts w:ascii="Arial" w:hAnsi="Arial" w:cs="Arial"/>
          <w:b/>
          <w:color w:val="00B050"/>
        </w:rPr>
        <w:t>.2023</w:t>
      </w:r>
      <w:r w:rsidR="0028155F" w:rsidRPr="0081259A">
        <w:rPr>
          <w:rFonts w:ascii="Arial" w:hAnsi="Arial" w:cs="Arial"/>
          <w:b/>
          <w:color w:val="00B050"/>
        </w:rPr>
        <w:t xml:space="preserve"> </w:t>
      </w:r>
      <w:r w:rsidR="00D91853" w:rsidRPr="0081259A">
        <w:rPr>
          <w:rFonts w:ascii="Arial" w:hAnsi="Arial" w:cs="Arial"/>
          <w:b/>
          <w:color w:val="00B050"/>
        </w:rPr>
        <w:t>r.</w:t>
      </w:r>
      <w:r w:rsidR="000E7775" w:rsidRPr="0081259A">
        <w:rPr>
          <w:rFonts w:ascii="Arial" w:hAnsi="Arial" w:cs="Arial"/>
          <w:b/>
          <w:color w:val="00B050"/>
        </w:rPr>
        <w:t xml:space="preserve"> do godz. 12:00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3BE1519C" w:rsidR="0015246B" w:rsidRPr="00884FF2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81259A" w:rsidRPr="0081259A">
        <w:rPr>
          <w:rFonts w:ascii="Arial" w:hAnsi="Arial" w:cs="Arial"/>
          <w:b/>
          <w:bCs/>
          <w:color w:val="00B050"/>
        </w:rPr>
        <w:t>6.10</w:t>
      </w:r>
      <w:r w:rsidR="0028155F" w:rsidRPr="0081259A">
        <w:rPr>
          <w:rFonts w:ascii="Arial" w:hAnsi="Arial" w:cs="Arial"/>
          <w:b/>
          <w:bCs/>
          <w:color w:val="00B050"/>
        </w:rPr>
        <w:t xml:space="preserve">.2023 </w:t>
      </w:r>
      <w:proofErr w:type="spellStart"/>
      <w:r w:rsidR="0028155F" w:rsidRPr="0081259A">
        <w:rPr>
          <w:rFonts w:ascii="Arial" w:hAnsi="Arial" w:cs="Arial"/>
          <w:b/>
          <w:bCs/>
          <w:color w:val="00B050"/>
        </w:rPr>
        <w:t>r</w:t>
      </w:r>
      <w:r w:rsidR="0028155F" w:rsidRPr="0081259A">
        <w:rPr>
          <w:rFonts w:ascii="Arial" w:hAnsi="Arial" w:cs="Arial"/>
          <w:bCs/>
          <w:color w:val="00B050"/>
        </w:rPr>
        <w:t>.</w:t>
      </w:r>
      <w:r w:rsidR="000E7775" w:rsidRPr="0081259A">
        <w:rPr>
          <w:rFonts w:ascii="Arial" w:hAnsi="Arial" w:cs="Arial"/>
          <w:b/>
          <w:color w:val="00B050"/>
        </w:rPr>
        <w:t>do</w:t>
      </w:r>
      <w:proofErr w:type="spellEnd"/>
      <w:r w:rsidR="000E7775" w:rsidRPr="0081259A">
        <w:rPr>
          <w:rFonts w:ascii="Arial" w:hAnsi="Arial" w:cs="Arial"/>
          <w:b/>
          <w:color w:val="00B050"/>
        </w:rPr>
        <w:t xml:space="preserve"> godz. 12:30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1A3018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Pzp.</w:t>
      </w:r>
    </w:p>
    <w:p w14:paraId="602ECAE5" w14:textId="77777777" w:rsidR="00F0654D" w:rsidRPr="00884FF2" w:rsidRDefault="00F0654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9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>w 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C11C38A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235778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35778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1259A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E109-03B6-4F2C-86AF-13B428D6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8255</Words>
  <Characters>49530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24</cp:revision>
  <cp:lastPrinted>2021-02-18T12:37:00Z</cp:lastPrinted>
  <dcterms:created xsi:type="dcterms:W3CDTF">2023-09-12T07:52:00Z</dcterms:created>
  <dcterms:modified xsi:type="dcterms:W3CDTF">2023-09-28T13:02:00Z</dcterms:modified>
</cp:coreProperties>
</file>