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4" w:rsidRPr="006D3CDC" w:rsidRDefault="006B7A9D" w:rsidP="006B7A9D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………………………………………….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  <w:t xml:space="preserve">     </w:t>
      </w:r>
      <w:r w:rsidR="003C6424" w:rsidRPr="006D3CDC">
        <w:rPr>
          <w:rFonts w:ascii="Times New Roman" w:hAnsi="Times New Roman"/>
          <w:b/>
          <w:i/>
          <w:sz w:val="22"/>
        </w:rPr>
        <w:t xml:space="preserve">Załącznik nr 1.1 do </w:t>
      </w:r>
      <w:r w:rsidR="006D3CDC">
        <w:rPr>
          <w:rFonts w:ascii="Times New Roman" w:hAnsi="Times New Roman"/>
          <w:b/>
          <w:i/>
          <w:sz w:val="22"/>
        </w:rPr>
        <w:t>SWZ</w:t>
      </w:r>
      <w:r w:rsidR="003C6424" w:rsidRPr="006D3CDC">
        <w:rPr>
          <w:rFonts w:ascii="Times New Roman" w:hAnsi="Times New Roman"/>
          <w:b/>
          <w:i/>
          <w:sz w:val="22"/>
        </w:rPr>
        <w:t xml:space="preserve"> </w:t>
      </w:r>
    </w:p>
    <w:p w:rsidR="003C6424" w:rsidRPr="006D3CDC" w:rsidRDefault="006B7A9D" w:rsidP="006B7A9D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         Nazwa (firma) Wykonawcy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 w:rsidR="006D3CDC" w:rsidRPr="006D3CDC">
        <w:rPr>
          <w:rFonts w:ascii="Times New Roman" w:hAnsi="Times New Roman"/>
          <w:b/>
          <w:i/>
          <w:sz w:val="22"/>
        </w:rPr>
        <w:t>na dostawę t</w:t>
      </w:r>
      <w:r w:rsidR="003C6424" w:rsidRPr="006D3CDC">
        <w:rPr>
          <w:rFonts w:ascii="Times New Roman" w:hAnsi="Times New Roman"/>
          <w:b/>
          <w:i/>
          <w:sz w:val="22"/>
        </w:rPr>
        <w:t>estów  do diagnostyki zakażeń układu oddechowego metodą real-</w:t>
      </w:r>
      <w:proofErr w:type="spellStart"/>
      <w:r w:rsidR="003C6424" w:rsidRPr="006D3CDC">
        <w:rPr>
          <w:rFonts w:ascii="Times New Roman" w:hAnsi="Times New Roman"/>
          <w:b/>
          <w:i/>
          <w:sz w:val="22"/>
        </w:rPr>
        <w:t>time</w:t>
      </w:r>
      <w:proofErr w:type="spellEnd"/>
      <w:r w:rsidR="003C6424" w:rsidRPr="006D3CDC">
        <w:rPr>
          <w:rFonts w:ascii="Times New Roman" w:hAnsi="Times New Roman"/>
          <w:b/>
          <w:i/>
          <w:sz w:val="22"/>
        </w:rPr>
        <w:t xml:space="preserve"> PCR</w:t>
      </w:r>
    </w:p>
    <w:p w:rsidR="003C6424" w:rsidRPr="006D3CDC" w:rsidRDefault="006D3CDC" w:rsidP="003C6424">
      <w:pPr>
        <w:jc w:val="right"/>
        <w:rPr>
          <w:rFonts w:ascii="Times New Roman" w:hAnsi="Times New Roman"/>
          <w:b/>
          <w:i/>
          <w:sz w:val="22"/>
        </w:rPr>
      </w:pPr>
      <w:r w:rsidRPr="006D3CDC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6D3CDC">
        <w:rPr>
          <w:rFonts w:ascii="Times New Roman" w:hAnsi="Times New Roman"/>
          <w:b/>
          <w:i/>
          <w:sz w:val="22"/>
        </w:rPr>
        <w:t>Spr</w:t>
      </w:r>
      <w:proofErr w:type="spellEnd"/>
      <w:r w:rsidRPr="006D3CDC">
        <w:rPr>
          <w:rFonts w:ascii="Times New Roman" w:hAnsi="Times New Roman"/>
          <w:b/>
          <w:i/>
          <w:sz w:val="22"/>
        </w:rPr>
        <w:t xml:space="preserve"> Szp/FZ</w:t>
      </w:r>
      <w:r w:rsidR="003C6424" w:rsidRPr="006D3CDC">
        <w:rPr>
          <w:rFonts w:ascii="Times New Roman" w:hAnsi="Times New Roman"/>
          <w:b/>
          <w:i/>
          <w:sz w:val="22"/>
        </w:rPr>
        <w:t>-1/2021</w:t>
      </w:r>
    </w:p>
    <w:p w:rsidR="003C6424" w:rsidRPr="003C6424" w:rsidRDefault="003C6424" w:rsidP="003C6424">
      <w:pPr>
        <w:rPr>
          <w:rFonts w:ascii="Times New Roman" w:hAnsi="Times New Roman"/>
          <w:b/>
          <w:i/>
          <w:sz w:val="22"/>
        </w:rPr>
      </w:pPr>
    </w:p>
    <w:p w:rsidR="003C6424" w:rsidRPr="003C6424" w:rsidRDefault="006D3CDC" w:rsidP="003C6424">
      <w:pPr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Formularz asortymentowo-</w:t>
      </w:r>
      <w:r w:rsidR="003C6424" w:rsidRPr="003C6424">
        <w:rPr>
          <w:rFonts w:ascii="Times New Roman" w:hAnsi="Times New Roman"/>
          <w:b/>
          <w:i/>
          <w:sz w:val="22"/>
        </w:rPr>
        <w:t>cenowy</w:t>
      </w:r>
      <w:bookmarkStart w:id="0" w:name="_GoBack"/>
      <w:bookmarkEnd w:id="0"/>
    </w:p>
    <w:p w:rsidR="003C6424" w:rsidRPr="003C6424" w:rsidRDefault="003C6424" w:rsidP="003C6424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</w:rPr>
      </w:pPr>
    </w:p>
    <w:tbl>
      <w:tblPr>
        <w:tblpPr w:leftFromText="141" w:rightFromText="141" w:vertAnchor="text" w:horzAnchor="margin" w:tblpX="-209" w:tblpY="109"/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6236"/>
        <w:gridCol w:w="710"/>
        <w:gridCol w:w="1275"/>
        <w:gridCol w:w="1276"/>
        <w:gridCol w:w="708"/>
        <w:gridCol w:w="1134"/>
        <w:gridCol w:w="12"/>
        <w:gridCol w:w="1123"/>
        <w:gridCol w:w="1701"/>
      </w:tblGrid>
      <w:tr w:rsidR="003C6424" w:rsidRPr="003C6424" w:rsidTr="00D967A3">
        <w:trPr>
          <w:trHeight w:val="59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Nazwa produktu i opis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 xml:space="preserve">Ilość 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%VAT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 xml:space="preserve">Cena jedn. brutto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 xml:space="preserve">Wartość    </w:t>
            </w: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  <w:r w:rsidRPr="003C6424">
              <w:rPr>
                <w:rFonts w:ascii="Times New Roman" w:hAnsi="Times New Roman"/>
                <w:bCs/>
                <w:color w:val="000000"/>
                <w:sz w:val="22"/>
                <w:u w:val="single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Nazwa handlowa</w:t>
            </w:r>
          </w:p>
        </w:tc>
      </w:tr>
      <w:tr w:rsidR="003C6424" w:rsidRPr="003C6424" w:rsidTr="00D967A3">
        <w:trPr>
          <w:trHeight w:val="59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</w:rPr>
            </w:pP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  <w:r w:rsidRPr="003C6424">
              <w:rPr>
                <w:rFonts w:ascii="Times New Roman" w:hAnsi="Times New Roman"/>
                <w:b/>
              </w:rPr>
              <w:t xml:space="preserve">Test do diagnostyki wirusa SARS-CoV-2 w materiale genetycznym wyizolowanym m.in. z wymazów z </w:t>
            </w:r>
            <w:proofErr w:type="spellStart"/>
            <w:r w:rsidRPr="003C6424">
              <w:rPr>
                <w:rFonts w:ascii="Times New Roman" w:hAnsi="Times New Roman"/>
                <w:b/>
              </w:rPr>
              <w:t>nosogardzieli</w:t>
            </w:r>
            <w:proofErr w:type="spellEnd"/>
            <w:r w:rsidRPr="003C6424">
              <w:rPr>
                <w:rFonts w:ascii="Times New Roman" w:hAnsi="Times New Roman"/>
                <w:b/>
              </w:rPr>
              <w:t xml:space="preserve"> oraz </w:t>
            </w:r>
            <w:proofErr w:type="spellStart"/>
            <w:r w:rsidRPr="003C6424">
              <w:rPr>
                <w:rFonts w:ascii="Times New Roman" w:hAnsi="Times New Roman"/>
                <w:b/>
              </w:rPr>
              <w:t>aspiratów</w:t>
            </w:r>
            <w:proofErr w:type="spellEnd"/>
            <w:r w:rsidRPr="003C6424">
              <w:rPr>
                <w:rFonts w:ascii="Times New Roman" w:hAnsi="Times New Roman"/>
                <w:b/>
              </w:rPr>
              <w:t xml:space="preserve"> z dróg oddechowych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 xml:space="preserve">Test jakościowy, multipleksowy do jednoczesnego wykrywania co najmniej genów ORF1ab i N,  w formie zliofilizowanej,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rozporcjowany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do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stripów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po 8 probówek z dołączonymi zatyczkami do zamknięcia.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 xml:space="preserve">Test musi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zawirać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wszystkie odczynniki niezbędne do przeprowadzenia reakcji RT-PCR w tym: </w:t>
            </w:r>
            <w:r w:rsidRPr="003C6424">
              <w:rPr>
                <w:rFonts w:ascii="Times New Roman" w:hAnsi="Times New Roman"/>
              </w:rPr>
              <w:t xml:space="preserve"> </w:t>
            </w:r>
            <w:r w:rsidRPr="003C6424">
              <w:rPr>
                <w:rFonts w:ascii="Times New Roman" w:hAnsi="Times New Roman"/>
                <w:bCs/>
                <w:color w:val="000000"/>
              </w:rPr>
              <w:t xml:space="preserve">zliofilizowany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mastermix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(polimeraza, odwrotna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transkryptaza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specyficzne sondy i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primery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dNTP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oraz kontrola wewnętrzna), bufor do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rehydratacji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kontrolę pozytywną, kontrolę negatywną, wodę wolną od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DNaz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i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RNaz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 xml:space="preserve">Test musi posiadać certyfikat CE-IVD do diagnostyki </w:t>
            </w:r>
            <w:r w:rsidRPr="003C6424">
              <w:rPr>
                <w:rFonts w:ascii="Times New Roman" w:hAnsi="Times New Roman"/>
                <w:bCs/>
                <w:i/>
                <w:color w:val="000000"/>
              </w:rPr>
              <w:t>in vitro</w:t>
            </w:r>
            <w:r w:rsidRPr="003C6424">
              <w:rPr>
                <w:rFonts w:ascii="Times New Roman" w:hAnsi="Times New Roman"/>
                <w:bCs/>
                <w:color w:val="000000"/>
              </w:rPr>
              <w:t xml:space="preserve"> i być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zwalidowany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z urządzeniami: CFX96 (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Bio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-Rad) i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StepOne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Plus (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Thermo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Fisher Scientific).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>Całkowita objętość reakcyjna &lt; 25 ul, czułość analityczna nie powinna być gorsza niż 10 kopii/reakcję.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>Detekcja sygnału powinna odbywać się w kanałach FAM, HEX i ROX.</w:t>
            </w:r>
          </w:p>
          <w:p w:rsid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>Kit zapewnia ten sam profil temperaturowy dla wszystkich zestawów w pakiecie, aby umożliwić stworzenie własnego panelu badania podczas 1 uruchomienia aparatu. Test musi być przechowywany i transportowany w warunkach temperatury pokojowej.</w:t>
            </w:r>
            <w:r w:rsidRPr="003C6424">
              <w:rPr>
                <w:rFonts w:ascii="Times New Roman" w:hAnsi="Times New Roman"/>
                <w:sz w:val="22"/>
              </w:rPr>
              <w:t xml:space="preserve"> </w:t>
            </w:r>
          </w:p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3C6424">
              <w:rPr>
                <w:rFonts w:ascii="Times New Roman" w:hAnsi="Times New Roman"/>
                <w:sz w:val="22"/>
              </w:rPr>
              <w:t>Op.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  <w:bCs/>
                <w:color w:val="000000"/>
              </w:rPr>
            </w:pPr>
            <w:r w:rsidRPr="003C6424">
              <w:rPr>
                <w:rFonts w:ascii="Times New Roman" w:hAnsi="Times New Roman"/>
                <w:b/>
              </w:rPr>
              <w:t>1 op. = 96 reakcji</w:t>
            </w:r>
          </w:p>
          <w:p w:rsid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  <w:p w:rsid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  <w:p w:rsid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3C6424" w:rsidRPr="003C6424" w:rsidTr="00D967A3">
        <w:trPr>
          <w:trHeight w:val="59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lastRenderedPageBreak/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  <w:r w:rsidRPr="003C6424">
              <w:rPr>
                <w:rFonts w:ascii="Times New Roman" w:hAnsi="Times New Roman"/>
                <w:b/>
              </w:rPr>
              <w:t xml:space="preserve">Zestaw do wykrywania infekcji oddechowych (18 patogenów) w materiale genetycznym wyizolowanym z wymazów z </w:t>
            </w:r>
            <w:proofErr w:type="spellStart"/>
            <w:r w:rsidRPr="003C6424">
              <w:rPr>
                <w:rFonts w:ascii="Times New Roman" w:hAnsi="Times New Roman"/>
                <w:b/>
              </w:rPr>
              <w:t>nosogardzieli</w:t>
            </w:r>
            <w:proofErr w:type="spellEnd"/>
            <w:r w:rsidRPr="003C6424">
              <w:rPr>
                <w:rFonts w:ascii="Times New Roman" w:hAnsi="Times New Roman"/>
                <w:b/>
              </w:rPr>
              <w:t xml:space="preserve"> i </w:t>
            </w:r>
            <w:proofErr w:type="spellStart"/>
            <w:r w:rsidRPr="003C6424">
              <w:rPr>
                <w:rFonts w:ascii="Times New Roman" w:hAnsi="Times New Roman"/>
                <w:b/>
              </w:rPr>
              <w:t>aspiratów</w:t>
            </w:r>
            <w:proofErr w:type="spellEnd"/>
            <w:r w:rsidRPr="003C6424">
              <w:rPr>
                <w:rFonts w:ascii="Times New Roman" w:hAnsi="Times New Roman"/>
                <w:b/>
              </w:rPr>
              <w:t xml:space="preserve"> z dróg oddechowych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</w:rPr>
            </w:pP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 xml:space="preserve">Panel w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stripach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do jednoczesnego wykrywania 18 patogenów układu oddechowego: wirusa grypy A, wirusa grypy B, wirusa grypy AH1N1, wirusa RSV A oraz RSV B,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paragrypy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1,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paragrypy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2,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paragrypy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3,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paragrypy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4, adenowirusa,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metapneumowirusa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bokawirusa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rinowirusa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enterowirusa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oraz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koronawirusów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>: 229, NL63, OC43 oraz HKU1.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>1 panel pozwala na diagnostykę w kierunku powyższych patogenów u 1 pacjenta.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 xml:space="preserve">Test musi posiadać certyfikat CE-IVD do diagnostyki </w:t>
            </w:r>
            <w:r w:rsidRPr="003C6424">
              <w:rPr>
                <w:rFonts w:ascii="Times New Roman" w:hAnsi="Times New Roman"/>
                <w:bCs/>
                <w:i/>
                <w:color w:val="000000"/>
              </w:rPr>
              <w:t>in vitro</w:t>
            </w:r>
            <w:r w:rsidRPr="003C6424">
              <w:rPr>
                <w:rFonts w:ascii="Times New Roman" w:hAnsi="Times New Roman"/>
                <w:bCs/>
                <w:color w:val="000000"/>
              </w:rPr>
              <w:t xml:space="preserve"> i powinien być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zwalidowany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z urządzeniami: CFX96 (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Bio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-Rad) i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StepOne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Plus (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Thermo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Fisher Scientific).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 xml:space="preserve">Test w formie zliofilizowanej,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rozporcjowany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do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stripów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po 8 probówek. Zawiera wszystkie niezbędne składniki: zliofilizowany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mastermix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(polimeraza, specyficzne sondy i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primery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dNTP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oraz kontrola wewnętrzna), bufor do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rehydratacji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kontrole pozytywną, kontrole negatywną, wodę wolną od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DNaz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i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RNaz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. Całkowita objętość reakcyjna &lt; 25 ul, czułość analityczna nie gorsza niż 10 kopii/reakcję dla wirusa grypy A i B, RSV A i B, wirusów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paragrypy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adenowirusa,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metapneumowirusa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bokawirusa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rinowirusa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enterowirusa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oraz </w:t>
            </w:r>
            <w:proofErr w:type="spellStart"/>
            <w:r w:rsidRPr="003C6424">
              <w:rPr>
                <w:rFonts w:ascii="Times New Roman" w:hAnsi="Times New Roman"/>
                <w:bCs/>
                <w:color w:val="000000"/>
              </w:rPr>
              <w:t>koronawirusów</w:t>
            </w:r>
            <w:proofErr w:type="spellEnd"/>
            <w:r w:rsidRPr="003C6424">
              <w:rPr>
                <w:rFonts w:ascii="Times New Roman" w:hAnsi="Times New Roman"/>
                <w:bCs/>
                <w:color w:val="000000"/>
              </w:rPr>
              <w:t xml:space="preserve"> 229E, NL63, OC43 i HKU1 i nie gorsza niż 50 kopii/reakcję dla wirusa grypy AH1N1.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Cs/>
                <w:color w:val="000000"/>
              </w:rPr>
            </w:pPr>
            <w:r w:rsidRPr="003C6424">
              <w:rPr>
                <w:rFonts w:ascii="Times New Roman" w:hAnsi="Times New Roman"/>
                <w:bCs/>
                <w:color w:val="000000"/>
              </w:rPr>
              <w:t>Ten sam profil temperaturowy dla wszystkich zestawów w pakiecie, umożliwia stworzenie własnego panelu badania podczas 1 uruchomienia aparatu.</w:t>
            </w:r>
          </w:p>
          <w:p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  <w:r w:rsidRPr="003C6424">
              <w:rPr>
                <w:rFonts w:ascii="Times New Roman" w:hAnsi="Times New Roman"/>
                <w:b/>
              </w:rPr>
              <w:t>zestaw na 12 oznaczeń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D967A3" w:rsidP="00D96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="003C642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3C6424" w:rsidTr="00D9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520" w:type="dxa"/>
            <w:gridSpan w:val="5"/>
          </w:tcPr>
          <w:p w:rsidR="003C6424" w:rsidRDefault="003C6424" w:rsidP="00D967A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Razem netto, brutto </w:t>
            </w:r>
          </w:p>
        </w:tc>
        <w:tc>
          <w:tcPr>
            <w:tcW w:w="1854" w:type="dxa"/>
            <w:gridSpan w:val="3"/>
          </w:tcPr>
          <w:p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23" w:type="dxa"/>
          </w:tcPr>
          <w:p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933EA1" w:rsidRDefault="006B7A9D">
      <w:pPr>
        <w:rPr>
          <w:rFonts w:ascii="Times New Roman" w:hAnsi="Times New Roman"/>
          <w:sz w:val="22"/>
        </w:rPr>
      </w:pPr>
    </w:p>
    <w:p w:rsidR="003C6424" w:rsidRDefault="003C6424">
      <w:pPr>
        <w:rPr>
          <w:rFonts w:ascii="Times New Roman" w:hAnsi="Times New Roman"/>
          <w:sz w:val="22"/>
        </w:rPr>
      </w:pPr>
    </w:p>
    <w:p w:rsidR="003C6424" w:rsidRDefault="003C6424">
      <w:pPr>
        <w:rPr>
          <w:rFonts w:ascii="Times New Roman" w:hAnsi="Times New Roman"/>
          <w:sz w:val="22"/>
        </w:rPr>
      </w:pPr>
    </w:p>
    <w:p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………...................................................................</w:t>
      </w:r>
    </w:p>
    <w:p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(Imię i nazwisko osoby uprawnionej do reprezentowania</w:t>
      </w:r>
    </w:p>
    <w:p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Wykonawcy)</w:t>
      </w:r>
    </w:p>
    <w:p w:rsidR="003C6424" w:rsidRPr="003C6424" w:rsidRDefault="003C6424" w:rsidP="006D3CDC">
      <w:pPr>
        <w:jc w:val="right"/>
        <w:rPr>
          <w:rFonts w:ascii="Times New Roman" w:hAnsi="Times New Roman"/>
          <w:sz w:val="22"/>
        </w:rPr>
      </w:pPr>
    </w:p>
    <w:sectPr w:rsidR="003C6424" w:rsidRPr="003C6424" w:rsidSect="003C64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4"/>
    <w:rsid w:val="003C6424"/>
    <w:rsid w:val="006B7A9D"/>
    <w:rsid w:val="006D3CDC"/>
    <w:rsid w:val="00D967A3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24"/>
    <w:pPr>
      <w:spacing w:after="0" w:line="240" w:lineRule="auto"/>
    </w:pPr>
    <w:rPr>
      <w:rFonts w:ascii="Arial" w:eastAsia="Calibri" w:hAnsi="Arial" w:cs="Times New Roman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642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642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24"/>
    <w:pPr>
      <w:spacing w:after="0" w:line="240" w:lineRule="auto"/>
    </w:pPr>
    <w:rPr>
      <w:rFonts w:ascii="Arial" w:eastAsia="Calibri" w:hAnsi="Arial" w:cs="Times New Roman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642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642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2</cp:revision>
  <dcterms:created xsi:type="dcterms:W3CDTF">2021-01-20T20:51:00Z</dcterms:created>
  <dcterms:modified xsi:type="dcterms:W3CDTF">2021-01-28T10:11:00Z</dcterms:modified>
</cp:coreProperties>
</file>