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06" w:rsidRDefault="00873206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3 do SIWZ</w:t>
      </w:r>
    </w:p>
    <w:p w:rsidR="00873206" w:rsidRDefault="00873206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-przetarg nieograniczony</w:t>
      </w:r>
    </w:p>
    <w:p w:rsidR="00873206" w:rsidRDefault="00873206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ZP/AI/6/20</w:t>
      </w:r>
    </w:p>
    <w:p w:rsidR="00873206" w:rsidRPr="00873206" w:rsidRDefault="00873206" w:rsidP="00873206">
      <w:pPr>
        <w:spacing w:after="0"/>
        <w:jc w:val="center"/>
        <w:rPr>
          <w:b/>
        </w:rPr>
      </w:pPr>
    </w:p>
    <w:p w:rsidR="00873206" w:rsidRPr="00873206" w:rsidRDefault="00873206" w:rsidP="00873206">
      <w:pPr>
        <w:spacing w:after="0"/>
        <w:jc w:val="center"/>
        <w:rPr>
          <w:b/>
        </w:rPr>
      </w:pPr>
      <w:r w:rsidRPr="00873206">
        <w:rPr>
          <w:b/>
        </w:rPr>
        <w:t>ZESTAWIENIE PARAMETRÓW TECHNICZNYCH I UŻYTKOWYCH ANALIZATORA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8167E1" w:rsidTr="008167E1">
        <w:tc>
          <w:tcPr>
            <w:tcW w:w="850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 w:rsidRPr="00873206">
              <w:t>Oferent/producent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>
              <w:t>Rok produkcji nie wcześniej niż 2019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>
              <w:t>Analizator w pełni automatyczny umożliwiający wykonywanie analiz w trybie „pacjent po pacjencie”</w:t>
            </w:r>
            <w:r w:rsidR="008167E1">
              <w:t xml:space="preserve"> oraz wykonywanie analiz w trybie pilnym bez konieczności zatrzymywania pracy analizatora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Możliwość automatycznej analizy minimum 30 różnych parametrów jednocześnie z jednej próbki, przy użyciu metod chemiluminescencji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Wydajność analizatora nie mniej niż 190 oznaczeń na godzinę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Chłodzenie odczynników na pokładzie analizatora umożliwiające ich ciągłe przechowywanie zgodnie z wymogami producenta odczynników opisanymi w instrukcji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Odczynniki gotowe do wstawienia na pokład analizatora i natychmiastowego użycia bezpośrednio po wyjęciu z lodówki bez konieczności ogrzewania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Ilość chłodzonych miejsc odczynnikowych na pokładzie analizatora nie mniejsza niż 35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Analizator podaje czas zakończenia badania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Brak strat odczynnika w przypadku obecności mikroskrzepu lub pęcherzyka powietrza w próbce badanej. Aparat w pierwszej kolejności sprawdza jakość</w:t>
            </w:r>
            <w:r w:rsidR="0027097A">
              <w:t xml:space="preserve"> próbki badanej a potem dozuje odczynnik konieczny do wykonania badania</w:t>
            </w:r>
          </w:p>
        </w:tc>
        <w:tc>
          <w:tcPr>
            <w:tcW w:w="1247" w:type="dxa"/>
            <w:vAlign w:val="center"/>
          </w:tcPr>
          <w:p w:rsidR="008167E1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wykonywania wszystkich badań wyszczególnionych w formularzu cenowym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Wszystkie odczynniki muszą pochodzić od tego samego producenta co oferowany analizator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Wszystkie odczynniki gotowe do użycia bez konieczności rekonstytucji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Stabilność odczynników po otwarciu minimum 30 dni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Stabilność kalibracji minimum 30 dni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jednoczesnego umieszczenia w analizatorze minimum 120 próbek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pracy na analizatorze z wykorzystaniem próbek pierwotnych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Analizator pracujący z wykorzystaniem jednego rodzaju statywu dla próbek pierwotnych i wtórnych o różnej objętości oraz dla różnego materiału badanego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Stałe monitorowanie poziomu odczynników i materiałów zużywalnych na pokładzie analizatora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Analizator wyposażony we wbudowany system kontroli jakości</w:t>
            </w:r>
            <w:r w:rsidR="009A7227">
              <w:t xml:space="preserve"> z możliwością graficznej prezentacji (wykresy Levey-Jeningsa)</w:t>
            </w:r>
          </w:p>
        </w:tc>
        <w:tc>
          <w:tcPr>
            <w:tcW w:w="1247" w:type="dxa"/>
            <w:vAlign w:val="center"/>
          </w:tcPr>
          <w:p w:rsidR="0027097A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wykonywania automatycznego rozcieńczania próbek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automatycznego wykonywania powtórzeń oznaczonych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Materiał badany i odczynniki identyfikowane za pomocą kodów kreskowych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dostawiania próbek i odczynników w trakcie pracy analizatora bez konieczności wprowadzania analizatora w stan pauzy (stan gotowości, stand by)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Detektor skrzepów badanej próbki oraz bąbelków powietrza (piany) dla odczynników i próbek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Objętość martwa w kubeczku próbkowym nie więcej niż 50 uL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>Prokalcytonina na licencji Brahmsa o liniowości do 100</w:t>
            </w:r>
            <w:r>
              <w:rPr>
                <w:rFonts w:cstheme="minorHAnsi"/>
              </w:rPr>
              <w:t>µ</w:t>
            </w:r>
            <w:r>
              <w:t>g/L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>Oznaczenie Troponiny I – metodą wysokoczuła zgodnie z definicją IFCC-CV przy 99 percentylu URL osób zdrowych poniżej 10% CV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 xml:space="preserve">Zakres pomiarowy </w:t>
            </w:r>
            <w:r>
              <w:rPr>
                <w:rFonts w:cstheme="minorHAnsi"/>
              </w:rPr>
              <w:t xml:space="preserve">β </w:t>
            </w:r>
            <w:r>
              <w:t xml:space="preserve">HCG do minimum 15 000 mIU/ml w pierwszym </w:t>
            </w:r>
            <w:r>
              <w:lastRenderedPageBreak/>
              <w:t>oznaczeniu bez konieczności rozcieńczania próbki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lastRenderedPageBreak/>
              <w:t>31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Dla testów HIV, HBsAg, HCV, SARS CoV-2 wyniki muszą być jednoznacznie interpretowane w oparciu o wyznaczony cut</w:t>
            </w:r>
            <w:bookmarkStart w:id="0" w:name="_GoBack"/>
            <w:bookmarkEnd w:id="0"/>
            <w:r>
              <w:t>-off bez podawania wartości granicznej tzw. szarej strefy</w:t>
            </w:r>
          </w:p>
        </w:tc>
        <w:tc>
          <w:tcPr>
            <w:tcW w:w="1247" w:type="dxa"/>
            <w:vAlign w:val="center"/>
          </w:tcPr>
          <w:p w:rsidR="009A7227" w:rsidRDefault="00777A34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Dla testów SARS CoV-2 IgG i IgM wymagana czułość minimum 99,9%, swoistość minimum 99,6%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777A34" w:rsidTr="008D4798">
        <w:tc>
          <w:tcPr>
            <w:tcW w:w="9467" w:type="dxa"/>
            <w:gridSpan w:val="5"/>
            <w:vAlign w:val="center"/>
          </w:tcPr>
          <w:p w:rsidR="00777A34" w:rsidRPr="00777A34" w:rsidRDefault="00777A34" w:rsidP="008D4798">
            <w:pPr>
              <w:jc w:val="center"/>
              <w:rPr>
                <w:b/>
              </w:rPr>
            </w:pPr>
            <w:r w:rsidRPr="00777A34">
              <w:rPr>
                <w:b/>
              </w:rPr>
              <w:t>Parametry oceniane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STAT – każda dowolna pozycja w podajniku wyzwalana naciśnięciem przycisku</w:t>
            </w:r>
          </w:p>
        </w:tc>
        <w:tc>
          <w:tcPr>
            <w:tcW w:w="1247" w:type="dxa"/>
            <w:vAlign w:val="center"/>
          </w:tcPr>
          <w:p w:rsidR="009A7227" w:rsidRDefault="00777A34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D4798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Kalibracja wykonywana tylko przy zmianie serii odczynnika. W przypadku nowego opakowania tej samej serii odczynnika kalibracji niw wykonuje się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Ważność odczynników po otwarciu do daty ważności podanej na opakowaniu – minimum 4 miesiące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Aktywny system mycia sond zapewniający wartość współczynnika przenoszenia poniżej 0,1ppm – brak zastosowania końcówek jednorazowego użytku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D43728" w:rsidTr="00D05481">
        <w:tc>
          <w:tcPr>
            <w:tcW w:w="9467" w:type="dxa"/>
            <w:gridSpan w:val="5"/>
            <w:vAlign w:val="center"/>
          </w:tcPr>
          <w:p w:rsidR="00D43728" w:rsidRPr="00D43728" w:rsidRDefault="00D43728" w:rsidP="008D4798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D43728" w:rsidP="00873206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Analizator wyposażony w drukarkę dającą możliwość bezpośredniego wydruku, skaner kodów kreskowych, komputer i monitor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D43728" w:rsidP="00873206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Analizator wyposażony w UPS podtrzymujący pracę aparatu przez co najmniej 20 min.</w:t>
            </w:r>
          </w:p>
        </w:tc>
        <w:tc>
          <w:tcPr>
            <w:tcW w:w="1247" w:type="dxa"/>
            <w:vAlign w:val="center"/>
          </w:tcPr>
          <w:p w:rsidR="009A7227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 xml:space="preserve">Wykonawca zapewnia autoryzowany serwis techniczny analizatora –  </w:t>
            </w:r>
            <w:r w:rsidRPr="00D43728">
              <w:t>podać nazwę firmy, adres i dane kontaktowe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Włączenie aparatu do istniejącego w Laboratorium systemu komputerowego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Podłączenie analizatora do zdalnego systemu serwisowego poprzez łącze internetowe przez całą dobę na koszt Wykonawcy (możliwość przesyłania internetowo aplikacji odczynnikowych), ale także możliwość bezpośredniego kontaktu z serwisem technicznym analizatora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42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Oprogramowanie w języku polskim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</w:tbl>
    <w:p w:rsidR="00873206" w:rsidRDefault="00873206" w:rsidP="00873206">
      <w:pPr>
        <w:spacing w:after="0"/>
      </w:pPr>
    </w:p>
    <w:p w:rsidR="00D43728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lastRenderedPageBreak/>
        <w:t xml:space="preserve">Wartości określone w wymaganiach jako „TAK” należy traktować jako niezbędne minimum, którego niespełnienie będzie skutkowało odrzuceniem oferty. </w:t>
      </w:r>
    </w:p>
    <w:p w:rsidR="00C46167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</w:p>
    <w:p w:rsidR="00D43728" w:rsidRDefault="00D43728" w:rsidP="00D43728">
      <w:pPr>
        <w:pStyle w:val="Akapitzlist"/>
        <w:spacing w:after="0"/>
        <w:ind w:left="360"/>
        <w:jc w:val="both"/>
      </w:pPr>
    </w:p>
    <w:p w:rsidR="00D43728" w:rsidRDefault="00D43728" w:rsidP="00D43728">
      <w:pPr>
        <w:pStyle w:val="Akapitzlist"/>
        <w:spacing w:after="0"/>
        <w:ind w:left="360"/>
        <w:jc w:val="both"/>
      </w:pPr>
    </w:p>
    <w:p w:rsidR="00D43728" w:rsidRDefault="00D43728" w:rsidP="00D43728">
      <w:pPr>
        <w:pStyle w:val="Akapitzlist"/>
        <w:spacing w:after="0"/>
        <w:ind w:left="360"/>
        <w:jc w:val="both"/>
      </w:pPr>
    </w:p>
    <w:p w:rsidR="00D43728" w:rsidRDefault="00D43728" w:rsidP="00D43728">
      <w:pPr>
        <w:pStyle w:val="Akapitzlist"/>
        <w:spacing w:after="0"/>
        <w:ind w:left="4248"/>
        <w:jc w:val="both"/>
      </w:pPr>
      <w:r>
        <w:t>………………………………………………………………</w:t>
      </w:r>
    </w:p>
    <w:p w:rsidR="00D43728" w:rsidRDefault="00D43728" w:rsidP="00D43728">
      <w:pPr>
        <w:pStyle w:val="Akapitzlist"/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Podpis osoby uprawnionej lub osób uprawnionych</w:t>
      </w:r>
    </w:p>
    <w:p w:rsidR="00D43728" w:rsidRPr="00D43728" w:rsidRDefault="005A073B" w:rsidP="00D43728">
      <w:pPr>
        <w:pStyle w:val="Akapitzlist"/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D43728">
        <w:rPr>
          <w:sz w:val="18"/>
          <w:szCs w:val="18"/>
        </w:rPr>
        <w:t>o reprezentowania Wykonawcy</w:t>
      </w:r>
    </w:p>
    <w:p w:rsidR="00D43728" w:rsidRPr="00D43728" w:rsidRDefault="00D43728" w:rsidP="00D43728">
      <w:pPr>
        <w:pStyle w:val="Akapitzlist"/>
        <w:spacing w:after="0"/>
        <w:ind w:left="360"/>
        <w:jc w:val="both"/>
        <w:rPr>
          <w:b/>
        </w:rPr>
      </w:pPr>
    </w:p>
    <w:sectPr w:rsidR="00D43728" w:rsidRPr="00D43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06" w:rsidRDefault="00873206" w:rsidP="00873206">
      <w:pPr>
        <w:spacing w:after="0" w:line="240" w:lineRule="auto"/>
      </w:pPr>
      <w:r>
        <w:separator/>
      </w:r>
    </w:p>
  </w:endnote>
  <w:endnote w:type="continuationSeparator" w:id="0">
    <w:p w:rsidR="00873206" w:rsidRDefault="00873206" w:rsidP="008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06" w:rsidRDefault="00873206" w:rsidP="00873206">
      <w:pPr>
        <w:spacing w:after="0" w:line="240" w:lineRule="auto"/>
      </w:pPr>
      <w:r>
        <w:separator/>
      </w:r>
    </w:p>
  </w:footnote>
  <w:footnote w:type="continuationSeparator" w:id="0">
    <w:p w:rsidR="00873206" w:rsidRDefault="00873206" w:rsidP="0087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6" w:rsidRDefault="00873206">
    <w:pPr>
      <w:pStyle w:val="Nagwek"/>
    </w:pPr>
    <w:r w:rsidRPr="0087320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944DA2A" wp14:editId="01724E4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7"/>
    <w:rsid w:val="00052DD7"/>
    <w:rsid w:val="0027097A"/>
    <w:rsid w:val="00313CD3"/>
    <w:rsid w:val="005A073B"/>
    <w:rsid w:val="00777A34"/>
    <w:rsid w:val="008167E1"/>
    <w:rsid w:val="00873206"/>
    <w:rsid w:val="008D4798"/>
    <w:rsid w:val="009A7227"/>
    <w:rsid w:val="00C46167"/>
    <w:rsid w:val="00C81752"/>
    <w:rsid w:val="00D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9193-9ADD-44DF-8C6C-9FDA27A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206"/>
  </w:style>
  <w:style w:type="paragraph" w:styleId="Stopka">
    <w:name w:val="footer"/>
    <w:basedOn w:val="Normalny"/>
    <w:link w:val="Stopka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06"/>
  </w:style>
  <w:style w:type="table" w:styleId="Tabela-Siatka">
    <w:name w:val="Table Grid"/>
    <w:basedOn w:val="Standardowy"/>
    <w:uiPriority w:val="39"/>
    <w:rsid w:val="0087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2020-05-22T12:02:00Z</cp:lastPrinted>
  <dcterms:created xsi:type="dcterms:W3CDTF">2020-05-21T12:10:00Z</dcterms:created>
  <dcterms:modified xsi:type="dcterms:W3CDTF">2020-05-22T12:03:00Z</dcterms:modified>
</cp:coreProperties>
</file>