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B47B" w14:textId="77777777" w:rsidR="007F1308" w:rsidRDefault="007F1308" w:rsidP="007F13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90F086" w14:textId="66A26330" w:rsidR="00067E82" w:rsidRPr="00873B4E" w:rsidRDefault="007F1308" w:rsidP="007F13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F1308">
        <w:rPr>
          <w:rFonts w:ascii="Arial" w:eastAsia="Times New Roman" w:hAnsi="Arial" w:cs="Arial"/>
          <w:b/>
          <w:sz w:val="20"/>
          <w:szCs w:val="20"/>
        </w:rPr>
        <w:t>Numer referencyjny: ZŚ.I.271.6.2024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5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>do SW</w:t>
      </w:r>
      <w:r w:rsidR="00067E82">
        <w:rPr>
          <w:rFonts w:ascii="Arial" w:eastAsia="Times New Roman" w:hAnsi="Arial" w:cs="Arial"/>
          <w:b/>
          <w:sz w:val="20"/>
          <w:szCs w:val="20"/>
        </w:rPr>
        <w:t>Z</w:t>
      </w:r>
    </w:p>
    <w:p w14:paraId="74680C88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3B14E7" w14:textId="77777777" w:rsidR="00067E82" w:rsidRDefault="00067E82" w:rsidP="00067E82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58A349DF" w14:textId="77777777" w:rsidR="00067E82" w:rsidRDefault="00067E82" w:rsidP="007F1308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do tej samej grupy kapitałowej, o której mowa w art. 108 ust. 1 pkt 5 </w:t>
      </w:r>
      <w:proofErr w:type="spellStart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p.z.p</w:t>
      </w:r>
      <w:proofErr w:type="spellEnd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</w:t>
      </w:r>
    </w:p>
    <w:p w14:paraId="56B5C507" w14:textId="4288AE1C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>z 202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594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ze zm.)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7F1308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58180141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594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ze zm.)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8153" w14:textId="45F5DA6B" w:rsidR="00067E82" w:rsidRDefault="007F1308">
    <w:pPr>
      <w:pStyle w:val="Nagwek"/>
    </w:pPr>
    <w:r>
      <w:rPr>
        <w:noProof/>
      </w:rPr>
      <w:drawing>
        <wp:inline distT="0" distB="0" distL="0" distR="0" wp14:anchorId="77E7A5BC" wp14:editId="4DF83429">
          <wp:extent cx="6206490" cy="829310"/>
          <wp:effectExtent l="0" t="0" r="3810" b="8890"/>
          <wp:docPr id="1784923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7E82"/>
    <w:rsid w:val="001C2ECA"/>
    <w:rsid w:val="004858EA"/>
    <w:rsid w:val="00510314"/>
    <w:rsid w:val="00786D47"/>
    <w:rsid w:val="007F1308"/>
    <w:rsid w:val="00825B36"/>
    <w:rsid w:val="008460E1"/>
    <w:rsid w:val="00B63FC5"/>
    <w:rsid w:val="00D87F8E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2</cp:revision>
  <dcterms:created xsi:type="dcterms:W3CDTF">2024-05-13T12:26:00Z</dcterms:created>
  <dcterms:modified xsi:type="dcterms:W3CDTF">2024-05-13T12:26:00Z</dcterms:modified>
</cp:coreProperties>
</file>