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567"/>
        <w:gridCol w:w="425"/>
        <w:gridCol w:w="7796"/>
      </w:tblGrid>
      <w:tr w:rsidR="00A71656" w:rsidRPr="00920317" w14:paraId="4220FD4F" w14:textId="77777777" w:rsidTr="00ED0C35">
        <w:trPr>
          <w:trHeight w:val="80"/>
        </w:trPr>
        <w:tc>
          <w:tcPr>
            <w:tcW w:w="11057" w:type="dxa"/>
            <w:gridSpan w:val="5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900C15">
        <w:trPr>
          <w:trHeight w:val="389"/>
        </w:trPr>
        <w:tc>
          <w:tcPr>
            <w:tcW w:w="1560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497" w:type="dxa"/>
            <w:gridSpan w:val="4"/>
            <w:shd w:val="clear" w:color="auto" w:fill="A8D08D" w:themeFill="accent6" w:themeFillTint="99"/>
            <w:vAlign w:val="center"/>
          </w:tcPr>
          <w:p w14:paraId="2442B354" w14:textId="20E4FA98" w:rsidR="00A71656" w:rsidRPr="008B473A" w:rsidRDefault="00ED0C3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D0C3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NARZĘDZI DO ZABIEGÓW NEUROCHIRURGICZNYCH</w:t>
            </w:r>
          </w:p>
        </w:tc>
      </w:tr>
      <w:bookmarkEnd w:id="1"/>
      <w:tr w:rsidR="00A71656" w:rsidRPr="00920317" w14:paraId="3407E224" w14:textId="77777777" w:rsidTr="00ED0C35">
        <w:tc>
          <w:tcPr>
            <w:tcW w:w="1560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497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ED0C35">
        <w:trPr>
          <w:trHeight w:val="1429"/>
        </w:trPr>
        <w:tc>
          <w:tcPr>
            <w:tcW w:w="2269" w:type="dxa"/>
            <w:gridSpan w:val="2"/>
            <w:tcBorders>
              <w:top w:val="single" w:sz="12" w:space="0" w:color="auto"/>
            </w:tcBorders>
            <w:shd w:val="clear" w:color="auto" w:fill="B9DBD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ED0C35">
        <w:trPr>
          <w:trHeight w:val="294"/>
        </w:trPr>
        <w:tc>
          <w:tcPr>
            <w:tcW w:w="2269" w:type="dxa"/>
            <w:gridSpan w:val="2"/>
            <w:tcBorders>
              <w:top w:val="single" w:sz="12" w:space="0" w:color="auto"/>
            </w:tcBorders>
            <w:shd w:val="clear" w:color="auto" w:fill="B9DBD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788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788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788" w:type="dxa"/>
            <w:gridSpan w:val="3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788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788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ED0C35">
        <w:trPr>
          <w:trHeight w:val="665"/>
        </w:trPr>
        <w:tc>
          <w:tcPr>
            <w:tcW w:w="2269" w:type="dxa"/>
            <w:gridSpan w:val="2"/>
            <w:tcBorders>
              <w:bottom w:val="double" w:sz="12" w:space="0" w:color="auto"/>
            </w:tcBorders>
            <w:shd w:val="clear" w:color="auto" w:fill="B9DB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788" w:type="dxa"/>
            <w:gridSpan w:val="3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A7E8B" w:rsidRPr="00920317" w14:paraId="03231E31" w14:textId="77777777" w:rsidTr="00ED0C35">
        <w:trPr>
          <w:trHeight w:val="1169"/>
        </w:trPr>
        <w:tc>
          <w:tcPr>
            <w:tcW w:w="2836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627F6348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4C10AA81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3669FF8A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NR: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8A7E8B" w14:paraId="0BAD9744" w14:textId="77777777" w:rsidTr="00FB0B25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B7D2175" w14:textId="77777777" w:rsidR="008A7E8B" w:rsidRDefault="008A7E8B" w:rsidP="00FB0B2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2A79548E" w14:textId="77777777" w:rsidR="008A7E8B" w:rsidRPr="008E4A80" w:rsidRDefault="008A7E8B" w:rsidP="00FB0B25">
                  <w:pPr>
                    <w:jc w:val="left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vertAlign w:val="superscript"/>
                      <w:lang w:eastAsia="pl-PL"/>
                    </w:rPr>
                  </w:pPr>
                  <w:r w:rsidRPr="008E4A80">
                    <w:rPr>
                      <w:rFonts w:eastAsia="Times New Roman"/>
                      <w:b/>
                      <w:bCs/>
                      <w:iCs/>
                      <w:sz w:val="24"/>
                      <w:szCs w:val="32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1D90D0B7" w14:textId="77777777" w:rsidR="008A7E8B" w:rsidRPr="00B10F9B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2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A3BB1F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3F4E6868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2628B7E2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8A7E8B" w:rsidRPr="00920317" w14:paraId="31771306" w14:textId="77777777" w:rsidTr="00ED0C35">
        <w:trPr>
          <w:trHeight w:val="262"/>
        </w:trPr>
        <w:tc>
          <w:tcPr>
            <w:tcW w:w="283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39A034CC" w14:textId="686B8125" w:rsidR="008A7E8B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</w:t>
            </w:r>
          </w:p>
          <w:p w14:paraId="111F4674" w14:textId="5216442F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DE97EB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A7E8B" w:rsidRPr="00920317" w14:paraId="4B98BC20" w14:textId="77777777" w:rsidTr="00ED0C35">
        <w:trPr>
          <w:trHeight w:val="387"/>
        </w:trPr>
        <w:tc>
          <w:tcPr>
            <w:tcW w:w="11057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1E3D9"/>
          </w:tcPr>
          <w:p w14:paraId="61386572" w14:textId="0B6E5C82" w:rsidR="008A7E8B" w:rsidRPr="006E2FA5" w:rsidRDefault="008A7E8B" w:rsidP="00FB0B2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(wartość zadania + termin dostaw)</w:t>
            </w:r>
          </w:p>
        </w:tc>
      </w:tr>
      <w:bookmarkEnd w:id="2"/>
      <w:tr w:rsidR="00DF6319" w:rsidRPr="00920317" w14:paraId="241E94E1" w14:textId="77777777" w:rsidTr="00ED0C35">
        <w:trPr>
          <w:trHeight w:val="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ED0C35">
        <w:trPr>
          <w:trHeight w:val="226"/>
        </w:trPr>
        <w:tc>
          <w:tcPr>
            <w:tcW w:w="3261" w:type="dxa"/>
            <w:gridSpan w:val="4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796" w:type="dxa"/>
            <w:vAlign w:val="center"/>
          </w:tcPr>
          <w:p w14:paraId="2245EF63" w14:textId="338668FE" w:rsidR="00DF6319" w:rsidRPr="00D51E92" w:rsidRDefault="00891F4C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ED0C3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8</w:t>
            </w:r>
            <w:r w:rsidR="00DF63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F631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lastRenderedPageBreak/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proofErr w:type="gramStart"/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postępowaniu.*</w:t>
      </w:r>
      <w:proofErr w:type="gramEnd"/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proofErr w:type="gramStart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</w:t>
      </w:r>
      <w:proofErr w:type="gramEnd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6C8C8CB" w14:textId="6A7B9196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</w:p>
    <w:p w14:paraId="5062ADD0" w14:textId="77777777" w:rsidR="00ED0C35" w:rsidRDefault="00ED0C35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2B7AADDE" w14:textId="3EC3D26F" w:rsidR="0085154B" w:rsidRPr="00920317" w:rsidRDefault="006A65EF" w:rsidP="003064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</w:t>
      </w:r>
      <w:r w:rsidR="00306401">
        <w:rPr>
          <w:rFonts w:eastAsia="Times New Roman" w:cs="Times New Roman"/>
          <w:bCs/>
          <w:i/>
          <w:lang w:eastAsia="pl-PL"/>
        </w:rPr>
        <w:t>a</w:t>
      </w:r>
      <w:r w:rsidRPr="00920317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920317">
        <w:t xml:space="preserve">      </w:t>
      </w:r>
    </w:p>
    <w:bookmarkEnd w:id="4"/>
    <w:p w14:paraId="5C786F36" w14:textId="77777777" w:rsidR="007A500F" w:rsidRPr="00B4327D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b/>
          <w:bCs/>
          <w:u w:val="single"/>
          <w:lang w:eastAsia="pl-PL"/>
        </w:rPr>
      </w:pPr>
    </w:p>
    <w:p w14:paraId="229A195A" w14:textId="540EBF4D" w:rsidR="00B4327D" w:rsidRPr="00B4327D" w:rsidRDefault="00BB2CE5" w:rsidP="00B4327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  <w:bCs/>
          <w:i/>
          <w:u w:val="single"/>
        </w:rPr>
      </w:pPr>
      <w:r w:rsidRPr="00B4327D">
        <w:rPr>
          <w:rFonts w:eastAsia="Times New Roman" w:cs="Calibri"/>
          <w:b/>
          <w:bCs/>
          <w:i/>
          <w:u w:val="single"/>
        </w:rPr>
        <w:t xml:space="preserve">OPIS PRZEDMIOTU ZAMÓWIENIA </w:t>
      </w:r>
    </w:p>
    <w:p w14:paraId="112FAC64" w14:textId="77777777" w:rsidR="00B4327D" w:rsidRPr="00B4327D" w:rsidRDefault="00B4327D" w:rsidP="00B4327D">
      <w:pPr>
        <w:numPr>
          <w:ilvl w:val="0"/>
          <w:numId w:val="35"/>
        </w:numPr>
        <w:suppressAutoHyphens/>
        <w:spacing w:after="0" w:line="276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B4327D">
        <w:rPr>
          <w:rFonts w:eastAsia="Times New Roman" w:cstheme="minorHAnsi"/>
          <w:sz w:val="24"/>
          <w:szCs w:val="24"/>
          <w:lang w:eastAsia="ar-SA"/>
        </w:rPr>
        <w:t xml:space="preserve">Wykonawca gwarantuje, że wszystkie narzędzia objęte zamówieniem będą spełniały wszystkie - wskazane w niniejszym załączniku – wymagania </w:t>
      </w:r>
      <w:proofErr w:type="spellStart"/>
      <w:r w:rsidRPr="00B4327D">
        <w:rPr>
          <w:rFonts w:eastAsia="Times New Roman" w:cstheme="minorHAnsi"/>
          <w:sz w:val="24"/>
          <w:szCs w:val="24"/>
          <w:lang w:eastAsia="ar-SA"/>
        </w:rPr>
        <w:t>eksploatacyjno</w:t>
      </w:r>
      <w:proofErr w:type="spellEnd"/>
      <w:r w:rsidRPr="00B4327D">
        <w:rPr>
          <w:rFonts w:eastAsia="Times New Roman" w:cstheme="minorHAnsi"/>
          <w:sz w:val="24"/>
          <w:szCs w:val="24"/>
          <w:lang w:eastAsia="ar-SA"/>
        </w:rPr>
        <w:t xml:space="preserve"> - techniczne i jakościowe:</w:t>
      </w:r>
    </w:p>
    <w:p w14:paraId="6CF53CE3" w14:textId="77777777" w:rsidR="00B4327D" w:rsidRPr="00B4327D" w:rsidRDefault="00B4327D" w:rsidP="00B4327D">
      <w:pPr>
        <w:numPr>
          <w:ilvl w:val="1"/>
          <w:numId w:val="35"/>
        </w:numPr>
        <w:tabs>
          <w:tab w:val="num" w:pos="1080"/>
        </w:tabs>
        <w:suppressAutoHyphens/>
        <w:spacing w:after="0" w:line="276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B4327D">
        <w:rPr>
          <w:rFonts w:eastAsia="Times New Roman" w:cstheme="minorHAnsi"/>
          <w:sz w:val="24"/>
          <w:szCs w:val="24"/>
          <w:lang w:eastAsia="ar-SA"/>
        </w:rPr>
        <w:t>Narzędzia wykonane z stali odpornej na korozję zgodnie z normą EN ISO7153-1:2016 lub równoważną.</w:t>
      </w:r>
    </w:p>
    <w:p w14:paraId="4F1356D6" w14:textId="11FB5201" w:rsidR="00B4327D" w:rsidRPr="00B4327D" w:rsidRDefault="00B4327D" w:rsidP="00B4327D">
      <w:pPr>
        <w:numPr>
          <w:ilvl w:val="1"/>
          <w:numId w:val="35"/>
        </w:numPr>
        <w:suppressAutoHyphens/>
        <w:spacing w:after="0" w:line="276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B4327D">
        <w:rPr>
          <w:rFonts w:eastAsia="Times New Roman" w:cstheme="minorHAnsi"/>
          <w:sz w:val="24"/>
          <w:szCs w:val="24"/>
          <w:lang w:eastAsia="ar-SA"/>
        </w:rPr>
        <w:t>Narzędzia oznakowane laserowo: numer katalogowy, nazwa producenta, znak CE, data matrix i numer LOT.</w:t>
      </w:r>
    </w:p>
    <w:p w14:paraId="33F73499" w14:textId="77777777" w:rsidR="00B4327D" w:rsidRPr="00B4327D" w:rsidRDefault="00B4327D" w:rsidP="00B4327D">
      <w:pPr>
        <w:numPr>
          <w:ilvl w:val="1"/>
          <w:numId w:val="35"/>
        </w:numPr>
        <w:tabs>
          <w:tab w:val="num" w:pos="1080"/>
        </w:tabs>
        <w:suppressAutoHyphens/>
        <w:spacing w:after="0" w:line="276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B4327D">
        <w:rPr>
          <w:rFonts w:eastAsia="Times New Roman" w:cstheme="minorHAnsi"/>
          <w:sz w:val="24"/>
          <w:szCs w:val="24"/>
          <w:lang w:eastAsia="ar-SA"/>
        </w:rPr>
        <w:t>Hartowanie narzędzi w atmosferze ochronnej z walidacją procesu.</w:t>
      </w:r>
    </w:p>
    <w:p w14:paraId="2DA997CB" w14:textId="77777777" w:rsidR="00B4327D" w:rsidRPr="00B4327D" w:rsidRDefault="00B4327D" w:rsidP="00B4327D">
      <w:pPr>
        <w:numPr>
          <w:ilvl w:val="1"/>
          <w:numId w:val="35"/>
        </w:numPr>
        <w:tabs>
          <w:tab w:val="num" w:pos="1080"/>
        </w:tabs>
        <w:suppressAutoHyphens/>
        <w:spacing w:after="0" w:line="276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B4327D">
        <w:rPr>
          <w:rFonts w:eastAsia="Times New Roman" w:cstheme="minorHAnsi"/>
          <w:sz w:val="24"/>
          <w:szCs w:val="24"/>
          <w:lang w:eastAsia="ar-SA"/>
        </w:rPr>
        <w:t xml:space="preserve">Wymagana twardość narzędzi: 42-50HRC; </w:t>
      </w:r>
    </w:p>
    <w:p w14:paraId="5E3101CA" w14:textId="77777777" w:rsidR="00B4327D" w:rsidRPr="00B4327D" w:rsidRDefault="00B4327D" w:rsidP="00B4327D">
      <w:pPr>
        <w:numPr>
          <w:ilvl w:val="1"/>
          <w:numId w:val="35"/>
        </w:numPr>
        <w:tabs>
          <w:tab w:val="num" w:pos="1080"/>
        </w:tabs>
        <w:suppressAutoHyphens/>
        <w:spacing w:after="0" w:line="276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B4327D">
        <w:rPr>
          <w:rFonts w:eastAsia="Times New Roman" w:cstheme="minorHAnsi"/>
          <w:sz w:val="24"/>
          <w:szCs w:val="24"/>
          <w:lang w:eastAsia="ar-SA"/>
        </w:rPr>
        <w:t>Spełnienie norm zgodnie z dyrektywą UE 2017/745 (rozporządzenie MDR).</w:t>
      </w:r>
    </w:p>
    <w:p w14:paraId="191E8152" w14:textId="2AB1AD20" w:rsidR="00B4327D" w:rsidRPr="00B4327D" w:rsidRDefault="00B4327D" w:rsidP="00B4327D">
      <w:pPr>
        <w:numPr>
          <w:ilvl w:val="0"/>
          <w:numId w:val="35"/>
        </w:numPr>
        <w:suppressAutoHyphens/>
        <w:spacing w:after="0" w:line="276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B4327D">
        <w:rPr>
          <w:rFonts w:eastAsia="Times New Roman" w:cstheme="minorHAnsi"/>
          <w:sz w:val="24"/>
          <w:szCs w:val="24"/>
          <w:lang w:eastAsia="ar-SA"/>
        </w:rPr>
        <w:t xml:space="preserve">Wykonawca zapewnia, że na potwierdzenie stanu faktycznego, o którym mowa w pkt. </w:t>
      </w:r>
      <w:r>
        <w:rPr>
          <w:rFonts w:eastAsia="Times New Roman" w:cstheme="minorHAnsi"/>
          <w:sz w:val="24"/>
          <w:szCs w:val="24"/>
          <w:lang w:eastAsia="ar-SA"/>
        </w:rPr>
        <w:t>1</w:t>
      </w:r>
      <w:r w:rsidRPr="00B4327D">
        <w:rPr>
          <w:rFonts w:eastAsia="Times New Roman" w:cstheme="minorHAnsi"/>
          <w:sz w:val="24"/>
          <w:szCs w:val="24"/>
          <w:lang w:eastAsia="ar-SA"/>
        </w:rPr>
        <w:t xml:space="preserve"> posiada oświadczenie producenta, które zostaną niezwłocznie przekazane zamawiającemu, na jego pisemny wniosek.</w:t>
      </w:r>
    </w:p>
    <w:p w14:paraId="26B54B32" w14:textId="7174C068" w:rsidR="00B4327D" w:rsidRPr="00B4327D" w:rsidRDefault="00B4327D" w:rsidP="00B4327D">
      <w:pPr>
        <w:numPr>
          <w:ilvl w:val="0"/>
          <w:numId w:val="35"/>
        </w:numPr>
        <w:suppressAutoHyphens/>
        <w:spacing w:after="0" w:line="276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B4327D">
        <w:rPr>
          <w:rFonts w:eastAsia="Times New Roman" w:cstheme="minorHAnsi"/>
          <w:sz w:val="24"/>
          <w:szCs w:val="24"/>
          <w:lang w:eastAsia="ar-SA"/>
        </w:rPr>
        <w:t>Wykonawca oświadcza, że dostarczane zamawiającemu wyroby spełniać będą właściwe, ustalone w obowiązujących przepisach prawa wymagania odnośnie dopuszczenia do użytkowania przedmiotowych wyrobów w polskich zakładach opieki zdrowotnej.</w:t>
      </w:r>
    </w:p>
    <w:p w14:paraId="14127E81" w14:textId="77777777" w:rsidR="00B4327D" w:rsidRPr="00B4327D" w:rsidRDefault="00B4327D" w:rsidP="00B4327D">
      <w:pPr>
        <w:numPr>
          <w:ilvl w:val="0"/>
          <w:numId w:val="35"/>
        </w:numPr>
        <w:suppressAutoHyphens/>
        <w:spacing w:after="0" w:line="276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B4327D">
        <w:rPr>
          <w:rFonts w:eastAsia="Times New Roman" w:cstheme="minorHAnsi"/>
          <w:sz w:val="24"/>
          <w:szCs w:val="24"/>
          <w:lang w:eastAsia="ar-SA"/>
        </w:rPr>
        <w:t>Wykonawca dostarczy wraz z dostawą wyrobów szczegółową instrukcję w języku polskim opisującą zasady postępowania z nowymi narzędziami przed pierwszym użyciem oraz postępowanie z instrumentami w trakcie użycia. Szczegółowe informacje mają dotyczyć mycia, dezynfekcji, sterylizacji i konserwacji narzędzi.</w:t>
      </w:r>
    </w:p>
    <w:p w14:paraId="248BDD54" w14:textId="0ED01AA4" w:rsidR="00B4327D" w:rsidRPr="00B4327D" w:rsidRDefault="00B4327D" w:rsidP="00B4327D">
      <w:pPr>
        <w:numPr>
          <w:ilvl w:val="0"/>
          <w:numId w:val="35"/>
        </w:numPr>
        <w:suppressAutoHyphens/>
        <w:spacing w:after="0" w:line="276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B4327D">
        <w:rPr>
          <w:rFonts w:eastAsia="Times New Roman" w:cstheme="minorHAnsi"/>
          <w:sz w:val="24"/>
          <w:szCs w:val="24"/>
          <w:lang w:eastAsia="ar-SA"/>
        </w:rPr>
        <w:t xml:space="preserve">Zamawiający wymaga umieszczenia obowiązkowo numeru katalogowego i nazwy producenta wyrobu w formularzu </w:t>
      </w:r>
      <w:r w:rsidR="00B1749E">
        <w:rPr>
          <w:rFonts w:eastAsia="Times New Roman" w:cstheme="minorHAnsi"/>
          <w:sz w:val="24"/>
          <w:szCs w:val="24"/>
          <w:lang w:eastAsia="ar-SA"/>
        </w:rPr>
        <w:t>asortymentowo-</w:t>
      </w:r>
      <w:r w:rsidRPr="00B4327D">
        <w:rPr>
          <w:rFonts w:eastAsia="Times New Roman" w:cstheme="minorHAnsi"/>
          <w:sz w:val="24"/>
          <w:szCs w:val="24"/>
          <w:lang w:eastAsia="ar-SA"/>
        </w:rPr>
        <w:t>cenowym.</w:t>
      </w:r>
    </w:p>
    <w:p w14:paraId="7F6FE3D9" w14:textId="1A2F80ED" w:rsidR="00B4327D" w:rsidRPr="00B4327D" w:rsidRDefault="00B4327D" w:rsidP="00B4327D">
      <w:pPr>
        <w:numPr>
          <w:ilvl w:val="0"/>
          <w:numId w:val="35"/>
        </w:numPr>
        <w:suppressAutoHyphens/>
        <w:spacing w:after="0" w:line="276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B4327D">
        <w:rPr>
          <w:rFonts w:eastAsia="Times New Roman" w:cstheme="minorHAnsi"/>
          <w:sz w:val="24"/>
          <w:szCs w:val="24"/>
          <w:lang w:eastAsia="ar-SA"/>
        </w:rPr>
        <w:t xml:space="preserve">Zamawiający wymaga 24 miesięcznego okresu gwarancji na produkty wskazane w formularzu </w:t>
      </w:r>
      <w:r w:rsidR="00B1749E">
        <w:rPr>
          <w:rFonts w:eastAsia="Times New Roman" w:cstheme="minorHAnsi"/>
          <w:sz w:val="24"/>
          <w:szCs w:val="24"/>
          <w:lang w:eastAsia="ar-SA"/>
        </w:rPr>
        <w:t>asortymentowo-</w:t>
      </w:r>
      <w:r w:rsidRPr="00B4327D">
        <w:rPr>
          <w:rFonts w:eastAsia="Times New Roman" w:cstheme="minorHAnsi"/>
          <w:sz w:val="24"/>
          <w:szCs w:val="24"/>
          <w:lang w:eastAsia="ar-SA"/>
        </w:rPr>
        <w:t>cenowym.</w:t>
      </w:r>
    </w:p>
    <w:p w14:paraId="6F7C7FE2" w14:textId="77777777" w:rsidR="00B4327D" w:rsidRDefault="00B4327D" w:rsidP="00B4327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eastAsia="Times New Roman" w:cs="Calibri"/>
          <w:i/>
        </w:rPr>
      </w:pPr>
    </w:p>
    <w:p w14:paraId="2228CF6F" w14:textId="77777777" w:rsidR="00B4327D" w:rsidRDefault="00B4327D" w:rsidP="00B4327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eastAsia="Times New Roman" w:cs="Calibri"/>
          <w:i/>
        </w:rPr>
      </w:pPr>
    </w:p>
    <w:p w14:paraId="36EF6860" w14:textId="21F76F17" w:rsidR="00B4327D" w:rsidRDefault="00306401" w:rsidP="00306401">
      <w:pPr>
        <w:keepNext/>
        <w:keepLines/>
        <w:spacing w:before="480" w:after="0" w:line="240" w:lineRule="auto"/>
        <w:jc w:val="right"/>
        <w:outlineLvl w:val="0"/>
        <w:rPr>
          <w:rFonts w:eastAsia="Times New Roman" w:cs="Calibri"/>
          <w:i/>
        </w:rPr>
      </w:pPr>
      <w:r w:rsidRPr="00306401">
        <w:rPr>
          <w:rFonts w:eastAsia="Times New Roman" w:cs="Calibri"/>
          <w:i/>
        </w:rPr>
        <w:t>Załącznik nr 2</w:t>
      </w:r>
      <w:r>
        <w:rPr>
          <w:rFonts w:eastAsia="Times New Roman" w:cs="Calibri"/>
          <w:i/>
        </w:rPr>
        <w:t>b</w:t>
      </w:r>
      <w:r w:rsidRPr="00306401">
        <w:rPr>
          <w:rFonts w:eastAsia="Times New Roman" w:cs="Calibri"/>
          <w:i/>
        </w:rPr>
        <w:t xml:space="preserve"> do SWZ      </w:t>
      </w:r>
    </w:p>
    <w:p w14:paraId="74A24118" w14:textId="77777777" w:rsidR="00B4327D" w:rsidRDefault="00B4327D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</w:p>
    <w:p w14:paraId="52A4E1F3" w14:textId="74DF00A9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6AA5F3A8" w14:textId="77777777" w:rsidR="00B4327D" w:rsidRDefault="00B4327D" w:rsidP="00B4327D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70D55F3" w14:textId="642E98BA" w:rsidR="00B4327D" w:rsidRDefault="00B4327D" w:rsidP="00B4327D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05A72F16" w14:textId="77777777" w:rsidR="00B4327D" w:rsidRDefault="00B4327D" w:rsidP="00B4327D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306401">
      <w:pPr>
        <w:keepNext/>
        <w:keepLines/>
        <w:spacing w:before="480" w:after="0" w:line="240" w:lineRule="auto"/>
        <w:jc w:val="right"/>
        <w:outlineLvl w:val="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900C15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900C15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900C15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03BD0EFB" w14:textId="7E62BD0B" w:rsidR="00ED0C35" w:rsidRDefault="00ED0C35" w:rsidP="00ED0C35">
      <w:pPr>
        <w:pStyle w:val="Podtytu"/>
        <w:shd w:val="clear" w:color="auto" w:fill="BDD6EE" w:themeFill="accent5" w:themeFillTint="66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ED0C35">
        <w:rPr>
          <w:rFonts w:asciiTheme="minorHAnsi" w:eastAsia="Calibri" w:hAnsiTheme="minorHAnsi" w:cs="Arial"/>
          <w:b/>
          <w:color w:val="000000"/>
          <w:sz w:val="22"/>
          <w:szCs w:val="22"/>
        </w:rPr>
        <w:t>DOSTAWA NARZĘDZI DO ZABIEGÓW NEUROCHIRURGICZNYCH</w:t>
      </w:r>
    </w:p>
    <w:p w14:paraId="4CD90143" w14:textId="4A2EE2BB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proofErr w:type="gramStart"/>
      <w:r w:rsidRPr="00F73CD4">
        <w:rPr>
          <w:rFonts w:eastAsia="Times New Roman" w:cs="Tahoma"/>
          <w:bCs/>
          <w:iCs/>
          <w:lang w:eastAsia="pl-PL"/>
        </w:rPr>
        <w:t xml:space="preserve">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</w:t>
      </w:r>
      <w:proofErr w:type="gramEnd"/>
      <w:r w:rsidRPr="00F73CD4">
        <w:rPr>
          <w:rFonts w:eastAsia="Times New Roman" w:cs="Tahoma"/>
          <w:b/>
          <w:i/>
          <w:u w:val="single"/>
          <w:lang w:eastAsia="pl-PL"/>
        </w:rPr>
        <w:t xml:space="preserve">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</w:t>
      </w:r>
      <w:proofErr w:type="gramStart"/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</w:t>
      </w:r>
      <w:r w:rsidRPr="00900C15">
        <w:rPr>
          <w:rFonts w:eastAsia="Times New Roman" w:cs="Tahoma"/>
          <w:bCs/>
          <w:iCs/>
          <w:color w:val="000000" w:themeColor="text1"/>
          <w:sz w:val="20"/>
          <w:szCs w:val="20"/>
          <w:bdr w:val="single" w:sz="4" w:space="0" w:color="auto"/>
          <w:lang w:eastAsia="pl-PL"/>
        </w:rPr>
        <w:t>.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</w:t>
      </w:r>
      <w:proofErr w:type="gram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SWZ  polegam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</w:t>
      </w:r>
      <w:proofErr w:type="gram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się  podlega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6" w:name="_Hlk132195177"/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bookmarkEnd w:id="6"/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306401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83ED34B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823A81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AB1953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AB1953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306401" w:rsidRDefault="002A1D44" w:rsidP="00306401">
      <w:pPr>
        <w:spacing w:after="0"/>
        <w:rPr>
          <w:b/>
          <w:bCs/>
        </w:rPr>
      </w:pPr>
      <w:r w:rsidRPr="00306401">
        <w:rPr>
          <w:b/>
          <w:bCs/>
        </w:rPr>
        <w:t>Szpitalem Specjalistycznym w Pile im. Stanisława Staszica</w:t>
      </w:r>
    </w:p>
    <w:p w14:paraId="7FD3A822" w14:textId="77777777" w:rsidR="002A1D44" w:rsidRPr="00306401" w:rsidRDefault="002A1D44" w:rsidP="00306401">
      <w:pPr>
        <w:spacing w:after="0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  <w:r w:rsidRPr="00306401">
        <w:rPr>
          <w:b/>
          <w:bCs/>
        </w:rPr>
        <w:t>64-920</w:t>
      </w:r>
      <w:r w:rsidRPr="00306401">
        <w:rPr>
          <w:rFonts w:eastAsia="Times New Roman" w:cs="Times New Roman"/>
          <w:b/>
          <w:bCs/>
          <w:i/>
          <w:sz w:val="24"/>
          <w:szCs w:val="24"/>
          <w:lang w:eastAsia="pl-PL"/>
        </w:rPr>
        <w:t xml:space="preserve"> Piła, ul. Rydygiera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AB1953">
        <w:rPr>
          <w:rFonts w:eastAsia="Calibri" w:cs="Times New Roman"/>
          <w:sz w:val="24"/>
          <w:szCs w:val="24"/>
        </w:rPr>
        <w:t>…….</w:t>
      </w:r>
      <w:proofErr w:type="gramEnd"/>
      <w:r w:rsidRPr="00AB1953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AB1953">
        <w:rPr>
          <w:rFonts w:eastAsia="Calibri" w:cs="Times New Roman"/>
          <w:sz w:val="24"/>
          <w:szCs w:val="24"/>
        </w:rPr>
        <w:t>…, ….</w:t>
      </w:r>
      <w:proofErr w:type="gramEnd"/>
      <w:r w:rsidRPr="00AB1953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306401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306401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2E3ADECC" w:rsidR="002A1D44" w:rsidRPr="00086BEC" w:rsidRDefault="002A1D44" w:rsidP="006A64D2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ED0C35" w:rsidRPr="00ED0C35">
        <w:rPr>
          <w:rFonts w:eastAsia="Times New Roman" w:cs="Times New Roman"/>
          <w:b/>
          <w:sz w:val="24"/>
          <w:szCs w:val="24"/>
          <w:lang w:eastAsia="pl-PL"/>
        </w:rPr>
        <w:t>DOSTAWA NARZĘDZI DO ZABIEGÓW NEUROCHIRURGICZNYCH</w:t>
      </w:r>
      <w:r w:rsidR="008A7E8B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8A7E8B" w:rsidRPr="008A7E8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8A7E8B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="00ED0C35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823A81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710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974CF3F" w14:textId="77777777" w:rsidR="00891F4C" w:rsidRPr="00AB1953" w:rsidRDefault="00891F4C" w:rsidP="00891F4C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313F59B0" w14:textId="54DF0684" w:rsidR="00891F4C" w:rsidRPr="00AB1953" w:rsidRDefault="00891F4C" w:rsidP="00891F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ED0C35">
        <w:rPr>
          <w:rFonts w:eastAsia="Times New Roman" w:cs="Times New Roman"/>
          <w:b/>
          <w:bCs/>
          <w:sz w:val="24"/>
          <w:szCs w:val="24"/>
          <w:lang w:eastAsia="pl-PL"/>
        </w:rPr>
        <w:t>narzędzia do zabiegów neurochirurgicznych</w:t>
      </w:r>
      <w:r w:rsidR="007F4A4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 potrzeby Bloku Operacyjnego</w:t>
      </w:r>
      <w:r w:rsidRPr="00C3284D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78491213" w14:textId="77777777" w:rsidR="00B1749E" w:rsidRDefault="00891F4C" w:rsidP="00B1749E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26B60D27" w14:textId="77183F80" w:rsidR="00B1749E" w:rsidRPr="00B1749E" w:rsidRDefault="00B1749E" w:rsidP="00B1749E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B1749E">
        <w:rPr>
          <w:rFonts w:eastAsia="Times New Roman" w:cs="Times New Roman"/>
          <w:sz w:val="24"/>
          <w:szCs w:val="24"/>
          <w:lang w:eastAsia="pl-PL"/>
        </w:rPr>
        <w:t>Wykonawca dostarczy wraz z dostawą wyrobów szczegółową instrukcję w języku polskim opisującą zasady postępowania z nowymi narzędziami przed pierwszym użyciem oraz postępowanie z instrumentami w trakcie użycia. Szczegółowe informacje mają dotyczyć mycia, dezynfekcji, sterylizacji i konserwacji narzędzi.</w:t>
      </w:r>
    </w:p>
    <w:p w14:paraId="1DF9A08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0C8F4EB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3BC03C34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19F168BC" w14:textId="77777777" w:rsidR="00B1749E" w:rsidRDefault="00B1749E" w:rsidP="00CE1A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A05CD63" w14:textId="77777777" w:rsidR="00B1749E" w:rsidRDefault="00B1749E" w:rsidP="00CE1A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59E49AF7" w14:textId="77777777" w:rsidR="00B1749E" w:rsidRDefault="00B1749E" w:rsidP="00CE1A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58D26531" w14:textId="0BA52762" w:rsidR="00891F4C" w:rsidRPr="00AB1953" w:rsidRDefault="00891F4C" w:rsidP="00CE1A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1A80DB86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C726B89" w14:textId="4B81BE4C" w:rsidR="00891F4C" w:rsidRPr="00AB1953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ED0C35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2C944807" w14:textId="77777777" w:rsidR="00891F4C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0A4B7DDF" w14:textId="6055864B" w:rsidR="00ED0C35" w:rsidRPr="00AB1953" w:rsidRDefault="00ED0C35" w:rsidP="00ED0C35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Zadanie …. </w:t>
      </w:r>
    </w:p>
    <w:p w14:paraId="2F8D6689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3D0F1B9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74DE66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4E9573C9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AB1953" w:rsidRDefault="00891F4C" w:rsidP="00891F4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19D7E973" w14:textId="77777777" w:rsidR="00891F4C" w:rsidRPr="00AB1953" w:rsidRDefault="00891F4C" w:rsidP="00891F4C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0D6D4009" w14:textId="4B4D3A4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Wykonawca zobowiązuje się do okresowego dostarczania przedmiotu umowy</w:t>
      </w:r>
      <w:r w:rsidR="00CE1AB4">
        <w:rPr>
          <w:rFonts w:ascii="Calibri" w:eastAsia="Times New Roman" w:hAnsi="Calibri" w:cs="Times New Roman"/>
          <w:sz w:val="24"/>
          <w:szCs w:val="24"/>
        </w:rPr>
        <w:t xml:space="preserve"> do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E1AB4">
        <w:rPr>
          <w:rFonts w:ascii="Calibri" w:eastAsia="Times New Roman" w:hAnsi="Calibri" w:cs="Times New Roman"/>
          <w:sz w:val="24"/>
          <w:szCs w:val="24"/>
        </w:rPr>
        <w:t>siedziby</w:t>
      </w:r>
      <w:r w:rsidR="00ED0C3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A7BBC">
        <w:rPr>
          <w:rFonts w:ascii="Calibri" w:eastAsia="Times New Roman" w:hAnsi="Calibri" w:cs="Times New Roman"/>
          <w:sz w:val="24"/>
          <w:szCs w:val="24"/>
        </w:rPr>
        <w:t>Zamawiającego od poniedziałku do piątku w godz. 7:30 do 14:30, własnym transportem lub za pośrednictwem firmy kurierskiej, na własny koszt i ryzyko.</w:t>
      </w:r>
      <w:r w:rsidR="00CE1AB4" w:rsidRPr="00CE1AB4">
        <w:t xml:space="preserve"> </w:t>
      </w:r>
      <w:r w:rsidR="00CE1AB4" w:rsidRPr="00CE1AB4">
        <w:rPr>
          <w:rFonts w:ascii="Calibri" w:eastAsia="Times New Roman" w:hAnsi="Calibri" w:cs="Times New Roman"/>
          <w:sz w:val="24"/>
          <w:szCs w:val="24"/>
        </w:rPr>
        <w:t>Przyjęcie towaru nastąpi w Dziale Gospodarczym i Zaopatrzenia Szpitalne Szpitala Specjalistycznego w Pile.</w:t>
      </w:r>
    </w:p>
    <w:p w14:paraId="333E4AF3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0979BD5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o odpowiedniej jakości i ilości w ciągu </w:t>
      </w:r>
      <w:r>
        <w:rPr>
          <w:rFonts w:ascii="Calibri" w:eastAsia="Times New Roman" w:hAnsi="Calibri" w:cs="Times New Roman"/>
          <w:b/>
          <w:sz w:val="24"/>
          <w:szCs w:val="24"/>
        </w:rPr>
        <w:t>……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ED0C35">
        <w:rPr>
          <w:rFonts w:ascii="Calibri" w:eastAsia="Times New Roman" w:hAnsi="Calibri" w:cs="Times New Roman"/>
          <w:b/>
          <w:sz w:val="24"/>
          <w:szCs w:val="24"/>
        </w:rPr>
        <w:t>tygodni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od daty złożenia zamówienia 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>(kryterium oceniane)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CE1AB4" w:rsidRPr="00CE1AB4">
        <w:rPr>
          <w:rFonts w:ascii="Calibri" w:eastAsia="Times New Roman" w:hAnsi="Calibri" w:cs="Times New Roman"/>
          <w:sz w:val="24"/>
          <w:szCs w:val="24"/>
        </w:rPr>
        <w:t>Jeżeli dostawa wypada w dniu wolnym od pracy lub poza godzinami pracy Działu Gospodarczego i Zaopatrzenia, dostawa nastąpi w pierwszym dniu roboczym po wyznaczonym terminie.</w:t>
      </w:r>
    </w:p>
    <w:p w14:paraId="374EE477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689F6E89" w14:textId="5A34BB3B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CE1AB4">
        <w:rPr>
          <w:rFonts w:ascii="Calibri" w:eastAsia="Times New Roman" w:hAnsi="Calibri" w:cs="Times New Roman"/>
          <w:b/>
          <w:sz w:val="24"/>
          <w:szCs w:val="24"/>
        </w:rPr>
        <w:t>4 tygodni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BA7BBC">
        <w:rPr>
          <w:rFonts w:ascii="Calibri" w:eastAsia="Times New Roman" w:hAnsi="Calibri" w:cs="Times New Roman"/>
          <w:sz w:val="24"/>
          <w:szCs w:val="24"/>
        </w:rPr>
        <w:t>od daty zawiadomienia, nie obciążając Zamawiającego kosztami wymiany.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47607EA5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5BE769F7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7D90364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640B4A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lastRenderedPageBreak/>
        <w:t xml:space="preserve">Zamawiający może odmówić odbioru przedmiotu umowy lub jego części w przypadku, </w:t>
      </w:r>
      <w:r w:rsidRPr="00BA7BBC"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811E84F" w14:textId="6D02B64C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</w:t>
      </w:r>
      <w:r w:rsidR="00B4327D">
        <w:rPr>
          <w:rFonts w:ascii="Calibri" w:eastAsia="Times New Roman" w:hAnsi="Calibri" w:cs="Times New Roman"/>
          <w:sz w:val="24"/>
          <w:szCs w:val="24"/>
        </w:rPr>
        <w:t> </w:t>
      </w:r>
      <w:r w:rsidRPr="00BA7BBC">
        <w:rPr>
          <w:rFonts w:ascii="Calibri" w:eastAsia="Times New Roman" w:hAnsi="Calibri" w:cs="Times New Roman"/>
          <w:sz w:val="24"/>
          <w:szCs w:val="24"/>
        </w:rPr>
        <w:t>ilościach i asortymencie niezrealizowanej w terminie dostawy.</w:t>
      </w:r>
    </w:p>
    <w:p w14:paraId="3209CAAF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47A04D07" w14:textId="77777777" w:rsidR="00725200" w:rsidRDefault="00BA7BBC" w:rsidP="00725200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 Wykonawca zobowiązany jest do zwrotu Zamawiającemu różnicy pomiędzy ceną zakupu interwencyjnego i ceną dostawy oraz kary umownej za o zwłokę w wysokości określonej w § 8 ust. 1.</w:t>
      </w:r>
    </w:p>
    <w:p w14:paraId="62D9905D" w14:textId="77777777" w:rsidR="00725200" w:rsidRDefault="00725200" w:rsidP="00725200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25200">
        <w:rPr>
          <w:rFonts w:ascii="Calibri" w:eastAsia="Times New Roman" w:hAnsi="Calibri" w:cs="Times New Roman"/>
          <w:sz w:val="24"/>
          <w:szCs w:val="24"/>
        </w:rPr>
        <w:t xml:space="preserve">Wykonawca udziela </w:t>
      </w:r>
      <w:r w:rsidRPr="00772EE9">
        <w:rPr>
          <w:rFonts w:ascii="Calibri" w:eastAsia="Times New Roman" w:hAnsi="Calibri" w:cs="Times New Roman"/>
          <w:b/>
          <w:bCs/>
          <w:sz w:val="24"/>
          <w:szCs w:val="24"/>
        </w:rPr>
        <w:t>24-miesięcznej gwarancji</w:t>
      </w:r>
      <w:r w:rsidRPr="00725200">
        <w:rPr>
          <w:rFonts w:ascii="Calibri" w:eastAsia="Times New Roman" w:hAnsi="Calibri" w:cs="Times New Roman"/>
          <w:sz w:val="24"/>
          <w:szCs w:val="24"/>
        </w:rPr>
        <w:t xml:space="preserve"> na dostarczon</w:t>
      </w:r>
      <w:r>
        <w:rPr>
          <w:rFonts w:ascii="Calibri" w:eastAsia="Times New Roman" w:hAnsi="Calibri" w:cs="Times New Roman"/>
          <w:sz w:val="24"/>
          <w:szCs w:val="24"/>
        </w:rPr>
        <w:t xml:space="preserve">e narzędzia </w:t>
      </w:r>
      <w:r w:rsidRPr="00725200">
        <w:rPr>
          <w:rFonts w:ascii="Calibri" w:eastAsia="Times New Roman" w:hAnsi="Calibri" w:cs="Times New Roman"/>
          <w:sz w:val="24"/>
          <w:szCs w:val="24"/>
        </w:rPr>
        <w:t>(licząc od daty dostawy).</w:t>
      </w:r>
    </w:p>
    <w:p w14:paraId="0131AA3B" w14:textId="77777777" w:rsidR="00725200" w:rsidRDefault="00725200" w:rsidP="00725200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25200">
        <w:rPr>
          <w:rFonts w:ascii="Calibri" w:eastAsia="Times New Roman" w:hAnsi="Calibri" w:cs="Times New Roman"/>
          <w:sz w:val="24"/>
          <w:szCs w:val="24"/>
        </w:rPr>
        <w:t>Gwarancja obejmuje wszelkie uszkodzenia, wynikające z normalnego użytkowania – w okresie objętym gwarancją.</w:t>
      </w:r>
    </w:p>
    <w:p w14:paraId="092E03DC" w14:textId="3D4CB543" w:rsidR="00725200" w:rsidRDefault="00725200" w:rsidP="00725200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25200">
        <w:rPr>
          <w:rFonts w:ascii="Calibri" w:eastAsia="Times New Roman" w:hAnsi="Calibri" w:cs="Times New Roman"/>
          <w:sz w:val="24"/>
          <w:szCs w:val="24"/>
        </w:rPr>
        <w:t>Wykonawca zobowiązuje się do niezwłocznego podjęcia czynności mających na celu usunięcie wady (z</w:t>
      </w:r>
      <w:r>
        <w:rPr>
          <w:rFonts w:ascii="Calibri" w:eastAsia="Times New Roman" w:hAnsi="Calibri" w:cs="Times New Roman"/>
          <w:sz w:val="24"/>
          <w:szCs w:val="24"/>
        </w:rPr>
        <w:t> </w:t>
      </w:r>
      <w:r w:rsidRPr="00725200">
        <w:rPr>
          <w:rFonts w:ascii="Calibri" w:eastAsia="Times New Roman" w:hAnsi="Calibri" w:cs="Times New Roman"/>
          <w:sz w:val="24"/>
          <w:szCs w:val="24"/>
        </w:rPr>
        <w:t>wyłączeniem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25200">
        <w:rPr>
          <w:rFonts w:ascii="Calibri" w:eastAsia="Times New Roman" w:hAnsi="Calibri" w:cs="Times New Roman"/>
          <w:sz w:val="24"/>
          <w:szCs w:val="24"/>
        </w:rPr>
        <w:t xml:space="preserve">dni ustawowo wolnych od pracy), niezależnie od faktu potwierdzenia, bądź też </w:t>
      </w:r>
      <w:r w:rsidRPr="00725200">
        <w:rPr>
          <w:rFonts w:ascii="Calibri" w:eastAsia="Times New Roman" w:hAnsi="Calibri" w:cs="Times New Roman"/>
          <w:sz w:val="24"/>
          <w:szCs w:val="24"/>
        </w:rPr>
        <w:t>niepotwierdzenia</w:t>
      </w:r>
      <w:r w:rsidRPr="00725200">
        <w:rPr>
          <w:rFonts w:ascii="Calibri" w:eastAsia="Times New Roman" w:hAnsi="Calibri" w:cs="Times New Roman"/>
          <w:sz w:val="24"/>
          <w:szCs w:val="24"/>
        </w:rPr>
        <w:t xml:space="preserve"> przez Wykonawcę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25200">
        <w:rPr>
          <w:rFonts w:ascii="Calibri" w:eastAsia="Times New Roman" w:hAnsi="Calibri" w:cs="Times New Roman"/>
          <w:sz w:val="24"/>
          <w:szCs w:val="24"/>
        </w:rPr>
        <w:t>otrzymania zgłoszenia</w:t>
      </w:r>
      <w:r w:rsidR="00772EE9">
        <w:rPr>
          <w:rFonts w:ascii="Calibri" w:eastAsia="Times New Roman" w:hAnsi="Calibri" w:cs="Times New Roman"/>
          <w:sz w:val="24"/>
          <w:szCs w:val="24"/>
        </w:rPr>
        <w:t>, ale nie dłużej niż w ciągu 2 dni roboczych.</w:t>
      </w:r>
    </w:p>
    <w:p w14:paraId="08845718" w14:textId="338179E5" w:rsidR="00725200" w:rsidRPr="00725200" w:rsidRDefault="00725200" w:rsidP="00725200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25200">
        <w:rPr>
          <w:rFonts w:ascii="Calibri" w:eastAsia="Times New Roman" w:hAnsi="Calibri" w:cs="Times New Roman"/>
          <w:sz w:val="24"/>
          <w:szCs w:val="24"/>
        </w:rPr>
        <w:t xml:space="preserve">Wykonawca zobowiązuje się do przyjmowania zgłoszeń o </w:t>
      </w:r>
      <w:r w:rsidRPr="00725200">
        <w:rPr>
          <w:rFonts w:ascii="Calibri" w:eastAsia="Times New Roman" w:hAnsi="Calibri" w:cs="Times New Roman"/>
          <w:sz w:val="24"/>
          <w:szCs w:val="24"/>
        </w:rPr>
        <w:t>wadach</w:t>
      </w:r>
      <w:r w:rsidRPr="00725200">
        <w:rPr>
          <w:rFonts w:ascii="Calibri" w:eastAsia="Times New Roman" w:hAnsi="Calibri" w:cs="Times New Roman"/>
          <w:sz w:val="24"/>
          <w:szCs w:val="24"/>
        </w:rPr>
        <w:t xml:space="preserve"> sprzętu i konieczności dokonania ich naprawy przez 5 dni w tygodniu. Zgłoszenie telefoniczne powinno być potwierdzone mailem.</w:t>
      </w:r>
    </w:p>
    <w:p w14:paraId="7313DEBD" w14:textId="2CA13A0B" w:rsidR="00725200" w:rsidRDefault="00725200" w:rsidP="00725200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25200">
        <w:rPr>
          <w:rFonts w:ascii="Calibri" w:eastAsia="Times New Roman" w:hAnsi="Calibri" w:cs="Times New Roman"/>
          <w:sz w:val="24"/>
          <w:szCs w:val="24"/>
        </w:rPr>
        <w:t xml:space="preserve">Naprawa gwarancyjna nie może przekroczyć </w:t>
      </w:r>
      <w:r w:rsidRPr="00107435">
        <w:rPr>
          <w:rFonts w:ascii="Calibri" w:eastAsia="Times New Roman" w:hAnsi="Calibri" w:cs="Times New Roman"/>
          <w:sz w:val="24"/>
          <w:szCs w:val="24"/>
        </w:rPr>
        <w:t>7 dni</w:t>
      </w:r>
      <w:r w:rsidRPr="00725200">
        <w:rPr>
          <w:rFonts w:ascii="Calibri" w:eastAsia="Times New Roman" w:hAnsi="Calibri" w:cs="Times New Roman"/>
          <w:sz w:val="24"/>
          <w:szCs w:val="24"/>
        </w:rPr>
        <w:t xml:space="preserve"> roboczych od dnia przystąpienia do naprawy / odbioru narzędzia przez Wykonawcę</w:t>
      </w:r>
      <w:r w:rsidR="00B50778">
        <w:rPr>
          <w:rFonts w:ascii="Calibri" w:eastAsia="Times New Roman" w:hAnsi="Calibri" w:cs="Times New Roman"/>
          <w:sz w:val="24"/>
          <w:szCs w:val="24"/>
        </w:rPr>
        <w:t>,</w:t>
      </w:r>
      <w:r w:rsidRPr="0072520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87D64" w:rsidRPr="00772EE9">
        <w:rPr>
          <w:rFonts w:ascii="Calibri" w:eastAsia="Times New Roman" w:hAnsi="Calibri" w:cs="Times New Roman"/>
          <w:sz w:val="24"/>
          <w:szCs w:val="24"/>
        </w:rPr>
        <w:t xml:space="preserve">a w uzasadnionych przypadkach w terminie </w:t>
      </w:r>
      <w:r w:rsidR="00B50778">
        <w:rPr>
          <w:rFonts w:ascii="Calibri" w:eastAsia="Times New Roman" w:hAnsi="Calibri" w:cs="Times New Roman"/>
          <w:sz w:val="24"/>
          <w:szCs w:val="24"/>
        </w:rPr>
        <w:t xml:space="preserve">ustalonym </w:t>
      </w:r>
      <w:r w:rsidR="00B1749E">
        <w:rPr>
          <w:rFonts w:ascii="Calibri" w:eastAsia="Times New Roman" w:hAnsi="Calibri" w:cs="Times New Roman"/>
          <w:sz w:val="24"/>
          <w:szCs w:val="24"/>
        </w:rPr>
        <w:t xml:space="preserve">wcześniej </w:t>
      </w:r>
      <w:r w:rsidR="00B50778">
        <w:rPr>
          <w:rFonts w:ascii="Calibri" w:eastAsia="Times New Roman" w:hAnsi="Calibri" w:cs="Times New Roman"/>
          <w:sz w:val="24"/>
          <w:szCs w:val="24"/>
        </w:rPr>
        <w:t>z</w:t>
      </w:r>
      <w:r w:rsidR="00B4327D">
        <w:rPr>
          <w:rFonts w:ascii="Calibri" w:eastAsia="Times New Roman" w:hAnsi="Calibri" w:cs="Times New Roman"/>
          <w:sz w:val="24"/>
          <w:szCs w:val="24"/>
        </w:rPr>
        <w:t> </w:t>
      </w:r>
      <w:r w:rsidR="00D87D64" w:rsidRPr="00772EE9">
        <w:rPr>
          <w:rFonts w:ascii="Calibri" w:eastAsia="Times New Roman" w:hAnsi="Calibri" w:cs="Times New Roman"/>
          <w:sz w:val="24"/>
          <w:szCs w:val="24"/>
        </w:rPr>
        <w:t>Zamawiając</w:t>
      </w:r>
      <w:r w:rsidR="00B50778">
        <w:rPr>
          <w:rFonts w:ascii="Calibri" w:eastAsia="Times New Roman" w:hAnsi="Calibri" w:cs="Times New Roman"/>
          <w:sz w:val="24"/>
          <w:szCs w:val="24"/>
        </w:rPr>
        <w:t>ym</w:t>
      </w:r>
      <w:r w:rsidR="00D87D64">
        <w:rPr>
          <w:rFonts w:ascii="Calibri" w:eastAsia="Times New Roman" w:hAnsi="Calibri" w:cs="Times New Roman"/>
          <w:sz w:val="24"/>
          <w:szCs w:val="24"/>
        </w:rPr>
        <w:t>.</w:t>
      </w:r>
    </w:p>
    <w:p w14:paraId="71B84843" w14:textId="1062B05E" w:rsidR="00772EE9" w:rsidRDefault="00725200" w:rsidP="00772EE9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25200">
        <w:rPr>
          <w:rFonts w:ascii="Calibri" w:eastAsia="Times New Roman" w:hAnsi="Calibri" w:cs="Times New Roman"/>
          <w:sz w:val="24"/>
          <w:szCs w:val="24"/>
        </w:rPr>
        <w:t xml:space="preserve">W przypadku, gdy naprawa przekroczy termin </w:t>
      </w:r>
      <w:r w:rsidR="00B50778">
        <w:rPr>
          <w:rFonts w:ascii="Calibri" w:eastAsia="Times New Roman" w:hAnsi="Calibri" w:cs="Times New Roman"/>
          <w:sz w:val="24"/>
          <w:szCs w:val="24"/>
        </w:rPr>
        <w:t>wskazany w ust. 17</w:t>
      </w:r>
      <w:r w:rsidRPr="00725200">
        <w:rPr>
          <w:rFonts w:ascii="Calibri" w:eastAsia="Times New Roman" w:hAnsi="Calibri" w:cs="Times New Roman"/>
          <w:sz w:val="24"/>
          <w:szCs w:val="24"/>
        </w:rPr>
        <w:t>, Wykonawca zapewni sprzęt zastępczy, o porównywalnych parametrach.</w:t>
      </w:r>
    </w:p>
    <w:p w14:paraId="536B2ADF" w14:textId="4CE11390" w:rsidR="00772EE9" w:rsidRPr="00772EE9" w:rsidRDefault="00772EE9" w:rsidP="00772EE9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72EE9">
        <w:rPr>
          <w:rFonts w:ascii="Calibri" w:eastAsia="Times New Roman" w:hAnsi="Calibri" w:cs="Times New Roman"/>
          <w:sz w:val="24"/>
          <w:szCs w:val="24"/>
        </w:rPr>
        <w:t>Naprawy wykonywane poza miejscem użytkowania sprzętu będą dokonywane wg następujących zasad:</w:t>
      </w:r>
    </w:p>
    <w:p w14:paraId="4A4EAF88" w14:textId="77777777" w:rsidR="00772EE9" w:rsidRDefault="00772EE9" w:rsidP="00772EE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72EE9">
        <w:rPr>
          <w:rFonts w:ascii="Calibri" w:eastAsia="Times New Roman" w:hAnsi="Calibri" w:cs="Times New Roman"/>
          <w:sz w:val="24"/>
          <w:szCs w:val="24"/>
        </w:rPr>
        <w:t>Wykonawca zapewni odbiór na własny koszt wadliwego sprzętu w terminie nieprzekraczającym dwóch dni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72EE9">
        <w:rPr>
          <w:rFonts w:ascii="Calibri" w:eastAsia="Times New Roman" w:hAnsi="Calibri" w:cs="Times New Roman"/>
          <w:sz w:val="24"/>
          <w:szCs w:val="24"/>
        </w:rPr>
        <w:t>roboczych od dnia zgłoszenia wady;</w:t>
      </w:r>
    </w:p>
    <w:p w14:paraId="4F793D77" w14:textId="72E827A5" w:rsidR="00772EE9" w:rsidRDefault="00772EE9" w:rsidP="00772EE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72EE9">
        <w:rPr>
          <w:rFonts w:ascii="Calibri" w:eastAsia="Times New Roman" w:hAnsi="Calibri" w:cs="Times New Roman"/>
          <w:sz w:val="24"/>
          <w:szCs w:val="24"/>
        </w:rPr>
        <w:t>Wykonawca zapewni dostawę naprawionego sprzętu na własny koszt w terminie nieprzekraczającym dwóch dni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72EE9">
        <w:rPr>
          <w:rFonts w:ascii="Calibri" w:eastAsia="Times New Roman" w:hAnsi="Calibri" w:cs="Times New Roman"/>
          <w:sz w:val="24"/>
          <w:szCs w:val="24"/>
        </w:rPr>
        <w:t xml:space="preserve">roboczych od dnia usunięcia wady z zastrzeżeniem ust. </w:t>
      </w:r>
      <w:r>
        <w:rPr>
          <w:rFonts w:ascii="Calibri" w:eastAsia="Times New Roman" w:hAnsi="Calibri" w:cs="Times New Roman"/>
          <w:sz w:val="24"/>
          <w:szCs w:val="24"/>
        </w:rPr>
        <w:t>17</w:t>
      </w:r>
      <w:r w:rsidRPr="00772EE9">
        <w:rPr>
          <w:rFonts w:ascii="Calibri" w:eastAsia="Times New Roman" w:hAnsi="Calibri" w:cs="Times New Roman"/>
          <w:sz w:val="24"/>
          <w:szCs w:val="24"/>
        </w:rPr>
        <w:t xml:space="preserve">, </w:t>
      </w:r>
    </w:p>
    <w:p w14:paraId="203A0F92" w14:textId="54DF3EDD" w:rsidR="00772EE9" w:rsidRPr="00772EE9" w:rsidRDefault="00772EE9" w:rsidP="00772EE9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72EE9">
        <w:rPr>
          <w:rFonts w:ascii="Calibri" w:eastAsia="Times New Roman" w:hAnsi="Calibri" w:cs="Times New Roman"/>
          <w:sz w:val="24"/>
          <w:szCs w:val="24"/>
        </w:rPr>
        <w:t xml:space="preserve">W przypadku wady sprzętu, która nie została usunięta w terminie </w:t>
      </w:r>
      <w:r w:rsidR="00B50778">
        <w:rPr>
          <w:rFonts w:ascii="Calibri" w:eastAsia="Times New Roman" w:hAnsi="Calibri" w:cs="Times New Roman"/>
          <w:sz w:val="24"/>
          <w:szCs w:val="24"/>
        </w:rPr>
        <w:t xml:space="preserve">maksymalnie </w:t>
      </w:r>
      <w:r w:rsidRPr="00772EE9">
        <w:rPr>
          <w:rFonts w:ascii="Calibri" w:eastAsia="Times New Roman" w:hAnsi="Calibri" w:cs="Times New Roman"/>
          <w:sz w:val="24"/>
          <w:szCs w:val="24"/>
        </w:rPr>
        <w:t>30 dni od dnia zgłoszenia</w:t>
      </w:r>
      <w:r w:rsidR="00B507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72EE9">
        <w:rPr>
          <w:rFonts w:ascii="Calibri" w:eastAsia="Times New Roman" w:hAnsi="Calibri" w:cs="Times New Roman"/>
          <w:sz w:val="24"/>
          <w:szCs w:val="24"/>
        </w:rPr>
        <w:t>lub wystąpienia konieczności dwukrotnego usunięcia tej samej wady zarówno w zakresie naprawy, jak i wymiany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72EE9">
        <w:rPr>
          <w:rFonts w:ascii="Calibri" w:eastAsia="Times New Roman" w:hAnsi="Calibri" w:cs="Times New Roman"/>
          <w:sz w:val="24"/>
          <w:szCs w:val="24"/>
        </w:rPr>
        <w:t>(części, elementu, podzespołu, itp.), Wykonawca zobowiązuje się do bezzwłocznej wymiany sprzętu na fabrycznie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72EE9">
        <w:rPr>
          <w:rFonts w:ascii="Calibri" w:eastAsia="Times New Roman" w:hAnsi="Calibri" w:cs="Times New Roman"/>
          <w:sz w:val="24"/>
          <w:szCs w:val="24"/>
        </w:rPr>
        <w:t>nowy o parametrach nie gorszych aniżeli wynikające z</w:t>
      </w:r>
      <w:r w:rsidR="00B4327D">
        <w:rPr>
          <w:rFonts w:ascii="Calibri" w:eastAsia="Times New Roman" w:hAnsi="Calibri" w:cs="Times New Roman"/>
          <w:sz w:val="24"/>
          <w:szCs w:val="24"/>
        </w:rPr>
        <w:t> </w:t>
      </w:r>
      <w:r w:rsidRPr="00772EE9">
        <w:rPr>
          <w:rFonts w:ascii="Calibri" w:eastAsia="Times New Roman" w:hAnsi="Calibri" w:cs="Times New Roman"/>
          <w:sz w:val="24"/>
          <w:szCs w:val="24"/>
        </w:rPr>
        <w:t>niniejszej umowy oraz oferty Wykonawcy.</w:t>
      </w:r>
    </w:p>
    <w:p w14:paraId="2E9A201B" w14:textId="61EA7EC4" w:rsidR="00891F4C" w:rsidRPr="00AB1953" w:rsidRDefault="00891F4C" w:rsidP="00891F4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9CE6D72" w14:textId="6A4D8EBE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</w:t>
      </w:r>
      <w:r w:rsidR="00CE1AB4">
        <w:rPr>
          <w:rFonts w:eastAsia="Times New Roman" w:cs="Times New Roman"/>
          <w:bCs/>
          <w:sz w:val="24"/>
          <w:szCs w:val="24"/>
          <w:lang w:eastAsia="pl-PL"/>
        </w:rPr>
        <w:t>Bloku Operacyjnego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tel. (67) 2106 5</w:t>
      </w:r>
      <w:r w:rsidR="00CE1AB4">
        <w:rPr>
          <w:rFonts w:eastAsia="Times New Roman" w:cs="Times New Roman"/>
          <w:bCs/>
          <w:sz w:val="24"/>
          <w:szCs w:val="24"/>
          <w:lang w:eastAsia="pl-PL"/>
        </w:rPr>
        <w:t xml:space="preserve">70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lub </w:t>
      </w:r>
      <w:r w:rsidR="00CE1AB4">
        <w:rPr>
          <w:rFonts w:eastAsia="Times New Roman" w:cs="Times New Roman"/>
          <w:bCs/>
          <w:sz w:val="24"/>
          <w:szCs w:val="24"/>
          <w:lang w:eastAsia="pl-PL"/>
        </w:rPr>
        <w:t>571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</w:p>
    <w:p w14:paraId="2F498CC0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33A96F8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E2D3A2B" w14:textId="04AD7EB5" w:rsidR="00B50778" w:rsidRDefault="00891F4C" w:rsidP="00B5077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niedostarczenia przedmiotu umowy, o którym mowa w § 1, w terminie określonym w § 6 ust. 3, a także w przypadku naruszeń postanowień § 6 ust. </w:t>
      </w:r>
      <w:r w:rsidR="00BA7BBC">
        <w:rPr>
          <w:rFonts w:eastAsia="Times New Roman" w:cs="Times New Roman"/>
          <w:sz w:val="24"/>
          <w:szCs w:val="24"/>
          <w:lang w:eastAsia="pl-PL"/>
        </w:rPr>
        <w:t>5</w:t>
      </w:r>
      <w:r w:rsidR="001276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Wykonawca zapłaci Zamawiającemu karę umowną w wysokości 0,</w:t>
      </w:r>
      <w:r w:rsidR="00107435">
        <w:rPr>
          <w:rFonts w:eastAsia="Times New Roman" w:cs="Times New Roman"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% wartości </w:t>
      </w:r>
      <w:r w:rsidR="00EF650A">
        <w:rPr>
          <w:rFonts w:eastAsia="Times New Roman" w:cs="Times New Roman"/>
          <w:sz w:val="24"/>
          <w:szCs w:val="24"/>
          <w:lang w:eastAsia="pl-PL"/>
        </w:rPr>
        <w:t xml:space="preserve">umownej </w:t>
      </w:r>
      <w:r w:rsidRPr="00AB1953">
        <w:rPr>
          <w:rFonts w:eastAsia="Times New Roman" w:cs="Times New Roman"/>
          <w:sz w:val="24"/>
          <w:szCs w:val="24"/>
          <w:lang w:eastAsia="pl-PL"/>
        </w:rPr>
        <w:t>brutto</w:t>
      </w:r>
      <w:r w:rsidR="00107435" w:rsidRPr="0010743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7435">
        <w:rPr>
          <w:rFonts w:eastAsia="Times New Roman" w:cs="Times New Roman"/>
          <w:sz w:val="24"/>
          <w:szCs w:val="24"/>
          <w:lang w:eastAsia="pl-PL"/>
        </w:rPr>
        <w:t>zadania</w:t>
      </w:r>
      <w:r w:rsidR="00CE1AB4">
        <w:rPr>
          <w:rFonts w:eastAsia="Times New Roman" w:cs="Times New Roman"/>
          <w:sz w:val="24"/>
          <w:szCs w:val="24"/>
          <w:lang w:eastAsia="pl-PL"/>
        </w:rPr>
        <w:t>,</w:t>
      </w:r>
      <w:r w:rsidR="00CE1AB4" w:rsidRPr="00CE1AB4">
        <w:t xml:space="preserve"> </w:t>
      </w:r>
      <w:r w:rsidR="00CE1AB4" w:rsidRPr="00CE1AB4">
        <w:rPr>
          <w:rFonts w:eastAsia="Times New Roman" w:cs="Times New Roman"/>
          <w:sz w:val="24"/>
          <w:szCs w:val="24"/>
          <w:lang w:eastAsia="pl-PL"/>
        </w:rPr>
        <w:t>o któr</w:t>
      </w:r>
      <w:r w:rsidR="00EF650A">
        <w:rPr>
          <w:rFonts w:eastAsia="Times New Roman" w:cs="Times New Roman"/>
          <w:sz w:val="24"/>
          <w:szCs w:val="24"/>
          <w:lang w:eastAsia="pl-PL"/>
        </w:rPr>
        <w:t>ej</w:t>
      </w:r>
      <w:r w:rsidR="00CE1AB4" w:rsidRPr="00CE1AB4">
        <w:rPr>
          <w:rFonts w:eastAsia="Times New Roman" w:cs="Times New Roman"/>
          <w:sz w:val="24"/>
          <w:szCs w:val="24"/>
          <w:lang w:eastAsia="pl-PL"/>
        </w:rPr>
        <w:t xml:space="preserve"> mowa w § </w:t>
      </w:r>
      <w:r w:rsidR="00CE1AB4">
        <w:rPr>
          <w:rFonts w:eastAsia="Times New Roman" w:cs="Times New Roman"/>
          <w:sz w:val="24"/>
          <w:szCs w:val="24"/>
          <w:lang w:eastAsia="pl-PL"/>
        </w:rPr>
        <w:t>4</w:t>
      </w:r>
      <w:r w:rsidR="00CE1AB4" w:rsidRPr="00CE1AB4">
        <w:rPr>
          <w:rFonts w:eastAsia="Times New Roman" w:cs="Times New Roman"/>
          <w:sz w:val="24"/>
          <w:szCs w:val="24"/>
          <w:lang w:eastAsia="pl-PL"/>
        </w:rPr>
        <w:t xml:space="preserve"> ust. 2</w:t>
      </w:r>
      <w:r w:rsidR="00EF650A">
        <w:rPr>
          <w:rFonts w:eastAsia="Times New Roman" w:cs="Times New Roman"/>
          <w:sz w:val="24"/>
          <w:szCs w:val="24"/>
          <w:lang w:eastAsia="pl-PL"/>
        </w:rPr>
        <w:t>,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za każdy dzień zwłoki jednak nie więcej niż 10% wartości</w:t>
      </w:r>
      <w:r w:rsidR="00EF650A">
        <w:rPr>
          <w:rFonts w:eastAsia="Times New Roman" w:cs="Times New Roman"/>
          <w:sz w:val="24"/>
          <w:szCs w:val="24"/>
          <w:lang w:eastAsia="pl-PL"/>
        </w:rPr>
        <w:t xml:space="preserve"> umownej </w:t>
      </w:r>
      <w:r w:rsidR="00CE1AB4">
        <w:rPr>
          <w:rFonts w:eastAsia="Times New Roman" w:cs="Times New Roman"/>
          <w:sz w:val="24"/>
          <w:szCs w:val="24"/>
          <w:lang w:eastAsia="pl-PL"/>
        </w:rPr>
        <w:t>zadania</w:t>
      </w:r>
      <w:r w:rsidR="00CE1AB4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brutto.</w:t>
      </w:r>
    </w:p>
    <w:p w14:paraId="535CF428" w14:textId="77777777" w:rsidR="00B4327D" w:rsidRDefault="00D87D64" w:rsidP="0010743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B50778">
        <w:rPr>
          <w:rFonts w:eastAsia="Times New Roman" w:cs="Times New Roman"/>
          <w:sz w:val="24"/>
          <w:szCs w:val="24"/>
          <w:lang w:eastAsia="pl-PL"/>
        </w:rPr>
        <w:t>Zamawiający uprawniony jest do żądania zapłaty kary umownej</w:t>
      </w:r>
      <w:r w:rsidR="00B50778" w:rsidRPr="00B5077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50778" w:rsidRPr="00B50778">
        <w:rPr>
          <w:rFonts w:eastAsia="Times New Roman" w:cs="Times New Roman"/>
          <w:sz w:val="24"/>
          <w:szCs w:val="24"/>
          <w:lang w:eastAsia="pl-PL"/>
        </w:rPr>
        <w:t>w wysokości 0,1 % wartości umow</w:t>
      </w:r>
      <w:r w:rsidR="00B50778">
        <w:rPr>
          <w:rFonts w:eastAsia="Times New Roman" w:cs="Times New Roman"/>
          <w:sz w:val="24"/>
          <w:szCs w:val="24"/>
          <w:lang w:eastAsia="pl-PL"/>
        </w:rPr>
        <w:t>nej zadania brutto</w:t>
      </w:r>
      <w:r w:rsidR="00B50778" w:rsidRPr="00B50778">
        <w:rPr>
          <w:rFonts w:eastAsia="Times New Roman" w:cs="Times New Roman"/>
          <w:sz w:val="24"/>
          <w:szCs w:val="24"/>
          <w:lang w:eastAsia="pl-PL"/>
        </w:rPr>
        <w:t xml:space="preserve"> o której mowa w § 4 ust. </w:t>
      </w:r>
      <w:r w:rsidR="00B50778">
        <w:rPr>
          <w:rFonts w:eastAsia="Times New Roman" w:cs="Times New Roman"/>
          <w:sz w:val="24"/>
          <w:szCs w:val="24"/>
          <w:lang w:eastAsia="pl-PL"/>
        </w:rPr>
        <w:t>2,</w:t>
      </w:r>
      <w:r w:rsidR="00B50778" w:rsidRPr="00B5077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3B732906" w14:textId="77777777" w:rsidR="00B4327D" w:rsidRDefault="00B50778" w:rsidP="00B4327D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4327D">
        <w:rPr>
          <w:rFonts w:eastAsia="Times New Roman" w:cs="Times New Roman"/>
          <w:sz w:val="24"/>
          <w:szCs w:val="24"/>
          <w:lang w:eastAsia="pl-PL"/>
        </w:rPr>
        <w:t xml:space="preserve">za każdy dzień zwłoki w podejmowaniu napraw objętych gwarancją w odniesieniu do 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>terminu,</w:t>
      </w:r>
      <w:r w:rsidRPr="00B4327D">
        <w:rPr>
          <w:rFonts w:eastAsia="Times New Roman" w:cs="Times New Roman"/>
          <w:sz w:val="24"/>
          <w:szCs w:val="24"/>
          <w:lang w:eastAsia="pl-PL"/>
        </w:rPr>
        <w:t xml:space="preserve"> o którym mowa w </w:t>
      </w:r>
      <w:bookmarkStart w:id="7" w:name="_Hlk132194660"/>
      <w:r w:rsidRPr="00B4327D">
        <w:rPr>
          <w:rFonts w:eastAsia="Times New Roman" w:cs="Times New Roman"/>
          <w:sz w:val="24"/>
          <w:szCs w:val="24"/>
          <w:lang w:eastAsia="pl-PL"/>
        </w:rPr>
        <w:t xml:space="preserve">§ 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>6</w:t>
      </w:r>
      <w:r w:rsidRPr="00B4327D">
        <w:rPr>
          <w:rFonts w:eastAsia="Times New Roman" w:cs="Times New Roman"/>
          <w:sz w:val="24"/>
          <w:szCs w:val="24"/>
          <w:lang w:eastAsia="pl-PL"/>
        </w:rPr>
        <w:t xml:space="preserve"> ust. 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>15</w:t>
      </w:r>
      <w:r w:rsidRPr="00B4327D">
        <w:rPr>
          <w:rFonts w:eastAsia="Times New Roman" w:cs="Times New Roman"/>
          <w:sz w:val="24"/>
          <w:szCs w:val="24"/>
          <w:lang w:eastAsia="pl-PL"/>
        </w:rPr>
        <w:t xml:space="preserve"> niniejszej umowy</w:t>
      </w:r>
      <w:bookmarkEnd w:id="7"/>
      <w:r w:rsidR="00107435" w:rsidRPr="00B4327D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14:paraId="2A7F5BA7" w14:textId="77777777" w:rsidR="00B4327D" w:rsidRPr="00B4327D" w:rsidRDefault="00B4327D" w:rsidP="00B4327D">
      <w:pPr>
        <w:pStyle w:val="Akapitzlist"/>
        <w:numPr>
          <w:ilvl w:val="0"/>
          <w:numId w:val="34"/>
        </w:numPr>
        <w:rPr>
          <w:rFonts w:eastAsia="Times New Roman" w:cs="Times New Roman"/>
          <w:sz w:val="24"/>
          <w:szCs w:val="24"/>
          <w:lang w:eastAsia="pl-PL"/>
        </w:rPr>
      </w:pPr>
      <w:r w:rsidRPr="00B4327D">
        <w:rPr>
          <w:rFonts w:eastAsia="Times New Roman" w:cs="Times New Roman"/>
          <w:sz w:val="24"/>
          <w:szCs w:val="24"/>
          <w:lang w:eastAsia="pl-PL"/>
        </w:rPr>
        <w:t xml:space="preserve">za 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 xml:space="preserve">każdy dzień zwłoki 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>naprawie gwarancyjnej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 xml:space="preserve"> sprzętu w odniesieniu do 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>terminu,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 xml:space="preserve"> o którym mowa w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>§ 6 ust. 1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>7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 xml:space="preserve"> niniejszej umowy</w:t>
      </w:r>
      <w:r w:rsidR="00107435" w:rsidRPr="00B4327D">
        <w:rPr>
          <w:rFonts w:eastAsia="Times New Roman" w:cs="Times New Roman"/>
          <w:sz w:val="24"/>
          <w:szCs w:val="24"/>
          <w:lang w:eastAsia="pl-PL"/>
        </w:rPr>
        <w:t>.</w:t>
      </w:r>
      <w:r w:rsidRPr="00B4327D">
        <w:t xml:space="preserve"> </w:t>
      </w:r>
    </w:p>
    <w:p w14:paraId="45EC584D" w14:textId="4CFEF343" w:rsidR="00B4327D" w:rsidRPr="00B4327D" w:rsidRDefault="00B4327D" w:rsidP="00B4327D">
      <w:pPr>
        <w:pStyle w:val="Akapitzlist"/>
        <w:numPr>
          <w:ilvl w:val="0"/>
          <w:numId w:val="34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4327D">
        <w:rPr>
          <w:rFonts w:eastAsia="Times New Roman" w:cs="Times New Roman"/>
          <w:sz w:val="24"/>
          <w:szCs w:val="24"/>
          <w:lang w:eastAsia="pl-PL"/>
        </w:rPr>
        <w:t>za każdy dzień zwłoki w odniesieniu do terminu, o którym mowa w § 6 ust. 1</w:t>
      </w:r>
      <w:r>
        <w:rPr>
          <w:rFonts w:eastAsia="Times New Roman" w:cs="Times New Roman"/>
          <w:sz w:val="24"/>
          <w:szCs w:val="24"/>
          <w:lang w:eastAsia="pl-PL"/>
        </w:rPr>
        <w:t>9</w:t>
      </w:r>
      <w:r w:rsidRPr="00B4327D">
        <w:rPr>
          <w:rFonts w:eastAsia="Times New Roman" w:cs="Times New Roman"/>
          <w:sz w:val="24"/>
          <w:szCs w:val="24"/>
          <w:lang w:eastAsia="pl-PL"/>
        </w:rPr>
        <w:t xml:space="preserve"> niniejszej umowy.</w:t>
      </w:r>
    </w:p>
    <w:p w14:paraId="54857909" w14:textId="20AD40E9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W przypadku odstąpienia od umowy z winy Wykonawcy lub Zamawiającego druga strona może dochodzić od strony winnej kary umownej w wysokości 10% wartości</w:t>
      </w:r>
      <w:r w:rsidR="00EF650A">
        <w:rPr>
          <w:rFonts w:eastAsia="Times New Roman" w:cs="Times New Roman"/>
          <w:sz w:val="24"/>
          <w:szCs w:val="24"/>
          <w:lang w:eastAsia="pl-PL"/>
        </w:rPr>
        <w:t xml:space="preserve"> umownej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F650A">
        <w:rPr>
          <w:rFonts w:eastAsia="Times New Roman" w:cs="Times New Roman"/>
          <w:sz w:val="24"/>
          <w:szCs w:val="24"/>
          <w:lang w:eastAsia="pl-PL"/>
        </w:rPr>
        <w:t>zadania</w:t>
      </w:r>
      <w:r w:rsidR="00EF650A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brutto.</w:t>
      </w:r>
    </w:p>
    <w:p w14:paraId="1F812CE8" w14:textId="599BB7E5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Dokumenty, </w:t>
      </w:r>
      <w:bookmarkStart w:id="8" w:name="_Hlk132191247"/>
      <w:r w:rsidRPr="00AB1953">
        <w:rPr>
          <w:rFonts w:eastAsia="Times New Roman" w:cs="Times New Roman"/>
          <w:sz w:val="24"/>
          <w:szCs w:val="24"/>
          <w:lang w:eastAsia="pl-PL"/>
        </w:rPr>
        <w:t>o których mowa w § 1 ust. 2</w:t>
      </w:r>
      <w:bookmarkEnd w:id="8"/>
      <w:r w:rsidRPr="00AB1953">
        <w:rPr>
          <w:rFonts w:eastAsia="Times New Roman" w:cs="Times New Roman"/>
          <w:sz w:val="24"/>
          <w:szCs w:val="24"/>
          <w:lang w:eastAsia="pl-PL"/>
        </w:rPr>
        <w:t xml:space="preserve"> podlegają udostępnieniu na każde żądanie Zamawiającego w</w:t>
      </w:r>
      <w:r w:rsidR="00B4327D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niedostarczenia przedmiotowych dokumentów w terminie określonym w zdaniu 1 Wykonawca zapłaci Zamawiającemu karę umowną w</w:t>
      </w:r>
      <w:r w:rsidR="00B4327D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wysokości 0,1% wartości brutto </w:t>
      </w:r>
      <w:r w:rsidR="00EF650A">
        <w:rPr>
          <w:rFonts w:eastAsia="Times New Roman" w:cs="Times New Roman"/>
          <w:sz w:val="24"/>
          <w:szCs w:val="24"/>
          <w:lang w:eastAsia="pl-PL"/>
        </w:rPr>
        <w:t xml:space="preserve">zadania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39A48391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0D30F121" w14:textId="77777777" w:rsidR="00891F4C" w:rsidRPr="00AB1953" w:rsidRDefault="00891F4C" w:rsidP="00891F4C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AB1953" w:rsidRDefault="00891F4C" w:rsidP="00891F4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32592B8" w14:textId="09BC9FDF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zwłoka w dostawie przedmiotu zamówienia przekraczającego </w:t>
      </w:r>
      <w:r w:rsidR="004454D6">
        <w:rPr>
          <w:rFonts w:cs="Calibri"/>
          <w:color w:val="000000"/>
          <w:sz w:val="24"/>
          <w:szCs w:val="24"/>
        </w:rPr>
        <w:t>10</w:t>
      </w:r>
      <w:r w:rsidRPr="00AB1953">
        <w:rPr>
          <w:rFonts w:cs="Calibri"/>
          <w:color w:val="000000"/>
          <w:sz w:val="24"/>
          <w:szCs w:val="24"/>
        </w:rPr>
        <w:t xml:space="preserve"> dni.</w:t>
      </w:r>
    </w:p>
    <w:p w14:paraId="3AFC358C" w14:textId="2E026EF6" w:rsidR="00EF650A" w:rsidRPr="00EF650A" w:rsidRDefault="00EF650A" w:rsidP="00EF650A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  <w:r>
        <w:rPr>
          <w:rFonts w:cs="Calibri"/>
          <w:color w:val="000000"/>
          <w:sz w:val="24"/>
          <w:szCs w:val="24"/>
        </w:rPr>
        <w:t>.</w:t>
      </w:r>
    </w:p>
    <w:p w14:paraId="0CE9059B" w14:textId="77777777" w:rsidR="00BA7BBC" w:rsidRDefault="00891F4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F3174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5759A040" w14:textId="5AABD914" w:rsidR="00891F4C" w:rsidRPr="00AB1953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zostaje zawarta na okres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6196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F650A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2465ACAA" w14:textId="7E8D98E8" w:rsidR="00891F4C" w:rsidRPr="00AB1953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4327D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30DD75F3" w14:textId="77777777" w:rsidR="00BA7BBC" w:rsidRDefault="00BA7BB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B9DC16F" w14:textId="1347498E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1E12AAB3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5B4985D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0C460466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E8C4173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zmiany terminu realizacji zamówienia w sytuacji, gdy zmiana ta wynika z przyczyn niezależnych od Wykonawcy,</w:t>
      </w:r>
    </w:p>
    <w:p w14:paraId="4967E2CB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</w:t>
      </w:r>
      <w:r>
        <w:rPr>
          <w:sz w:val="24"/>
          <w:szCs w:val="24"/>
        </w:rPr>
        <w:t>ące</w:t>
      </w:r>
      <w:r w:rsidRPr="00AB1953">
        <w:rPr>
          <w:sz w:val="24"/>
          <w:szCs w:val="24"/>
        </w:rPr>
        <w:t>, ale nie dłużej niż do czasu wyczerpania kwoty maksymalnego zobowiązania Zamawiającego;</w:t>
      </w:r>
    </w:p>
    <w:p w14:paraId="31745552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5000ACA0" w14:textId="77777777" w:rsidR="00891F4C" w:rsidRDefault="00891F4C" w:rsidP="0089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07570937" w14:textId="77777777" w:rsidR="00725200" w:rsidRPr="00B948A9" w:rsidRDefault="00725200" w:rsidP="0072520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948A9">
        <w:rPr>
          <w:rFonts w:cs="Calibri"/>
          <w:bCs/>
          <w:sz w:val="24"/>
          <w:szCs w:val="24"/>
        </w:rPr>
        <w:t xml:space="preserve">Cena będzie stała przez okres 12 miesięcy. Po upływie tego okresu dopuszcza się wprowadzenie odpowiednich zmian wysokości wynagrodzenia należnego wykonawcy, w przypadku zmiany: </w:t>
      </w:r>
    </w:p>
    <w:p w14:paraId="31093914" w14:textId="77777777" w:rsidR="00725200" w:rsidRPr="00B948A9" w:rsidRDefault="00725200" w:rsidP="00725200">
      <w:pPr>
        <w:numPr>
          <w:ilvl w:val="0"/>
          <w:numId w:val="30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stawki podatku od towarów i usług, </w:t>
      </w:r>
    </w:p>
    <w:p w14:paraId="49DF93A6" w14:textId="77777777" w:rsidR="00725200" w:rsidRPr="00B948A9" w:rsidRDefault="00725200" w:rsidP="00725200">
      <w:pPr>
        <w:numPr>
          <w:ilvl w:val="0"/>
          <w:numId w:val="30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213029EA" w14:textId="77777777" w:rsidR="00725200" w:rsidRPr="00B948A9" w:rsidRDefault="00725200" w:rsidP="00725200">
      <w:pPr>
        <w:numPr>
          <w:ilvl w:val="0"/>
          <w:numId w:val="30"/>
        </w:numPr>
        <w:autoSpaceDN w:val="0"/>
        <w:spacing w:after="0"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4FC4AAFB" w14:textId="77777777" w:rsidR="00725200" w:rsidRDefault="00725200" w:rsidP="00725200">
      <w:pPr>
        <w:numPr>
          <w:ilvl w:val="0"/>
          <w:numId w:val="30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zasad gromadzenia i wysokości wpłat do pracowniczych planów kapitałowych, o których mowa w ustawie z dnia 4 października 2018 r. o pracowniczych planach kapitałowych (Dz. U. poz. 2215 oraz z 2019 r. poz. 1074 i 1572) </w:t>
      </w:r>
    </w:p>
    <w:p w14:paraId="46E04922" w14:textId="77777777" w:rsidR="00725200" w:rsidRPr="00B948A9" w:rsidRDefault="00725200" w:rsidP="00725200">
      <w:pPr>
        <w:numPr>
          <w:ilvl w:val="0"/>
          <w:numId w:val="30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E3D1D">
        <w:rPr>
          <w:rFonts w:cs="Calibri"/>
          <w:bCs/>
          <w:sz w:val="24"/>
          <w:szCs w:val="24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2562710C" w14:textId="77777777" w:rsidR="00725200" w:rsidRPr="00B948A9" w:rsidRDefault="00725200" w:rsidP="00725200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14:paraId="4C97AF14" w14:textId="77777777" w:rsidR="00725200" w:rsidRPr="00B948A9" w:rsidRDefault="00725200" w:rsidP="0072520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Zmiana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7224644F" w14:textId="77777777" w:rsidR="00725200" w:rsidRPr="00B948A9" w:rsidRDefault="00725200" w:rsidP="0072520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2952E084" w14:textId="0956774E" w:rsidR="00725200" w:rsidRPr="00725200" w:rsidRDefault="00725200" w:rsidP="0072520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Zmiana wynagrodzenia Wykonawcy, o której mowa w ust. 6 dotyczy jedynie niewykonanej części zamówienia.</w:t>
      </w:r>
    </w:p>
    <w:p w14:paraId="1478709C" w14:textId="77777777" w:rsidR="00891F4C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6B84CCB0" w14:textId="77777777" w:rsidR="00891F4C" w:rsidRPr="009048B7" w:rsidRDefault="00891F4C" w:rsidP="00891F4C">
      <w:pPr>
        <w:spacing w:after="0" w:line="259" w:lineRule="auto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>
        <w:rPr>
          <w:rFonts w:eastAsiaTheme="minorHAnsi"/>
          <w:sz w:val="24"/>
          <w:szCs w:val="24"/>
        </w:rPr>
        <w:t>6</w:t>
      </w:r>
      <w:r w:rsidRPr="009048B7">
        <w:rPr>
          <w:rFonts w:eastAsiaTheme="minorHAnsi"/>
          <w:sz w:val="24"/>
          <w:szCs w:val="24"/>
        </w:rPr>
        <w:t xml:space="preserve">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 xml:space="preserve">zastrzeżeniem, że będą one wprowadzane nie częściej niż co </w:t>
      </w:r>
      <w:r w:rsidR="00DA0F74">
        <w:rPr>
          <w:rFonts w:eastAsiaTheme="minorHAnsi"/>
          <w:sz w:val="24"/>
          <w:szCs w:val="24"/>
        </w:rPr>
        <w:t>4</w:t>
      </w:r>
      <w:r w:rsidRPr="009048B7">
        <w:rPr>
          <w:rFonts w:eastAsiaTheme="minorHAnsi"/>
          <w:sz w:val="24"/>
          <w:szCs w:val="24"/>
        </w:rPr>
        <w:t xml:space="preserve"> miesiące.</w:t>
      </w:r>
    </w:p>
    <w:p w14:paraId="6E03A3EF" w14:textId="77777777" w:rsidR="00891F4C" w:rsidRPr="009048B7" w:rsidRDefault="00891F4C" w:rsidP="00891F4C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lastRenderedPageBreak/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6B1757E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40F55FE7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1520A22C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1FFA34AC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6919C010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4E6F3B8" w14:textId="75F80E98" w:rsidR="00B504E2" w:rsidRPr="00306401" w:rsidRDefault="00891F4C" w:rsidP="003064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1E33DA55" w14:textId="1C27DE6A" w:rsidR="00CB4629" w:rsidRPr="00920317" w:rsidRDefault="00CB4629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306401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bookmarkStart w:id="9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9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proofErr w:type="gramStart"/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INFORMACJA  O</w:t>
      </w:r>
      <w:proofErr w:type="gramEnd"/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4688254A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</w:t>
      </w:r>
      <w:proofErr w:type="gramStart"/>
      <w:r w:rsidRPr="006339F6">
        <w:rPr>
          <w:rFonts w:eastAsia="Calibri" w:cs="Times New Roman"/>
          <w:sz w:val="20"/>
          <w:szCs w:val="20"/>
        </w:rPr>
        <w:t>Fax:  67</w:t>
      </w:r>
      <w:proofErr w:type="gramEnd"/>
      <w:r w:rsidRPr="006339F6">
        <w:rPr>
          <w:rFonts w:eastAsia="Calibri" w:cs="Times New Roman"/>
          <w:sz w:val="20"/>
          <w:szCs w:val="20"/>
        </w:rPr>
        <w:t xml:space="preserve">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 xml:space="preserve">, min. ZUS, NFZ, Sąd, Prokurator, </w:t>
      </w:r>
      <w:proofErr w:type="gramStart"/>
      <w:r w:rsidRPr="006339F6">
        <w:rPr>
          <w:rFonts w:eastAsia="Calibri" w:cs="Times New Roman"/>
          <w:sz w:val="20"/>
          <w:szCs w:val="20"/>
        </w:rPr>
        <w:t>i  inne</w:t>
      </w:r>
      <w:proofErr w:type="gramEnd"/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proofErr w:type="gramStart"/>
      <w:r w:rsidRPr="006339F6">
        <w:rPr>
          <w:rFonts w:eastAsia="Times New Roman" w:cs="Times New Roman"/>
          <w:sz w:val="20"/>
          <w:szCs w:val="20"/>
          <w:lang w:eastAsia="pl-PL"/>
        </w:rPr>
        <w:t>Osobowych</w:t>
      </w:r>
      <w:proofErr w:type="gramEnd"/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4F2388F7" w:rsidR="00B66BB7" w:rsidRPr="005A68BE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32017C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54B46F75" w14:textId="77777777" w:rsidR="00B66BB7" w:rsidRPr="00275405" w:rsidRDefault="00B66BB7" w:rsidP="00B66BB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24B678" w14:textId="77777777" w:rsidR="00B66BB7" w:rsidRPr="00275405" w:rsidRDefault="00B66BB7" w:rsidP="00B66BB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275405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275405" w:rsidRDefault="00B66BB7" w:rsidP="000414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BA7BFF" w:rsidRDefault="00B66BB7" w:rsidP="00B66BB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6AF6D8A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076063D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EBE28F7" w14:textId="603683FD" w:rsidR="00B1749E" w:rsidRDefault="00B1749E" w:rsidP="00B1749E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B1749E">
        <w:rPr>
          <w:rFonts w:eastAsia="Calibri" w:cs="Arial"/>
          <w:b/>
          <w:color w:val="000000"/>
          <w:sz w:val="24"/>
          <w:szCs w:val="24"/>
        </w:rPr>
        <w:t>DOSTAWA NARZĘDZI DO ZABIEGÓW NEUROCHIRURGICZNYCH</w:t>
      </w:r>
    </w:p>
    <w:p w14:paraId="6E4BC52C" w14:textId="227F0A62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F41CC2" w:rsidRDefault="00B66BB7" w:rsidP="00B66BB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79BEBE6D" w14:textId="0F23E5FD" w:rsidR="001F226D" w:rsidRPr="001F226D" w:rsidRDefault="00B66BB7" w:rsidP="0032017C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1F226D" w:rsidRPr="001F226D">
        <w:rPr>
          <w:b/>
          <w:sz w:val="24"/>
          <w:szCs w:val="24"/>
        </w:rPr>
        <w:t>posiadamy aktualne dokumenty oferowanego przedmiotu zamówienia, dopuszczające do obrotu i</w:t>
      </w:r>
      <w:r w:rsidR="00B1749E">
        <w:rPr>
          <w:b/>
          <w:sz w:val="24"/>
          <w:szCs w:val="24"/>
        </w:rPr>
        <w:t> </w:t>
      </w:r>
      <w:r w:rsidR="001F226D" w:rsidRPr="001F226D">
        <w:rPr>
          <w:b/>
          <w:sz w:val="24"/>
          <w:szCs w:val="24"/>
        </w:rPr>
        <w:t>stosowania w ochronie zdrowia na terytorium Rzeczypospolitej Polskiej, zgodnie z polskim prawem oraz prawem Unii Europejskiej.</w:t>
      </w:r>
    </w:p>
    <w:p w14:paraId="175BF0D4" w14:textId="77777777" w:rsidR="00B66BB7" w:rsidRPr="00F41CC2" w:rsidRDefault="00B66BB7" w:rsidP="00B66BB7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3D32BBD3" w14:textId="77777777" w:rsidR="00B66BB7" w:rsidRPr="001962DF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1962DF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1962DF" w:rsidRDefault="00B66BB7" w:rsidP="0004144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F89599" w14:textId="77777777" w:rsidR="00B66BB7" w:rsidRPr="001962DF" w:rsidRDefault="00B66BB7" w:rsidP="0004144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FD6E83" w:rsidRDefault="00B66BB7" w:rsidP="00B66BB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3B1E784" w14:textId="77777777" w:rsidR="00B66BB7" w:rsidRDefault="00B66BB7" w:rsidP="00B66BB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0B8466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13E327E8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0C7EA382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71537CD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2AE9B41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6EB57169" w14:textId="23FE7C90" w:rsidR="00F73CD4" w:rsidRDefault="00F73CD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B8A6733" w14:textId="115F92C1" w:rsidR="001F226D" w:rsidRPr="00DA0F74" w:rsidRDefault="001F226D" w:rsidP="00DA0F74">
      <w:pPr>
        <w:rPr>
          <w:rFonts w:eastAsia="Calibri" w:cs="Arial"/>
          <w:bCs/>
        </w:rPr>
      </w:pPr>
    </w:p>
    <w:sectPr w:rsidR="001F226D" w:rsidRPr="00DA0F74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53869D44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 w:rsidR="008A7E8B">
      <w:rPr>
        <w:i/>
        <w:iCs/>
        <w:sz w:val="16"/>
        <w:szCs w:val="16"/>
      </w:rPr>
      <w:t>2</w:t>
    </w:r>
    <w:r w:rsidR="00ED0C35">
      <w:rPr>
        <w:i/>
        <w:iCs/>
        <w:sz w:val="16"/>
        <w:szCs w:val="16"/>
      </w:rPr>
      <w:t>4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E6A8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608CD"/>
    <w:multiLevelType w:val="hybridMultilevel"/>
    <w:tmpl w:val="99A87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20E6D"/>
    <w:multiLevelType w:val="hybridMultilevel"/>
    <w:tmpl w:val="4824DC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3645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4996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28004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1788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9969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9013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59081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242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08654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12750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2790491">
    <w:abstractNumId w:val="23"/>
  </w:num>
  <w:num w:numId="12" w16cid:durableId="850920786">
    <w:abstractNumId w:val="26"/>
  </w:num>
  <w:num w:numId="13" w16cid:durableId="2129620260">
    <w:abstractNumId w:val="9"/>
  </w:num>
  <w:num w:numId="14" w16cid:durableId="1381172622">
    <w:abstractNumId w:val="30"/>
  </w:num>
  <w:num w:numId="15" w16cid:durableId="1874882285">
    <w:abstractNumId w:val="2"/>
  </w:num>
  <w:num w:numId="16" w16cid:durableId="1613898024">
    <w:abstractNumId w:val="13"/>
  </w:num>
  <w:num w:numId="17" w16cid:durableId="997151199">
    <w:abstractNumId w:val="15"/>
  </w:num>
  <w:num w:numId="18" w16cid:durableId="958027335">
    <w:abstractNumId w:val="14"/>
  </w:num>
  <w:num w:numId="19" w16cid:durableId="2041512650">
    <w:abstractNumId w:val="31"/>
  </w:num>
  <w:num w:numId="20" w16cid:durableId="752169766">
    <w:abstractNumId w:val="4"/>
    <w:lvlOverride w:ilvl="0">
      <w:startOverride w:val="1"/>
    </w:lvlOverride>
  </w:num>
  <w:num w:numId="21" w16cid:durableId="17498869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33191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6872591">
    <w:abstractNumId w:val="17"/>
    <w:lvlOverride w:ilvl="0">
      <w:startOverride w:val="1"/>
    </w:lvlOverride>
  </w:num>
  <w:num w:numId="24" w16cid:durableId="1594705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3766704">
    <w:abstractNumId w:val="10"/>
  </w:num>
  <w:num w:numId="26" w16cid:durableId="1624266366">
    <w:abstractNumId w:val="18"/>
  </w:num>
  <w:num w:numId="27" w16cid:durableId="1873223892">
    <w:abstractNumId w:val="21"/>
  </w:num>
  <w:num w:numId="28" w16cid:durableId="1689793274">
    <w:abstractNumId w:val="3"/>
  </w:num>
  <w:num w:numId="29" w16cid:durableId="892078357">
    <w:abstractNumId w:val="20"/>
  </w:num>
  <w:num w:numId="30" w16cid:durableId="777994352">
    <w:abstractNumId w:val="7"/>
  </w:num>
  <w:num w:numId="31" w16cid:durableId="963464934">
    <w:abstractNumId w:val="25"/>
  </w:num>
  <w:num w:numId="32" w16cid:durableId="151533886">
    <w:abstractNumId w:val="1"/>
  </w:num>
  <w:num w:numId="33" w16cid:durableId="494077344">
    <w:abstractNumId w:val="28"/>
  </w:num>
  <w:num w:numId="34" w16cid:durableId="2033455949">
    <w:abstractNumId w:val="8"/>
  </w:num>
  <w:num w:numId="35" w16cid:durableId="154567865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07435"/>
    <w:rsid w:val="00127684"/>
    <w:rsid w:val="001343F2"/>
    <w:rsid w:val="00181B2D"/>
    <w:rsid w:val="00190851"/>
    <w:rsid w:val="001A32A9"/>
    <w:rsid w:val="001B7B96"/>
    <w:rsid w:val="001C3659"/>
    <w:rsid w:val="001F226D"/>
    <w:rsid w:val="002428B9"/>
    <w:rsid w:val="00247F6D"/>
    <w:rsid w:val="00263B7D"/>
    <w:rsid w:val="00275405"/>
    <w:rsid w:val="002806B8"/>
    <w:rsid w:val="002A1D44"/>
    <w:rsid w:val="002C5236"/>
    <w:rsid w:val="002E18D4"/>
    <w:rsid w:val="003040D1"/>
    <w:rsid w:val="00306401"/>
    <w:rsid w:val="003074EB"/>
    <w:rsid w:val="0032017C"/>
    <w:rsid w:val="00337E92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60A76"/>
    <w:rsid w:val="00465AF1"/>
    <w:rsid w:val="00474777"/>
    <w:rsid w:val="0049183F"/>
    <w:rsid w:val="005061F6"/>
    <w:rsid w:val="005351F2"/>
    <w:rsid w:val="0054176D"/>
    <w:rsid w:val="00584ED2"/>
    <w:rsid w:val="005874B3"/>
    <w:rsid w:val="005E2D68"/>
    <w:rsid w:val="005E7A5C"/>
    <w:rsid w:val="00665B43"/>
    <w:rsid w:val="00684207"/>
    <w:rsid w:val="006A64D2"/>
    <w:rsid w:val="006A65EF"/>
    <w:rsid w:val="006C4F3E"/>
    <w:rsid w:val="006E3F49"/>
    <w:rsid w:val="0071192C"/>
    <w:rsid w:val="007148A5"/>
    <w:rsid w:val="00720CD9"/>
    <w:rsid w:val="00725200"/>
    <w:rsid w:val="00731191"/>
    <w:rsid w:val="007352F0"/>
    <w:rsid w:val="0074395C"/>
    <w:rsid w:val="007571C0"/>
    <w:rsid w:val="00757645"/>
    <w:rsid w:val="00772EE9"/>
    <w:rsid w:val="0077441D"/>
    <w:rsid w:val="007A015D"/>
    <w:rsid w:val="007A2CD3"/>
    <w:rsid w:val="007A500F"/>
    <w:rsid w:val="007B64A5"/>
    <w:rsid w:val="007B76E0"/>
    <w:rsid w:val="007E75C7"/>
    <w:rsid w:val="007F4A4E"/>
    <w:rsid w:val="0080633B"/>
    <w:rsid w:val="008103FA"/>
    <w:rsid w:val="008224FF"/>
    <w:rsid w:val="00823A81"/>
    <w:rsid w:val="00826AE1"/>
    <w:rsid w:val="0085154B"/>
    <w:rsid w:val="00880C5D"/>
    <w:rsid w:val="0088761A"/>
    <w:rsid w:val="00891F4C"/>
    <w:rsid w:val="008A7E8B"/>
    <w:rsid w:val="008B473A"/>
    <w:rsid w:val="008B4D90"/>
    <w:rsid w:val="008C22A4"/>
    <w:rsid w:val="008C349C"/>
    <w:rsid w:val="008C7907"/>
    <w:rsid w:val="008D4CBC"/>
    <w:rsid w:val="008E20B0"/>
    <w:rsid w:val="008F43D7"/>
    <w:rsid w:val="00900C15"/>
    <w:rsid w:val="00920317"/>
    <w:rsid w:val="00931277"/>
    <w:rsid w:val="00966682"/>
    <w:rsid w:val="009755A9"/>
    <w:rsid w:val="00980002"/>
    <w:rsid w:val="009975DE"/>
    <w:rsid w:val="009A0A4D"/>
    <w:rsid w:val="009A1E2A"/>
    <w:rsid w:val="009D1760"/>
    <w:rsid w:val="00A151E4"/>
    <w:rsid w:val="00A71656"/>
    <w:rsid w:val="00A76B50"/>
    <w:rsid w:val="00A97C48"/>
    <w:rsid w:val="00AB66F6"/>
    <w:rsid w:val="00AC0B95"/>
    <w:rsid w:val="00AC0F14"/>
    <w:rsid w:val="00AD3D25"/>
    <w:rsid w:val="00AE7443"/>
    <w:rsid w:val="00B1749E"/>
    <w:rsid w:val="00B26594"/>
    <w:rsid w:val="00B310E8"/>
    <w:rsid w:val="00B31C7A"/>
    <w:rsid w:val="00B4327D"/>
    <w:rsid w:val="00B504E2"/>
    <w:rsid w:val="00B50778"/>
    <w:rsid w:val="00B5164A"/>
    <w:rsid w:val="00B66BB7"/>
    <w:rsid w:val="00B969A3"/>
    <w:rsid w:val="00BA7BBC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6612F"/>
    <w:rsid w:val="00C7442C"/>
    <w:rsid w:val="00C777FC"/>
    <w:rsid w:val="00CA2883"/>
    <w:rsid w:val="00CB4629"/>
    <w:rsid w:val="00CD37C8"/>
    <w:rsid w:val="00CD7BE7"/>
    <w:rsid w:val="00CE1AB4"/>
    <w:rsid w:val="00D05CB9"/>
    <w:rsid w:val="00D51E92"/>
    <w:rsid w:val="00D62B8D"/>
    <w:rsid w:val="00D6738E"/>
    <w:rsid w:val="00D8036F"/>
    <w:rsid w:val="00D87D64"/>
    <w:rsid w:val="00DA0F74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ED0C35"/>
    <w:rsid w:val="00EF650A"/>
    <w:rsid w:val="00F104CE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B28F5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27D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Siatkatabelijasna">
    <w:name w:val="Grid Table Light"/>
    <w:basedOn w:val="Standardowy"/>
    <w:uiPriority w:val="40"/>
    <w:rsid w:val="00900C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4515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40</cp:revision>
  <cp:lastPrinted>2023-04-12T10:44:00Z</cp:lastPrinted>
  <dcterms:created xsi:type="dcterms:W3CDTF">2021-08-13T10:17:00Z</dcterms:created>
  <dcterms:modified xsi:type="dcterms:W3CDTF">2023-04-12T10:56:00Z</dcterms:modified>
</cp:coreProperties>
</file>