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6DBF5216" w14:textId="30C66DFB" w:rsidR="009213FD" w:rsidRPr="00171864" w:rsidRDefault="00A2350C" w:rsidP="00A2350C">
      <w:pPr>
        <w:jc w:val="center"/>
        <w:rPr>
          <w:color w:val="000000"/>
          <w:sz w:val="22"/>
          <w:szCs w:val="22"/>
        </w:rPr>
      </w:pPr>
      <w:r w:rsidRPr="00A2350C">
        <w:rPr>
          <w:b/>
          <w:color w:val="000000"/>
          <w:sz w:val="22"/>
          <w:szCs w:val="22"/>
        </w:rPr>
        <w:t>PROJEKTOWANE POSTANOWIENIA UMOWY</w:t>
      </w:r>
    </w:p>
    <w:p w14:paraId="7D84977A" w14:textId="12585F2D" w:rsidR="00E76748" w:rsidRPr="00E76748" w:rsidRDefault="00A2350C" w:rsidP="00E76748">
      <w:pPr>
        <w:jc w:val="both"/>
        <w:rPr>
          <w:color w:val="000000"/>
          <w:sz w:val="22"/>
          <w:szCs w:val="22"/>
        </w:rPr>
      </w:pPr>
      <w:r>
        <w:rPr>
          <w:color w:val="000000"/>
          <w:sz w:val="22"/>
          <w:szCs w:val="22"/>
        </w:rPr>
        <w:t>zawarta w dniu …………………r</w:t>
      </w:r>
      <w:r w:rsidR="00E76748" w:rsidRPr="00E76748">
        <w:rPr>
          <w:color w:val="000000"/>
          <w:sz w:val="22"/>
          <w:szCs w:val="22"/>
        </w:rPr>
        <w:t xml:space="preserve">. w Świerznie pomiędzy: </w:t>
      </w:r>
    </w:p>
    <w:p w14:paraId="62B413C9" w14:textId="77777777" w:rsidR="00E76748" w:rsidRPr="00E76748" w:rsidRDefault="00E76748" w:rsidP="00E76748">
      <w:pPr>
        <w:jc w:val="both"/>
        <w:rPr>
          <w:color w:val="000000"/>
          <w:sz w:val="22"/>
          <w:szCs w:val="22"/>
        </w:rPr>
      </w:pPr>
    </w:p>
    <w:p w14:paraId="3167F896" w14:textId="7A40BEF3" w:rsidR="00E76748" w:rsidRPr="00E76748" w:rsidRDefault="00E76748" w:rsidP="00E76748">
      <w:pPr>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E76748">
      <w:pPr>
        <w:jc w:val="both"/>
        <w:rPr>
          <w:color w:val="000000"/>
          <w:sz w:val="22"/>
          <w:szCs w:val="22"/>
        </w:rPr>
      </w:pPr>
    </w:p>
    <w:p w14:paraId="48913C87" w14:textId="77777777" w:rsidR="00E76748" w:rsidRPr="00E76748" w:rsidRDefault="00E76748" w:rsidP="00E76748">
      <w:pPr>
        <w:jc w:val="both"/>
        <w:rPr>
          <w:color w:val="000000"/>
          <w:sz w:val="22"/>
          <w:szCs w:val="22"/>
        </w:rPr>
      </w:pPr>
      <w:r w:rsidRPr="00E76748">
        <w:rPr>
          <w:color w:val="000000"/>
          <w:sz w:val="22"/>
          <w:szCs w:val="22"/>
        </w:rPr>
        <w:t xml:space="preserve">a </w:t>
      </w:r>
    </w:p>
    <w:p w14:paraId="06CBDDE4" w14:textId="77777777" w:rsidR="00E76748" w:rsidRPr="00E76748" w:rsidRDefault="00E76748" w:rsidP="00E76748">
      <w:pPr>
        <w:jc w:val="both"/>
        <w:rPr>
          <w:color w:val="000000"/>
          <w:sz w:val="22"/>
          <w:szCs w:val="22"/>
        </w:rPr>
      </w:pPr>
    </w:p>
    <w:p w14:paraId="560C14F2" w14:textId="5D03BE8A" w:rsidR="00E76748" w:rsidRPr="00E76748" w:rsidRDefault="00A2350C" w:rsidP="00E76748">
      <w:pPr>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E76748">
      <w:pPr>
        <w:jc w:val="both"/>
        <w:rPr>
          <w:color w:val="000000"/>
          <w:sz w:val="22"/>
          <w:szCs w:val="22"/>
        </w:rPr>
      </w:pPr>
      <w:r w:rsidRPr="00E76748">
        <w:rPr>
          <w:color w:val="000000"/>
          <w:sz w:val="22"/>
          <w:szCs w:val="22"/>
        </w:rPr>
        <w:t>treści następującej:</w:t>
      </w: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592F23D8" w:rsidR="00C72920" w:rsidRPr="00323518" w:rsidRDefault="00860A46" w:rsidP="000D71CB">
      <w:pPr>
        <w:pStyle w:val="Akapitzlist"/>
        <w:numPr>
          <w:ilvl w:val="0"/>
          <w:numId w:val="49"/>
        </w:numPr>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Pr="00323518">
        <w:rPr>
          <w:color w:val="000000"/>
          <w:sz w:val="22"/>
          <w:szCs w:val="22"/>
        </w:rPr>
        <w:t>), w trybie podstawowym ZP.271.</w:t>
      </w:r>
      <w:r w:rsidR="00A2350C">
        <w:rPr>
          <w:color w:val="000000"/>
          <w:sz w:val="22"/>
          <w:szCs w:val="22"/>
        </w:rPr>
        <w:t>14</w:t>
      </w:r>
      <w:r w:rsidRPr="00323518">
        <w:rPr>
          <w:color w:val="000000"/>
          <w:sz w:val="22"/>
          <w:szCs w:val="22"/>
        </w:rPr>
        <w:t xml:space="preserve">.2021 pn. </w:t>
      </w:r>
      <w:r w:rsidRPr="002317F7">
        <w:rPr>
          <w:b/>
          <w:bCs/>
          <w:color w:val="000000"/>
          <w:sz w:val="22"/>
          <w:szCs w:val="22"/>
        </w:rPr>
        <w:t>„</w:t>
      </w:r>
      <w:r w:rsidR="00A2350C">
        <w:rPr>
          <w:b/>
          <w:bCs/>
          <w:color w:val="000000"/>
          <w:sz w:val="22"/>
          <w:szCs w:val="22"/>
        </w:rPr>
        <w:t xml:space="preserve">Modernizacja budynku Szkoły Podstawowej w Świerznie </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323518" w:rsidRDefault="00516D1D" w:rsidP="000D71CB">
      <w:pPr>
        <w:pStyle w:val="Akapitzlist"/>
        <w:numPr>
          <w:ilvl w:val="0"/>
          <w:numId w:val="49"/>
        </w:numPr>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323518">
      <w:pPr>
        <w:ind w:left="1276"/>
        <w:jc w:val="both"/>
        <w:rPr>
          <w:color w:val="000000"/>
          <w:sz w:val="22"/>
          <w:szCs w:val="22"/>
        </w:rPr>
      </w:pPr>
    </w:p>
    <w:p w14:paraId="37703B88" w14:textId="7BEF69F6" w:rsidR="00B83D6D" w:rsidRPr="00323518" w:rsidRDefault="00C72920"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4C5E8725" w14:textId="74172A57" w:rsidR="00B863CF" w:rsidRPr="00323518" w:rsidRDefault="00B863CF"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Przedmiar robót</w:t>
      </w:r>
    </w:p>
    <w:p w14:paraId="61737586" w14:textId="7FD61655" w:rsidR="002F26CC" w:rsidRPr="00323518" w:rsidRDefault="001D73C6"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14F1C0CD" w14:textId="77777777" w:rsidR="007156BF" w:rsidRDefault="00F96D00"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harmonogram-rzeczowo finansowy</w:t>
      </w:r>
    </w:p>
    <w:p w14:paraId="077D7CC7" w14:textId="02A3E195" w:rsidR="009F2E89" w:rsidRDefault="009F2E89" w:rsidP="000D71CB">
      <w:pPr>
        <w:pStyle w:val="Akapitzlist"/>
        <w:numPr>
          <w:ilvl w:val="0"/>
          <w:numId w:val="50"/>
        </w:numPr>
        <w:tabs>
          <w:tab w:val="left" w:pos="567"/>
        </w:tabs>
        <w:ind w:left="1276"/>
        <w:jc w:val="both"/>
        <w:rPr>
          <w:i/>
          <w:color w:val="000000"/>
          <w:sz w:val="22"/>
          <w:szCs w:val="22"/>
        </w:rPr>
      </w:pPr>
      <w:r>
        <w:rPr>
          <w:i/>
          <w:color w:val="000000"/>
          <w:sz w:val="22"/>
          <w:szCs w:val="22"/>
        </w:rPr>
        <w:t xml:space="preserve">Specyfikacja Techniczna Wykonania i Odbioru Robót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Default="00B125A3" w:rsidP="00323518">
      <w:pPr>
        <w:tabs>
          <w:tab w:val="left" w:pos="567"/>
        </w:tabs>
        <w:rPr>
          <w:i/>
          <w:color w:val="000000"/>
          <w:sz w:val="22"/>
          <w:szCs w:val="22"/>
        </w:rPr>
      </w:pPr>
    </w:p>
    <w:p w14:paraId="6411B864" w14:textId="77777777" w:rsidR="009F2E89" w:rsidRPr="00171864" w:rsidRDefault="009F2E89"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46BE80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1FFD4364"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4331E7C3" w:rsidR="00516D1D"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A2350C">
      <w:pPr>
        <w:pStyle w:val="Akapitzlist"/>
        <w:numPr>
          <w:ilvl w:val="0"/>
          <w:numId w:val="51"/>
        </w:numPr>
        <w:jc w:val="both"/>
        <w:rPr>
          <w:color w:val="000000"/>
          <w:sz w:val="22"/>
          <w:szCs w:val="22"/>
        </w:rPr>
      </w:pPr>
      <w:r>
        <w:rPr>
          <w:color w:val="000000"/>
          <w:sz w:val="22"/>
          <w:szCs w:val="22"/>
        </w:rPr>
        <w:t>………………………………………………………</w:t>
      </w:r>
    </w:p>
    <w:p w14:paraId="39F08519" w14:textId="52DAA489" w:rsidR="00406480" w:rsidRDefault="00F96D00" w:rsidP="00323518">
      <w:pPr>
        <w:numPr>
          <w:ilvl w:val="0"/>
          <w:numId w:val="1"/>
        </w:numPr>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406480">
      <w:pPr>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 xml:space="preserve">i przekazany </w:t>
      </w:r>
      <w:r w:rsidRPr="00171864">
        <w:rPr>
          <w:color w:val="000000"/>
          <w:sz w:val="22"/>
          <w:szCs w:val="22"/>
        </w:rPr>
        <w:lastRenderedPageBreak/>
        <w:t>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lastRenderedPageBreak/>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621D7C">
      <w:pPr>
        <w:widowControl/>
        <w:overflowPunct/>
        <w:autoSpaceDE/>
        <w:adjustRightInd/>
        <w:jc w:val="both"/>
        <w:rPr>
          <w:kern w:val="3"/>
          <w:szCs w:val="24"/>
        </w:rPr>
      </w:pPr>
      <w:r w:rsidRPr="00621D7C">
        <w:rPr>
          <w:kern w:val="3"/>
          <w:szCs w:val="24"/>
        </w:rPr>
        <w:t xml:space="preserve">- osoby, które wykonują czynności bezpośrednio związane z wykonywaniem robót, czyli tzw. pracowników fizycznych. </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 xml:space="preserve">z przepisami Rozporządzenia Parlamentu Europejskiego i Rady ( UE) 2016/679 z dnia 27 kwietnia 2016 w sprawie ochrony osób fizycznych w związku z przetwarzaniem danych osobowych i w sprawie swobodnego </w:t>
      </w:r>
      <w:r w:rsidR="000156D9" w:rsidRPr="00171864">
        <w:rPr>
          <w:rFonts w:eastAsia="Calibri"/>
          <w:i/>
          <w:sz w:val="22"/>
          <w:szCs w:val="22"/>
          <w:lang w:eastAsia="en-US"/>
        </w:rPr>
        <w:lastRenderedPageBreak/>
        <w:t>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31F6234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zgłoszon</w:t>
      </w:r>
      <w:r w:rsidR="002317F7">
        <w:rPr>
          <w:sz w:val="22"/>
          <w:szCs w:val="22"/>
        </w:rPr>
        <w:t>y</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lastRenderedPageBreak/>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5F0B3BB3" w:rsidR="00217260" w:rsidRPr="00C67EF6" w:rsidRDefault="0051741E" w:rsidP="00C67EF6">
      <w:pPr>
        <w:pStyle w:val="Akapitzlist"/>
        <w:numPr>
          <w:ilvl w:val="0"/>
          <w:numId w:val="52"/>
        </w:numPr>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C67EF6">
      <w:pPr>
        <w:pStyle w:val="Akapitzlist"/>
        <w:numPr>
          <w:ilvl w:val="0"/>
          <w:numId w:val="52"/>
        </w:numPr>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C67EF6">
      <w:pPr>
        <w:pStyle w:val="Akapitzlist"/>
        <w:numPr>
          <w:ilvl w:val="0"/>
          <w:numId w:val="52"/>
        </w:numPr>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C67EF6">
      <w:pPr>
        <w:pStyle w:val="Akapitzlist"/>
        <w:numPr>
          <w:ilvl w:val="0"/>
          <w:numId w:val="52"/>
        </w:numPr>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C67EF6">
      <w:pPr>
        <w:pStyle w:val="Akapitzlist"/>
        <w:numPr>
          <w:ilvl w:val="0"/>
          <w:numId w:val="52"/>
        </w:numPr>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66AEF980" w:rsidR="0067584E" w:rsidRPr="00C67EF6" w:rsidRDefault="0067584E" w:rsidP="00C67EF6">
      <w:pPr>
        <w:pStyle w:val="Akapitzlist"/>
        <w:numPr>
          <w:ilvl w:val="0"/>
          <w:numId w:val="52"/>
        </w:numPr>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0C53E7A3" w:rsidR="00971A39" w:rsidRPr="00171864" w:rsidRDefault="006A2BEF"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w:t>
      </w:r>
      <w:r w:rsidR="00105ED3">
        <w:rPr>
          <w:bCs/>
          <w:sz w:val="22"/>
          <w:szCs w:val="22"/>
        </w:rPr>
        <w:t>20</w:t>
      </w:r>
      <w:r w:rsidRPr="00171864">
        <w:rPr>
          <w:bCs/>
          <w:sz w:val="22"/>
          <w:szCs w:val="22"/>
        </w:rPr>
        <w:t xml:space="preserve"> dni od daty podpisania umowy. </w:t>
      </w:r>
      <w:r w:rsidR="0067584E" w:rsidRPr="00171864">
        <w:rPr>
          <w:bCs/>
          <w:sz w:val="22"/>
          <w:szCs w:val="22"/>
        </w:rPr>
        <w:t xml:space="preserve">Podstawą wystawienia faktury </w:t>
      </w:r>
      <w:r w:rsidR="00BC42D7" w:rsidRPr="00171864">
        <w:rPr>
          <w:bCs/>
          <w:sz w:val="22"/>
          <w:szCs w:val="22"/>
        </w:rPr>
        <w:lastRenderedPageBreak/>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C67EF6">
      <w:pPr>
        <w:pStyle w:val="Tekstpodstawowy"/>
        <w:widowControl/>
        <w:numPr>
          <w:ilvl w:val="0"/>
          <w:numId w:val="7"/>
        </w:numPr>
        <w:suppressAutoHyphens w:val="0"/>
        <w:overflowPunct/>
        <w:autoSpaceDE/>
        <w:autoSpaceDN/>
        <w:adjustRightInd/>
        <w:spacing w:after="0"/>
        <w:ind w:left="284"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 xml:space="preserve">Wykonawca jest zobowiązany do zapłaty Zamawiającemu kar umownych w tym z tytułu niewykonania </w:t>
      </w:r>
      <w:r w:rsidRPr="00171864">
        <w:rPr>
          <w:color w:val="000000"/>
          <w:sz w:val="22"/>
          <w:szCs w:val="22"/>
        </w:rPr>
        <w:lastRenderedPageBreak/>
        <w:t>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6FA70AD"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w:t>
      </w:r>
      <w:r w:rsidR="000B2967">
        <w:rPr>
          <w:color w:val="000000"/>
          <w:sz w:val="22"/>
          <w:szCs w:val="22"/>
        </w:rPr>
        <w:t>5</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lastRenderedPageBreak/>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249F16DF" w:rsidR="00D74396"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0D71CB">
      <w:pPr>
        <w:pStyle w:val="Akapitzlist"/>
        <w:numPr>
          <w:ilvl w:val="0"/>
          <w:numId w:val="9"/>
        </w:numPr>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lastRenderedPageBreak/>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w:t>
      </w:r>
      <w:r w:rsidRPr="00415A33">
        <w:rPr>
          <w:color w:val="000000"/>
          <w:sz w:val="22"/>
          <w:szCs w:val="22"/>
        </w:rPr>
        <w:lastRenderedPageBreak/>
        <w:t xml:space="preserve">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lastRenderedPageBreak/>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7B40498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lastRenderedPageBreak/>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0448570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A84944">
      <w:pPr>
        <w:pStyle w:val="Akapitzlist"/>
        <w:numPr>
          <w:ilvl w:val="3"/>
          <w:numId w:val="55"/>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A84944">
      <w:pPr>
        <w:pStyle w:val="Akapitzlist"/>
        <w:numPr>
          <w:ilvl w:val="3"/>
          <w:numId w:val="55"/>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A84944">
      <w:pPr>
        <w:pStyle w:val="Akapitzlist"/>
        <w:numPr>
          <w:ilvl w:val="3"/>
          <w:numId w:val="55"/>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xml:space="preserve">. W razie zmiany adresu, każda ze stron jest zobowiązana do niezwłocznego, pisemnego poinformowania o tym </w:t>
      </w:r>
      <w:r w:rsidRPr="00047C81">
        <w:rPr>
          <w:sz w:val="22"/>
          <w:szCs w:val="22"/>
        </w:rPr>
        <w:lastRenderedPageBreak/>
        <w:t>drugiej strony. Do tego czasu, wszelkie doręczenia i próby doręczeń dokonywane na dotychczasowe adresy wywołują skutek prawny.</w:t>
      </w:r>
    </w:p>
    <w:p w14:paraId="0601FE4B" w14:textId="5EFC33C2" w:rsidR="00503531" w:rsidRPr="00047C81" w:rsidRDefault="00503531" w:rsidP="00A84944">
      <w:pPr>
        <w:pStyle w:val="Akapitzlist"/>
        <w:numPr>
          <w:ilvl w:val="0"/>
          <w:numId w:val="55"/>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507CD74D"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36DC" w14:textId="77777777" w:rsidR="00B8167D" w:rsidRDefault="00B8167D">
      <w:r>
        <w:separator/>
      </w:r>
    </w:p>
  </w:endnote>
  <w:endnote w:type="continuationSeparator" w:id="0">
    <w:p w14:paraId="45E79FBA" w14:textId="77777777" w:rsidR="00B8167D" w:rsidRDefault="00B8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C0CB" w14:textId="77777777" w:rsidR="00B8167D" w:rsidRDefault="00B8167D">
      <w:r>
        <w:separator/>
      </w:r>
    </w:p>
  </w:footnote>
  <w:footnote w:type="continuationSeparator" w:id="0">
    <w:p w14:paraId="25C5623A" w14:textId="77777777" w:rsidR="00B8167D" w:rsidRDefault="00B8167D">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22119F1D"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 xml:space="preserve">ZNAK SPRAWY : ZP.271.14.2022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5"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7789777">
    <w:abstractNumId w:val="17"/>
  </w:num>
  <w:num w:numId="2" w16cid:durableId="1562326560">
    <w:abstractNumId w:val="48"/>
  </w:num>
  <w:num w:numId="3" w16cid:durableId="1443501771">
    <w:abstractNumId w:val="45"/>
  </w:num>
  <w:num w:numId="4" w16cid:durableId="1496219021">
    <w:abstractNumId w:val="11"/>
  </w:num>
  <w:num w:numId="5" w16cid:durableId="379981297">
    <w:abstractNumId w:val="13"/>
  </w:num>
  <w:num w:numId="6" w16cid:durableId="1545482926">
    <w:abstractNumId w:val="18"/>
  </w:num>
  <w:num w:numId="7" w16cid:durableId="1023365670">
    <w:abstractNumId w:val="56"/>
  </w:num>
  <w:num w:numId="8" w16cid:durableId="268776336">
    <w:abstractNumId w:val="15"/>
  </w:num>
  <w:num w:numId="9" w16cid:durableId="1633167211">
    <w:abstractNumId w:val="46"/>
  </w:num>
  <w:num w:numId="10" w16cid:durableId="1595556918">
    <w:abstractNumId w:val="4"/>
  </w:num>
  <w:num w:numId="11" w16cid:durableId="1210653353">
    <w:abstractNumId w:val="12"/>
  </w:num>
  <w:num w:numId="12" w16cid:durableId="2000384264">
    <w:abstractNumId w:val="52"/>
  </w:num>
  <w:num w:numId="13" w16cid:durableId="1261987173">
    <w:abstractNumId w:val="39"/>
  </w:num>
  <w:num w:numId="14" w16cid:durableId="1348751016">
    <w:abstractNumId w:val="35"/>
  </w:num>
  <w:num w:numId="15" w16cid:durableId="1796631731">
    <w:abstractNumId w:val="43"/>
  </w:num>
  <w:num w:numId="16" w16cid:durableId="629284712">
    <w:abstractNumId w:val="25"/>
  </w:num>
  <w:num w:numId="17" w16cid:durableId="1231892548">
    <w:abstractNumId w:val="49"/>
  </w:num>
  <w:num w:numId="18" w16cid:durableId="1096825981">
    <w:abstractNumId w:val="16"/>
  </w:num>
  <w:num w:numId="19" w16cid:durableId="941570966">
    <w:abstractNumId w:val="21"/>
  </w:num>
  <w:num w:numId="20" w16cid:durableId="17971421">
    <w:abstractNumId w:val="51"/>
  </w:num>
  <w:num w:numId="21" w16cid:durableId="1617639504">
    <w:abstractNumId w:val="37"/>
  </w:num>
  <w:num w:numId="22" w16cid:durableId="155075655">
    <w:abstractNumId w:val="5"/>
  </w:num>
  <w:num w:numId="23" w16cid:durableId="2071154960">
    <w:abstractNumId w:val="54"/>
  </w:num>
  <w:num w:numId="24" w16cid:durableId="83962992">
    <w:abstractNumId w:val="23"/>
  </w:num>
  <w:num w:numId="25" w16cid:durableId="273905506">
    <w:abstractNumId w:val="55"/>
  </w:num>
  <w:num w:numId="26" w16cid:durableId="528027091">
    <w:abstractNumId w:val="6"/>
  </w:num>
  <w:num w:numId="27" w16cid:durableId="1697189728">
    <w:abstractNumId w:val="36"/>
  </w:num>
  <w:num w:numId="28" w16cid:durableId="933906136">
    <w:abstractNumId w:val="34"/>
  </w:num>
  <w:num w:numId="29" w16cid:durableId="778331377">
    <w:abstractNumId w:val="0"/>
  </w:num>
  <w:num w:numId="30" w16cid:durableId="561672325">
    <w:abstractNumId w:val="27"/>
  </w:num>
  <w:num w:numId="31" w16cid:durableId="396057420">
    <w:abstractNumId w:val="8"/>
  </w:num>
  <w:num w:numId="32" w16cid:durableId="5330080">
    <w:abstractNumId w:val="7"/>
  </w:num>
  <w:num w:numId="33" w16cid:durableId="1810392941">
    <w:abstractNumId w:val="19"/>
  </w:num>
  <w:num w:numId="34" w16cid:durableId="112140052">
    <w:abstractNumId w:val="28"/>
  </w:num>
  <w:num w:numId="35" w16cid:durableId="987168777">
    <w:abstractNumId w:val="31"/>
  </w:num>
  <w:num w:numId="36" w16cid:durableId="346490382">
    <w:abstractNumId w:val="38"/>
  </w:num>
  <w:num w:numId="37" w16cid:durableId="748190627">
    <w:abstractNumId w:val="14"/>
  </w:num>
  <w:num w:numId="38" w16cid:durableId="76946636">
    <w:abstractNumId w:val="40"/>
  </w:num>
  <w:num w:numId="39" w16cid:durableId="180432433">
    <w:abstractNumId w:val="24"/>
  </w:num>
  <w:num w:numId="40" w16cid:durableId="567763443">
    <w:abstractNumId w:val="29"/>
  </w:num>
  <w:num w:numId="41" w16cid:durableId="567033701">
    <w:abstractNumId w:val="9"/>
  </w:num>
  <w:num w:numId="42" w16cid:durableId="1633171006">
    <w:abstractNumId w:val="42"/>
  </w:num>
  <w:num w:numId="43" w16cid:durableId="419638146">
    <w:abstractNumId w:val="57"/>
  </w:num>
  <w:num w:numId="44" w16cid:durableId="604384075">
    <w:abstractNumId w:val="30"/>
  </w:num>
  <w:num w:numId="45" w16cid:durableId="380129157">
    <w:abstractNumId w:val="22"/>
  </w:num>
  <w:num w:numId="46" w16cid:durableId="543104033">
    <w:abstractNumId w:val="47"/>
  </w:num>
  <w:num w:numId="47" w16cid:durableId="1955861826">
    <w:abstractNumId w:val="50"/>
  </w:num>
  <w:num w:numId="48" w16cid:durableId="2047216481">
    <w:abstractNumId w:val="41"/>
  </w:num>
  <w:num w:numId="49" w16cid:durableId="1603297328">
    <w:abstractNumId w:val="32"/>
  </w:num>
  <w:num w:numId="50" w16cid:durableId="2136678403">
    <w:abstractNumId w:val="20"/>
  </w:num>
  <w:num w:numId="51" w16cid:durableId="264770359">
    <w:abstractNumId w:val="33"/>
  </w:num>
  <w:num w:numId="52" w16cid:durableId="1840734316">
    <w:abstractNumId w:val="44"/>
  </w:num>
  <w:num w:numId="53" w16cid:durableId="132606141">
    <w:abstractNumId w:val="10"/>
  </w:num>
  <w:num w:numId="54" w16cid:durableId="1867132758">
    <w:abstractNumId w:val="26"/>
  </w:num>
  <w:num w:numId="55" w16cid:durableId="1115753663">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25A36"/>
    <w:rsid w:val="00035F9A"/>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0F70"/>
    <w:rsid w:val="007F62F3"/>
    <w:rsid w:val="007F76B0"/>
    <w:rsid w:val="008001C7"/>
    <w:rsid w:val="00812329"/>
    <w:rsid w:val="008135C2"/>
    <w:rsid w:val="008205ED"/>
    <w:rsid w:val="008278AD"/>
    <w:rsid w:val="008309D3"/>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05C9"/>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76748"/>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A193-3365-47BE-B292-111C3958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10332</Words>
  <Characters>61992</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Ewa Ksiadz</cp:lastModifiedBy>
  <cp:revision>5</cp:revision>
  <cp:lastPrinted>2022-04-22T06:07:00Z</cp:lastPrinted>
  <dcterms:created xsi:type="dcterms:W3CDTF">2022-08-02T09:18:00Z</dcterms:created>
  <dcterms:modified xsi:type="dcterms:W3CDTF">2022-08-08T13:00:00Z</dcterms:modified>
</cp:coreProperties>
</file>