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42" w:rsidRPr="00BB3B05" w:rsidRDefault="005C5F49" w:rsidP="00C627B1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BB3B05">
        <w:rPr>
          <w:rFonts w:ascii="Arial" w:hAnsi="Arial" w:cs="Arial"/>
        </w:rPr>
        <w:t xml:space="preserve">    </w:t>
      </w:r>
      <w:r w:rsidR="00E74842" w:rsidRPr="00BB3B05">
        <w:rPr>
          <w:rFonts w:ascii="Arial" w:hAnsi="Arial" w:cs="Arial"/>
        </w:rPr>
        <w:t xml:space="preserve">Świnoujście, </w:t>
      </w:r>
      <w:r w:rsidR="009B4A0A">
        <w:rPr>
          <w:rFonts w:ascii="Arial" w:hAnsi="Arial" w:cs="Arial"/>
        </w:rPr>
        <w:t>9</w:t>
      </w:r>
      <w:r w:rsidR="005F36BD">
        <w:rPr>
          <w:rFonts w:ascii="Arial" w:hAnsi="Arial" w:cs="Arial"/>
        </w:rPr>
        <w:t xml:space="preserve"> </w:t>
      </w:r>
      <w:bookmarkStart w:id="0" w:name="_GoBack"/>
      <w:bookmarkEnd w:id="0"/>
      <w:r w:rsidR="008C2DA8" w:rsidRPr="00BB3B05">
        <w:rPr>
          <w:rFonts w:ascii="Arial" w:hAnsi="Arial" w:cs="Arial"/>
        </w:rPr>
        <w:t xml:space="preserve"> sierpnia </w:t>
      </w:r>
      <w:r w:rsidR="00E74842" w:rsidRPr="00BB3B05">
        <w:rPr>
          <w:rFonts w:ascii="Arial" w:hAnsi="Arial" w:cs="Arial"/>
        </w:rPr>
        <w:t>2022 r.</w:t>
      </w:r>
    </w:p>
    <w:p w:rsidR="00520828" w:rsidRPr="00BB3B05" w:rsidRDefault="00520828" w:rsidP="00C627B1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</w:p>
    <w:p w:rsidR="00520828" w:rsidRPr="00BB3B05" w:rsidRDefault="00520828" w:rsidP="00C627B1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</w:p>
    <w:p w:rsidR="00520828" w:rsidRPr="00BB3B05" w:rsidRDefault="00520828" w:rsidP="00C627B1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</w:p>
    <w:p w:rsidR="00E74842" w:rsidRPr="00BB3B05" w:rsidRDefault="00E74842" w:rsidP="00C627B1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  <w:r w:rsidRPr="00BB3B05">
        <w:rPr>
          <w:rFonts w:ascii="Arial" w:hAnsi="Arial" w:cs="Arial"/>
        </w:rPr>
        <w:t>Nr postępowania BZP.271.1.</w:t>
      </w:r>
      <w:r w:rsidR="00FA349F" w:rsidRPr="00BB3B05">
        <w:rPr>
          <w:rFonts w:ascii="Arial" w:hAnsi="Arial" w:cs="Arial"/>
        </w:rPr>
        <w:t>15</w:t>
      </w:r>
      <w:r w:rsidR="00CE2A7A" w:rsidRPr="00BB3B05">
        <w:rPr>
          <w:rFonts w:ascii="Arial" w:hAnsi="Arial" w:cs="Arial"/>
        </w:rPr>
        <w:t>.2022</w:t>
      </w:r>
    </w:p>
    <w:p w:rsidR="00C45830" w:rsidRPr="00BB3B05" w:rsidRDefault="00C45830" w:rsidP="00C627B1">
      <w:pPr>
        <w:tabs>
          <w:tab w:val="center" w:pos="4535"/>
        </w:tabs>
        <w:spacing w:after="0" w:line="276" w:lineRule="auto"/>
        <w:rPr>
          <w:rFonts w:ascii="Arial" w:hAnsi="Arial" w:cs="Arial"/>
        </w:rPr>
      </w:pPr>
    </w:p>
    <w:p w:rsidR="00E74842" w:rsidRPr="00BB3B05" w:rsidRDefault="00E74842" w:rsidP="00C627B1">
      <w:pPr>
        <w:numPr>
          <w:ilvl w:val="0"/>
          <w:numId w:val="1"/>
        </w:numPr>
        <w:spacing w:after="0" w:line="276" w:lineRule="auto"/>
        <w:ind w:left="4253" w:hanging="284"/>
        <w:rPr>
          <w:rFonts w:ascii="Arial" w:hAnsi="Arial" w:cs="Arial"/>
          <w:b/>
        </w:rPr>
      </w:pPr>
      <w:r w:rsidRPr="00BB3B05">
        <w:rPr>
          <w:rFonts w:ascii="Arial" w:hAnsi="Arial" w:cs="Arial"/>
          <w:b/>
        </w:rPr>
        <w:t>Wykonawcy biorący udział w postępowaniu</w:t>
      </w:r>
    </w:p>
    <w:p w:rsidR="00E74842" w:rsidRPr="00BB3B05" w:rsidRDefault="00E74842" w:rsidP="00C627B1">
      <w:pPr>
        <w:numPr>
          <w:ilvl w:val="0"/>
          <w:numId w:val="1"/>
        </w:numPr>
        <w:spacing w:after="0" w:line="276" w:lineRule="auto"/>
        <w:ind w:left="3969" w:firstLine="0"/>
        <w:rPr>
          <w:rFonts w:ascii="Arial" w:hAnsi="Arial" w:cs="Arial"/>
          <w:b/>
        </w:rPr>
      </w:pPr>
      <w:r w:rsidRPr="00BB3B05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E74842" w:rsidRPr="00BB3B05" w:rsidRDefault="00E74842" w:rsidP="00C627B1">
      <w:pPr>
        <w:spacing w:after="0" w:line="276" w:lineRule="auto"/>
        <w:rPr>
          <w:rFonts w:ascii="Arial" w:hAnsi="Arial" w:cs="Arial"/>
        </w:rPr>
      </w:pPr>
    </w:p>
    <w:p w:rsidR="00C45830" w:rsidRPr="00BB3B05" w:rsidRDefault="00E74842" w:rsidP="00C627B1">
      <w:pPr>
        <w:spacing w:after="0" w:line="276" w:lineRule="auto"/>
        <w:rPr>
          <w:rFonts w:ascii="Arial" w:hAnsi="Arial" w:cs="Arial"/>
          <w:b/>
          <w:spacing w:val="-4"/>
        </w:rPr>
      </w:pPr>
      <w:r w:rsidRPr="00BB3B05">
        <w:rPr>
          <w:rFonts w:ascii="Arial" w:hAnsi="Arial" w:cs="Arial"/>
          <w:b/>
        </w:rPr>
        <w:t>Dotyczy: postępowania nr BZP.271.1.</w:t>
      </w:r>
      <w:r w:rsidR="00FA349F" w:rsidRPr="00BB3B05">
        <w:rPr>
          <w:rFonts w:ascii="Arial" w:hAnsi="Arial" w:cs="Arial"/>
          <w:b/>
        </w:rPr>
        <w:t>15</w:t>
      </w:r>
      <w:r w:rsidRPr="00BB3B05">
        <w:rPr>
          <w:rFonts w:ascii="Arial" w:hAnsi="Arial" w:cs="Arial"/>
          <w:b/>
        </w:rPr>
        <w:t>.202</w:t>
      </w:r>
      <w:r w:rsidR="00A755F4" w:rsidRPr="00BB3B05">
        <w:rPr>
          <w:rFonts w:ascii="Arial" w:hAnsi="Arial" w:cs="Arial"/>
          <w:b/>
        </w:rPr>
        <w:t>2</w:t>
      </w:r>
      <w:r w:rsidRPr="00BB3B05">
        <w:rPr>
          <w:rFonts w:ascii="Arial" w:hAnsi="Arial" w:cs="Arial"/>
          <w:b/>
        </w:rPr>
        <w:t xml:space="preserve"> pn. </w:t>
      </w:r>
      <w:r w:rsidR="00C45830" w:rsidRPr="00BB3B05">
        <w:rPr>
          <w:rFonts w:ascii="Arial" w:hAnsi="Arial" w:cs="Arial"/>
          <w:b/>
          <w:spacing w:val="-4"/>
        </w:rPr>
        <w:t>„Remont elewacji budynku CAM nr 5</w:t>
      </w:r>
      <w:r w:rsidR="00C45830" w:rsidRPr="00BB3B05">
        <w:rPr>
          <w:rFonts w:ascii="Arial" w:hAnsi="Arial" w:cs="Arial"/>
          <w:b/>
          <w:spacing w:val="-4"/>
        </w:rPr>
        <w:br/>
        <w:t>z budową zewnętrznego szybu windowego oraz instalacją dźwigu osobowego, a także wymiana zewnętrznej stolarki okiennej i drzwiowej”</w:t>
      </w:r>
    </w:p>
    <w:p w:rsidR="00C23096" w:rsidRPr="00BB3B05" w:rsidRDefault="00C23096" w:rsidP="00C627B1">
      <w:pPr>
        <w:pStyle w:val="Default"/>
        <w:spacing w:line="276" w:lineRule="auto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0D3D88" w:rsidRPr="00BB3B05" w:rsidRDefault="000D3D88" w:rsidP="00754EB7">
      <w:pPr>
        <w:pStyle w:val="Default"/>
        <w:spacing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  <w:r w:rsidRPr="00BB3B05">
        <w:rPr>
          <w:rFonts w:ascii="Arial" w:eastAsia="Calibri" w:hAnsi="Arial" w:cs="Arial"/>
          <w:b/>
          <w:color w:val="auto"/>
          <w:sz w:val="22"/>
          <w:szCs w:val="22"/>
        </w:rPr>
        <w:t>Odpowiedzi na pytania</w:t>
      </w:r>
    </w:p>
    <w:p w:rsidR="000D3D88" w:rsidRPr="00BB3B05" w:rsidRDefault="000D3D88" w:rsidP="00C627B1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 w:rsidRPr="00BB3B05">
        <w:rPr>
          <w:rFonts w:ascii="Arial" w:hAnsi="Arial" w:cs="Arial"/>
          <w:b/>
        </w:rPr>
        <w:t xml:space="preserve">Pytanie nr </w:t>
      </w:r>
      <w:r w:rsidRPr="00BB3B05">
        <w:rPr>
          <w:rFonts w:ascii="Arial" w:eastAsiaTheme="minorHAnsi" w:hAnsi="Arial" w:cs="Arial"/>
        </w:rPr>
        <w:t>1</w:t>
      </w:r>
    </w:p>
    <w:p w:rsidR="000D3D88" w:rsidRPr="00BB3B05" w:rsidRDefault="002B6379" w:rsidP="00C627B1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 w:rsidRPr="00BB3B05">
        <w:rPr>
          <w:rFonts w:ascii="Arial" w:eastAsiaTheme="minorHAnsi" w:hAnsi="Arial" w:cs="Arial"/>
        </w:rPr>
        <w:t>Czy oferent może redagować zakres rzeczowo-finansowy?</w:t>
      </w:r>
      <w:r w:rsidR="000D3D88" w:rsidRPr="00BB3B05">
        <w:rPr>
          <w:rFonts w:ascii="Arial" w:eastAsiaTheme="minorHAnsi" w:hAnsi="Arial" w:cs="Arial"/>
        </w:rPr>
        <w:t xml:space="preserve"> </w:t>
      </w:r>
    </w:p>
    <w:p w:rsidR="000D3D88" w:rsidRPr="00BB3B05" w:rsidRDefault="000D3D88" w:rsidP="00C627B1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</w:p>
    <w:p w:rsidR="000D3D88" w:rsidRPr="00BB3B05" w:rsidRDefault="000D3D88" w:rsidP="00C627B1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  <w:b/>
        </w:rPr>
      </w:pPr>
      <w:r w:rsidRPr="00BB3B05">
        <w:rPr>
          <w:rFonts w:ascii="Arial" w:eastAsiaTheme="minorHAnsi" w:hAnsi="Arial" w:cs="Arial"/>
          <w:b/>
          <w:highlight w:val="yellow"/>
        </w:rPr>
        <w:t>Odpowiedź</w:t>
      </w:r>
    </w:p>
    <w:p w:rsidR="002B6379" w:rsidRPr="00BB3B05" w:rsidRDefault="002B6379" w:rsidP="002B6379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 w:rsidRPr="00BB3B05">
        <w:rPr>
          <w:rFonts w:ascii="Arial" w:eastAsiaTheme="minorHAnsi" w:hAnsi="Arial" w:cs="Arial"/>
        </w:rPr>
        <w:t xml:space="preserve">Zakres rzeczowo – finansowy należy wypełnić podając scalone ceny jednostkowe dla poszczególnych pozycji oraz wartość poszczególnych pozycji uzyskaną przez przemnożenie podanych przez Zamawiającego ilości przez oferowaną scaloną cenę jednostkową. </w:t>
      </w:r>
    </w:p>
    <w:p w:rsidR="000D3D88" w:rsidRPr="00BB3B05" w:rsidRDefault="002B6379" w:rsidP="002B6379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 w:rsidRPr="00BB3B05">
        <w:rPr>
          <w:rFonts w:ascii="Arial" w:eastAsiaTheme="minorHAnsi" w:hAnsi="Arial" w:cs="Arial"/>
        </w:rPr>
        <w:t>Wykonawca nie może we własnym zakresie zmieniać opisu lub ilości podanych przez Zamawiającego w poszczególnych pozycjach, nie może dodawać ani usuwać pozycji ujętych w tabeli „zakres rzeczowo – finansowy” .</w:t>
      </w:r>
    </w:p>
    <w:p w:rsidR="005F7DBA" w:rsidRPr="00BB3B05" w:rsidRDefault="005F7DBA" w:rsidP="00C627B1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</w:p>
    <w:p w:rsidR="000D3D88" w:rsidRPr="00BB3B05" w:rsidRDefault="000D3D88" w:rsidP="00C627B1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  <w:b/>
        </w:rPr>
      </w:pPr>
      <w:r w:rsidRPr="00BB3B05">
        <w:rPr>
          <w:rFonts w:ascii="Arial" w:eastAsiaTheme="minorHAnsi" w:hAnsi="Arial" w:cs="Arial"/>
          <w:b/>
        </w:rPr>
        <w:t>Pytanie nr 2</w:t>
      </w:r>
    </w:p>
    <w:p w:rsidR="000D3D88" w:rsidRPr="00BB3B05" w:rsidRDefault="002B6379" w:rsidP="00C627B1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 w:rsidRPr="00BB3B05">
        <w:rPr>
          <w:rFonts w:ascii="Arial" w:eastAsiaTheme="minorHAnsi" w:hAnsi="Arial" w:cs="Arial"/>
        </w:rPr>
        <w:t>Jak należy uwzględnić prace, które są do wykonanie wg dokumentacji projektowej, a których brakuje w tym zakresie m.in. rozebranie podjazdu dla niepełnosprawnych, termoizolacja i hydroizolacja ścian piwnic i fos doświetlających, remont elementów ślusarskich (tych niepodlegających wymianie), przemurowanie zamurowanych otworów okiennych wraz z obrobieniem styropianem, wymiana lamp zewnętrznych?</w:t>
      </w:r>
    </w:p>
    <w:p w:rsidR="004D7E6F" w:rsidRPr="00BB3B05" w:rsidRDefault="004D7E6F" w:rsidP="00C627B1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F01072" w:rsidRPr="00BB3B05" w:rsidRDefault="000D3D88" w:rsidP="00F01072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B3B05">
        <w:rPr>
          <w:rFonts w:ascii="Arial" w:hAnsi="Arial" w:cs="Arial"/>
          <w:b/>
          <w:color w:val="auto"/>
          <w:sz w:val="22"/>
          <w:szCs w:val="22"/>
          <w:highlight w:val="yellow"/>
        </w:rPr>
        <w:t>Odpowiedź:</w:t>
      </w:r>
    </w:p>
    <w:p w:rsidR="00F01072" w:rsidRPr="00BB3B05" w:rsidRDefault="00F01072" w:rsidP="00F0107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B3B05">
        <w:rPr>
          <w:rFonts w:ascii="Arial" w:hAnsi="Arial" w:cs="Arial"/>
          <w:color w:val="auto"/>
          <w:sz w:val="22"/>
          <w:szCs w:val="22"/>
        </w:rPr>
        <w:t>Zakres rzeczowo – finansowo zostaje uzupełniony o następujące pozycje:</w:t>
      </w:r>
    </w:p>
    <w:p w:rsidR="00F01072" w:rsidRPr="00BB3B05" w:rsidRDefault="00F01072" w:rsidP="00F0107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B3B05">
        <w:rPr>
          <w:rFonts w:ascii="Arial" w:hAnsi="Arial" w:cs="Arial"/>
          <w:color w:val="auto"/>
          <w:sz w:val="22"/>
          <w:szCs w:val="22"/>
        </w:rPr>
        <w:t xml:space="preserve"> Poz. 3A – demontaż balustrady stalowej z przeznaczeniem do ponownego montażu </w:t>
      </w:r>
    </w:p>
    <w:p w:rsidR="00F01072" w:rsidRPr="00BB3B05" w:rsidRDefault="00F01072" w:rsidP="00F0107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B3B05">
        <w:rPr>
          <w:rFonts w:ascii="Arial" w:hAnsi="Arial" w:cs="Arial"/>
          <w:color w:val="auto"/>
          <w:sz w:val="22"/>
          <w:szCs w:val="22"/>
        </w:rPr>
        <w:t>i odwiezieniem na miejsce składowania na odległość do 5 km</w:t>
      </w:r>
    </w:p>
    <w:p w:rsidR="00F01072" w:rsidRPr="00BB3B05" w:rsidRDefault="00F01072" w:rsidP="00F0107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BB3B05">
        <w:rPr>
          <w:rFonts w:ascii="Arial" w:hAnsi="Arial" w:cs="Arial"/>
          <w:color w:val="auto"/>
          <w:sz w:val="22"/>
          <w:szCs w:val="22"/>
        </w:rPr>
        <w:t>Poz</w:t>
      </w:r>
      <w:proofErr w:type="spellEnd"/>
      <w:r w:rsidRPr="00BB3B05">
        <w:rPr>
          <w:rFonts w:ascii="Arial" w:hAnsi="Arial" w:cs="Arial"/>
          <w:color w:val="auto"/>
          <w:sz w:val="22"/>
          <w:szCs w:val="22"/>
        </w:rPr>
        <w:t xml:space="preserve"> . 3B – Rozbiórka krawężników z cegły klinkierowej z oczyszczeniem z zaprawy, z przeznaczeniem do ponownego wbudowania wraz z odwiezieniem na miejsce składowania na odległość do 5 km</w:t>
      </w:r>
    </w:p>
    <w:p w:rsidR="00F01072" w:rsidRPr="00BB3B05" w:rsidRDefault="00F01072" w:rsidP="00F0107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B3B05">
        <w:rPr>
          <w:rFonts w:ascii="Arial" w:hAnsi="Arial" w:cs="Arial"/>
          <w:color w:val="auto"/>
          <w:sz w:val="22"/>
          <w:szCs w:val="22"/>
        </w:rPr>
        <w:t>Poz. 3C - Rozbiórka podestów, podjazdów z nawierzchnią z płyt chodnikowych lub terakoty</w:t>
      </w:r>
    </w:p>
    <w:p w:rsidR="00F01072" w:rsidRPr="00BB3B05" w:rsidRDefault="00F01072" w:rsidP="00F0107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B3B05">
        <w:rPr>
          <w:rFonts w:ascii="Arial" w:hAnsi="Arial" w:cs="Arial"/>
          <w:color w:val="auto"/>
          <w:sz w:val="22"/>
          <w:szCs w:val="22"/>
        </w:rPr>
        <w:t>Poz. 3D - Rozbiórka przeszklonej obudowy przedsionka z konstrukcją z profili PCV wraz z wywozem i utylizacją  materiałów pochodzących z rozbiórki</w:t>
      </w:r>
    </w:p>
    <w:p w:rsidR="00F01072" w:rsidRPr="00BB3B05" w:rsidRDefault="00F01072" w:rsidP="00F0107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B3B05">
        <w:rPr>
          <w:rFonts w:ascii="Arial" w:hAnsi="Arial" w:cs="Arial"/>
          <w:color w:val="auto"/>
          <w:sz w:val="22"/>
          <w:szCs w:val="22"/>
        </w:rPr>
        <w:t xml:space="preserve">Poz. 64 A - demontaż stolarki drewnianej wraz rozbiórką  istniejących </w:t>
      </w:r>
      <w:proofErr w:type="spellStart"/>
      <w:r w:rsidRPr="00BB3B05">
        <w:rPr>
          <w:rFonts w:ascii="Arial" w:hAnsi="Arial" w:cs="Arial"/>
          <w:color w:val="auto"/>
          <w:sz w:val="22"/>
          <w:szCs w:val="22"/>
        </w:rPr>
        <w:t>zamurowań</w:t>
      </w:r>
      <w:proofErr w:type="spellEnd"/>
      <w:r w:rsidRPr="00BB3B05">
        <w:rPr>
          <w:rFonts w:ascii="Arial" w:hAnsi="Arial" w:cs="Arial"/>
          <w:color w:val="auto"/>
          <w:sz w:val="22"/>
          <w:szCs w:val="22"/>
        </w:rPr>
        <w:t xml:space="preserve"> okien z wywiezieniem i utylizacją materiałów pochodzących z rozbiórki</w:t>
      </w:r>
    </w:p>
    <w:p w:rsidR="00F01072" w:rsidRPr="00BB3B05" w:rsidRDefault="00F01072" w:rsidP="00F0107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B3B05">
        <w:rPr>
          <w:rFonts w:ascii="Arial" w:hAnsi="Arial" w:cs="Arial"/>
          <w:color w:val="auto"/>
          <w:sz w:val="22"/>
          <w:szCs w:val="22"/>
        </w:rPr>
        <w:t>Poz. 64 B - zamurowania otworów okiennych z bloczków wapienno - piaskowych gr. 10 cm z wykonaniem izolacji termicznej z warstwy  styropianu gr. 10 cm oraz otynkowaniem</w:t>
      </w:r>
    </w:p>
    <w:p w:rsidR="00F01072" w:rsidRPr="00BB3B05" w:rsidRDefault="00F01072" w:rsidP="00F0107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B3B05">
        <w:rPr>
          <w:rFonts w:ascii="Arial" w:hAnsi="Arial" w:cs="Arial"/>
          <w:color w:val="auto"/>
          <w:sz w:val="22"/>
          <w:szCs w:val="22"/>
        </w:rPr>
        <w:lastRenderedPageBreak/>
        <w:t>Zamówienie nie obejmuje termo – i hydroizolacji ścian piwnic, natomiast obejmuje remont studni okiennych, w związku z czym zakres rzeczowo – finansowy zostaje uzupełniony o pozycje od 176 do 191.</w:t>
      </w:r>
    </w:p>
    <w:p w:rsidR="000D3D88" w:rsidRPr="00BB3B05" w:rsidRDefault="00F01072" w:rsidP="00F0107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B3B05">
        <w:rPr>
          <w:rFonts w:ascii="Arial" w:hAnsi="Arial" w:cs="Arial"/>
          <w:color w:val="auto"/>
          <w:sz w:val="22"/>
          <w:szCs w:val="22"/>
        </w:rPr>
        <w:t>Treść pozycji nr 13 została uszczegółowiona poprzez dodanie słowa „ renowacja”</w:t>
      </w:r>
      <w:r w:rsidR="000D3D88" w:rsidRPr="00BB3B05">
        <w:rPr>
          <w:rFonts w:ascii="Arial" w:hAnsi="Arial" w:cs="Arial"/>
          <w:color w:val="auto"/>
          <w:sz w:val="22"/>
          <w:szCs w:val="22"/>
        </w:rPr>
        <w:t>.</w:t>
      </w:r>
    </w:p>
    <w:p w:rsidR="000D3D88" w:rsidRPr="00BB3B05" w:rsidRDefault="000D3D88" w:rsidP="003B1CC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0D3D88" w:rsidRPr="00BB3B05" w:rsidRDefault="000D3D88" w:rsidP="003B1CC5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B3B05">
        <w:rPr>
          <w:rFonts w:ascii="Arial" w:hAnsi="Arial" w:cs="Arial"/>
          <w:b/>
          <w:color w:val="auto"/>
          <w:sz w:val="22"/>
          <w:szCs w:val="22"/>
        </w:rPr>
        <w:t>Pytanie nr 3</w:t>
      </w:r>
    </w:p>
    <w:p w:rsidR="000D3D88" w:rsidRPr="00BB3B05" w:rsidRDefault="00F01072" w:rsidP="003B1CC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B3B05">
        <w:rPr>
          <w:rFonts w:ascii="Arial" w:hAnsi="Arial" w:cs="Arial"/>
          <w:color w:val="auto"/>
          <w:sz w:val="22"/>
          <w:szCs w:val="22"/>
        </w:rPr>
        <w:t>Czy prace których nie ma w zakresie rzeczowo-finansowym, a zajdzie konieczność ich wykonania zostaną rozliczone na podstawie § 15 umowy?</w:t>
      </w:r>
    </w:p>
    <w:p w:rsidR="000D3D88" w:rsidRPr="00BB3B05" w:rsidRDefault="000D3D88" w:rsidP="003B1CC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0D3D88" w:rsidRPr="00BB3B05" w:rsidRDefault="000D3D88" w:rsidP="003B1CC5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B3B05">
        <w:rPr>
          <w:rFonts w:ascii="Arial" w:hAnsi="Arial" w:cs="Arial"/>
          <w:b/>
          <w:color w:val="auto"/>
          <w:sz w:val="22"/>
          <w:szCs w:val="22"/>
          <w:highlight w:val="yellow"/>
        </w:rPr>
        <w:t>Odpowiedź:</w:t>
      </w:r>
    </w:p>
    <w:p w:rsidR="000D3D88" w:rsidRPr="00BB3B05" w:rsidRDefault="00F01072" w:rsidP="003B1CC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B3B05">
        <w:rPr>
          <w:rFonts w:ascii="Arial" w:hAnsi="Arial" w:cs="Arial"/>
          <w:color w:val="auto"/>
          <w:sz w:val="22"/>
          <w:szCs w:val="22"/>
        </w:rPr>
        <w:t>Roboty dodatkowe nieobjęte udzielonym  zamówieniem zostaną rozliczone zgodnie z zasadami określonymi w § 15 ust. 12 umowy</w:t>
      </w:r>
      <w:r w:rsidR="000D3D88" w:rsidRPr="00BB3B05">
        <w:rPr>
          <w:rFonts w:ascii="Arial" w:hAnsi="Arial" w:cs="Arial"/>
          <w:color w:val="auto"/>
          <w:sz w:val="22"/>
          <w:szCs w:val="22"/>
        </w:rPr>
        <w:t>.</w:t>
      </w:r>
    </w:p>
    <w:p w:rsidR="003B1CC5" w:rsidRPr="00BB3B05" w:rsidRDefault="003B1CC5" w:rsidP="003B1CC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3B1CC5" w:rsidRPr="00BB3B05" w:rsidRDefault="003B1CC5" w:rsidP="003B1CC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3B1CC5" w:rsidRPr="00BB3B05" w:rsidRDefault="003B1CC5" w:rsidP="003B1CC5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B3B05">
        <w:rPr>
          <w:rFonts w:ascii="Arial" w:hAnsi="Arial" w:cs="Arial"/>
          <w:b/>
          <w:color w:val="auto"/>
          <w:sz w:val="22"/>
          <w:szCs w:val="22"/>
        </w:rPr>
        <w:t>Pytanie nr 4</w:t>
      </w:r>
    </w:p>
    <w:p w:rsidR="003B1CC5" w:rsidRPr="00BB3B05" w:rsidRDefault="00F01072" w:rsidP="003B1CC5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</w:rPr>
      </w:pPr>
      <w:r w:rsidRPr="00BB3B05">
        <w:rPr>
          <w:rFonts w:ascii="Arial" w:eastAsiaTheme="minorHAnsi" w:hAnsi="Arial" w:cs="Arial"/>
        </w:rPr>
        <w:t xml:space="preserve">Zgodnie z dokumentacją projektową obudowa szybu windowego w technologii przeszklonej o odporności ogniowej EI60 jest bardzo drogim rozwiązaniem. Czy pomimo tego zamawiający podtrzymuje decyzję o takim sposobie wykonania zabudowy szybu </w:t>
      </w:r>
      <w:r w:rsidR="00754EB7" w:rsidRPr="00BB3B05">
        <w:rPr>
          <w:rFonts w:ascii="Arial" w:eastAsiaTheme="minorHAnsi" w:hAnsi="Arial" w:cs="Arial"/>
        </w:rPr>
        <w:t>w</w:t>
      </w:r>
      <w:r w:rsidRPr="00BB3B05">
        <w:rPr>
          <w:rFonts w:ascii="Arial" w:eastAsiaTheme="minorHAnsi" w:hAnsi="Arial" w:cs="Arial"/>
        </w:rPr>
        <w:t>indowego?</w:t>
      </w:r>
    </w:p>
    <w:p w:rsidR="008662E7" w:rsidRPr="00BB3B05" w:rsidRDefault="008662E7" w:rsidP="003B1CC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662E7" w:rsidRPr="00BB3B05" w:rsidRDefault="003B1CC5" w:rsidP="003B1CC5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B3B05">
        <w:rPr>
          <w:rFonts w:ascii="Arial" w:hAnsi="Arial" w:cs="Arial"/>
          <w:b/>
          <w:color w:val="auto"/>
          <w:sz w:val="22"/>
          <w:szCs w:val="22"/>
          <w:highlight w:val="yellow"/>
        </w:rPr>
        <w:t>Odpowiedź:</w:t>
      </w:r>
    </w:p>
    <w:p w:rsidR="003B1CC5" w:rsidRPr="00BB3B05" w:rsidRDefault="00754EB7" w:rsidP="003B1CC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B3B05">
        <w:rPr>
          <w:rFonts w:ascii="Arial" w:hAnsi="Arial" w:cs="Arial"/>
          <w:color w:val="auto"/>
          <w:sz w:val="22"/>
          <w:szCs w:val="22"/>
        </w:rPr>
        <w:t>Obudowa szybu windowego musi posiadać odporność ogniową zgodną z dokumentacją projektową tj. EI 60</w:t>
      </w:r>
      <w:r w:rsidR="003B1CC5" w:rsidRPr="00BB3B05">
        <w:rPr>
          <w:rFonts w:ascii="Arial" w:hAnsi="Arial" w:cs="Arial"/>
          <w:color w:val="auto"/>
          <w:sz w:val="22"/>
          <w:szCs w:val="22"/>
        </w:rPr>
        <w:t>.</w:t>
      </w:r>
    </w:p>
    <w:p w:rsidR="00754EB7" w:rsidRPr="00BB3B05" w:rsidRDefault="00754EB7" w:rsidP="003B1CC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54EB7" w:rsidRPr="00BB3B05" w:rsidRDefault="00754EB7" w:rsidP="00754EB7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B3B05">
        <w:rPr>
          <w:rFonts w:ascii="Arial" w:hAnsi="Arial" w:cs="Arial"/>
          <w:b/>
          <w:color w:val="auto"/>
          <w:sz w:val="22"/>
          <w:szCs w:val="22"/>
        </w:rPr>
        <w:t>Pytanie nr 5</w:t>
      </w:r>
    </w:p>
    <w:p w:rsidR="002F30DC" w:rsidRPr="00BB3B05" w:rsidRDefault="002F30DC" w:rsidP="002F30D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B3B05">
        <w:rPr>
          <w:rFonts w:ascii="Arial" w:hAnsi="Arial" w:cs="Arial"/>
          <w:sz w:val="22"/>
          <w:szCs w:val="22"/>
        </w:rPr>
        <w:t>Nie występują na rynku drzwi do windy przeszklone z ramką ze stali nierdzewnej EI 60.  Najwyższa klasa dostępna tego typu drzwi to EI30. Istnieje jednak możliwość zamówienia drzwi EI60 ze stali nierdzewnej z małym przeszkleniem (czyli z większą poniechanie drzwi będzie zajmowała stal aluminiowa).</w:t>
      </w:r>
    </w:p>
    <w:p w:rsidR="00754EB7" w:rsidRPr="00BB3B05" w:rsidRDefault="002F30DC" w:rsidP="002F30D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B3B05">
        <w:rPr>
          <w:rFonts w:ascii="Arial" w:hAnsi="Arial" w:cs="Arial"/>
          <w:color w:val="auto"/>
          <w:sz w:val="22"/>
          <w:szCs w:val="22"/>
        </w:rPr>
        <w:t>Jeżeli zamawiający się nie zgadza proszę o wskazanie przykładowego producenta drzwi windowych, których montażu wymaga Zamawiający – bo na rynku Polskim takiego producenta nie ma.</w:t>
      </w:r>
    </w:p>
    <w:p w:rsidR="002F30DC" w:rsidRPr="00BB3B05" w:rsidRDefault="002F30DC" w:rsidP="002F30D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2F30DC" w:rsidRPr="00BB3B05" w:rsidRDefault="002F30DC" w:rsidP="002F30DC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B3B05">
        <w:rPr>
          <w:rFonts w:ascii="Arial" w:hAnsi="Arial" w:cs="Arial"/>
          <w:b/>
          <w:color w:val="auto"/>
          <w:sz w:val="22"/>
          <w:szCs w:val="22"/>
          <w:highlight w:val="yellow"/>
        </w:rPr>
        <w:t>Odpowiedź:</w:t>
      </w:r>
    </w:p>
    <w:p w:rsidR="002F30DC" w:rsidRPr="00BB3B05" w:rsidRDefault="002F30DC" w:rsidP="002F30D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B3B05">
        <w:rPr>
          <w:rFonts w:ascii="Arial" w:hAnsi="Arial" w:cs="Arial"/>
          <w:color w:val="auto"/>
          <w:sz w:val="22"/>
          <w:szCs w:val="22"/>
        </w:rPr>
        <w:t xml:space="preserve">Np. KONE Spółka z o.o. albo  </w:t>
      </w:r>
      <w:proofErr w:type="spellStart"/>
      <w:r w:rsidRPr="00BB3B05">
        <w:rPr>
          <w:rFonts w:ascii="Arial" w:hAnsi="Arial" w:cs="Arial"/>
          <w:color w:val="auto"/>
          <w:sz w:val="22"/>
          <w:szCs w:val="22"/>
        </w:rPr>
        <w:t>Elevator</w:t>
      </w:r>
      <w:proofErr w:type="spellEnd"/>
      <w:r w:rsidRPr="00BB3B05">
        <w:rPr>
          <w:rFonts w:ascii="Arial" w:hAnsi="Arial" w:cs="Arial"/>
          <w:color w:val="auto"/>
          <w:sz w:val="22"/>
          <w:szCs w:val="22"/>
        </w:rPr>
        <w:t xml:space="preserve"> Spółka z o.o.</w:t>
      </w:r>
    </w:p>
    <w:p w:rsidR="000D3D88" w:rsidRPr="00BB3B05" w:rsidRDefault="000D3D88" w:rsidP="003B1CC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23096" w:rsidRPr="00BB3B05" w:rsidRDefault="00C23096" w:rsidP="00C627B1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B3B05">
        <w:rPr>
          <w:rFonts w:ascii="Arial" w:hAnsi="Arial" w:cs="Arial"/>
          <w:b/>
          <w:color w:val="auto"/>
          <w:sz w:val="22"/>
          <w:szCs w:val="22"/>
        </w:rPr>
        <w:t>Zmiana</w:t>
      </w:r>
      <w:r w:rsidR="00F63595" w:rsidRPr="00BB3B05">
        <w:rPr>
          <w:rFonts w:ascii="Arial" w:hAnsi="Arial" w:cs="Arial"/>
          <w:b/>
          <w:color w:val="auto"/>
          <w:sz w:val="22"/>
          <w:szCs w:val="22"/>
        </w:rPr>
        <w:t xml:space="preserve"> nr </w:t>
      </w:r>
      <w:r w:rsidR="00BB3B05" w:rsidRPr="00BB3B05">
        <w:rPr>
          <w:rFonts w:ascii="Arial" w:hAnsi="Arial" w:cs="Arial"/>
          <w:b/>
          <w:color w:val="auto"/>
          <w:sz w:val="22"/>
          <w:szCs w:val="22"/>
        </w:rPr>
        <w:t>3</w:t>
      </w:r>
    </w:p>
    <w:p w:rsidR="001C23EC" w:rsidRPr="00BB3B05" w:rsidRDefault="001C23EC" w:rsidP="00060296">
      <w:pPr>
        <w:spacing w:line="276" w:lineRule="auto"/>
        <w:rPr>
          <w:rFonts w:ascii="Arial" w:hAnsi="Arial" w:cs="Arial"/>
          <w:bCs/>
        </w:rPr>
      </w:pPr>
      <w:r w:rsidRPr="00BB3B05">
        <w:rPr>
          <w:rFonts w:ascii="Arial" w:hAnsi="Arial" w:cs="Arial"/>
          <w:bCs/>
        </w:rPr>
        <w:t xml:space="preserve">Zamawiający na mocy przysługujących mu, w świetle przepisów art. 286 ust. 1 </w:t>
      </w:r>
      <w:r w:rsidR="00060296" w:rsidRPr="00BB3B05">
        <w:rPr>
          <w:rFonts w:ascii="Arial" w:hAnsi="Arial" w:cs="Arial"/>
          <w:bCs/>
        </w:rPr>
        <w:t xml:space="preserve">i 3 </w:t>
      </w:r>
      <w:r w:rsidRPr="00BB3B05">
        <w:rPr>
          <w:rFonts w:ascii="Arial" w:hAnsi="Arial" w:cs="Arial"/>
          <w:bCs/>
        </w:rPr>
        <w:t>ustawy z dnia 11 września 2019 r. Prawo zamówień publicznych (Dz.U. z 2021 roku, poz. 1129 ze zm.), uprawnień, zmienia treść zapisów SWZ jak poniżej i udostępnia zmiany  na stronie internetowej.</w:t>
      </w:r>
    </w:p>
    <w:p w:rsidR="00060296" w:rsidRPr="00BB3B05" w:rsidRDefault="00060296" w:rsidP="007E4973">
      <w:pPr>
        <w:pStyle w:val="Akapitzlist"/>
        <w:numPr>
          <w:ilvl w:val="0"/>
          <w:numId w:val="2"/>
        </w:numPr>
        <w:spacing w:line="276" w:lineRule="auto"/>
        <w:ind w:left="709" w:hanging="425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Zamawiający wprowadza prawo opcji, które będzie obejmowało:</w:t>
      </w:r>
    </w:p>
    <w:p w:rsidR="00060296" w:rsidRPr="00BB3B05" w:rsidRDefault="00084AB7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„</w:t>
      </w:r>
      <w:r w:rsidR="00060296" w:rsidRPr="00BB3B05">
        <w:rPr>
          <w:rFonts w:ascii="Arial" w:eastAsiaTheme="minorHAnsi" w:hAnsi="Arial" w:cs="Arial"/>
          <w:sz w:val="22"/>
          <w:szCs w:val="22"/>
        </w:rPr>
        <w:t>Serwis dźwigu osobowego w okresie pięciu lat od daty przekazania urządzenia do użytkowania.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lastRenderedPageBreak/>
        <w:t>W okresie pięciu lat od daty uzyskania pierwszej decyzji UDT zezwalającej na eksploatację dźwigu zainstalowanego w budynku CAM nr 5 Wykonawca zapewni serwis dźwigu obejmujący: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1)</w:t>
      </w:r>
      <w:r w:rsidRPr="00BB3B05">
        <w:rPr>
          <w:rFonts w:ascii="Arial" w:eastAsiaTheme="minorHAnsi" w:hAnsi="Arial" w:cs="Arial"/>
          <w:sz w:val="22"/>
          <w:szCs w:val="22"/>
        </w:rPr>
        <w:tab/>
        <w:t xml:space="preserve">obsługę zgłoszeń serwisowych oraz niezwłoczną reakcję na zgłoszenia awarii  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i uwięzienie osób w dni robocze, tj. od poniedziałku do piątku w godzinach od 7. 00 do 22.00,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2)</w:t>
      </w:r>
      <w:r w:rsidRPr="00BB3B05">
        <w:rPr>
          <w:rFonts w:ascii="Arial" w:eastAsiaTheme="minorHAnsi" w:hAnsi="Arial" w:cs="Arial"/>
          <w:sz w:val="22"/>
          <w:szCs w:val="22"/>
        </w:rPr>
        <w:tab/>
        <w:t xml:space="preserve">utrzymywanie systemu alarmowego pozwalającego pasażerowi na kontakt z Centrum Zgłoszeniowym 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3)</w:t>
      </w:r>
      <w:r w:rsidRPr="00BB3B05">
        <w:rPr>
          <w:rFonts w:ascii="Arial" w:eastAsiaTheme="minorHAnsi" w:hAnsi="Arial" w:cs="Arial"/>
          <w:sz w:val="22"/>
          <w:szCs w:val="22"/>
        </w:rPr>
        <w:tab/>
        <w:t>stałe wsparcie techniczne infolinii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4)</w:t>
      </w:r>
      <w:r w:rsidRPr="00BB3B05">
        <w:rPr>
          <w:rFonts w:ascii="Arial" w:eastAsiaTheme="minorHAnsi" w:hAnsi="Arial" w:cs="Arial"/>
          <w:sz w:val="22"/>
          <w:szCs w:val="22"/>
        </w:rPr>
        <w:tab/>
        <w:t>konserwację  dźwigu z częstotliwością oraz w zakresie i sposób ustalony: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a)</w:t>
      </w:r>
      <w:r w:rsidRPr="00BB3B05">
        <w:rPr>
          <w:rFonts w:ascii="Arial" w:eastAsiaTheme="minorHAnsi" w:hAnsi="Arial" w:cs="Arial"/>
          <w:sz w:val="22"/>
          <w:szCs w:val="22"/>
        </w:rPr>
        <w:tab/>
        <w:t xml:space="preserve">Dokumentacją </w:t>
      </w:r>
      <w:proofErr w:type="spellStart"/>
      <w:r w:rsidRPr="00BB3B05">
        <w:rPr>
          <w:rFonts w:ascii="Arial" w:eastAsiaTheme="minorHAnsi" w:hAnsi="Arial" w:cs="Arial"/>
          <w:sz w:val="22"/>
          <w:szCs w:val="22"/>
        </w:rPr>
        <w:t>Techniczno</w:t>
      </w:r>
      <w:proofErr w:type="spellEnd"/>
      <w:r w:rsidRPr="00BB3B05">
        <w:rPr>
          <w:rFonts w:ascii="Arial" w:eastAsiaTheme="minorHAnsi" w:hAnsi="Arial" w:cs="Arial"/>
          <w:sz w:val="22"/>
          <w:szCs w:val="22"/>
        </w:rPr>
        <w:t xml:space="preserve"> – Ruchową,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b) Instrukcją Obsługi i Konserwacji Dźwigu,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c) obowiązującymi przepisami 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b)</w:t>
      </w:r>
      <w:r w:rsidRPr="00BB3B05">
        <w:rPr>
          <w:rFonts w:ascii="Arial" w:eastAsiaTheme="minorHAnsi" w:hAnsi="Arial" w:cs="Arial"/>
          <w:sz w:val="22"/>
          <w:szCs w:val="22"/>
        </w:rPr>
        <w:tab/>
        <w:t>Warunkami udzielonej gwarancji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5)</w:t>
      </w:r>
      <w:r w:rsidRPr="00BB3B05">
        <w:rPr>
          <w:rFonts w:ascii="Arial" w:eastAsiaTheme="minorHAnsi" w:hAnsi="Arial" w:cs="Arial"/>
          <w:sz w:val="22"/>
          <w:szCs w:val="22"/>
        </w:rPr>
        <w:tab/>
        <w:t>Przygotowanie urządzenia do badania okresowego UDT oraz asysta podczas badania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6)</w:t>
      </w:r>
      <w:r w:rsidRPr="00BB3B05">
        <w:rPr>
          <w:rFonts w:ascii="Arial" w:eastAsiaTheme="minorHAnsi" w:hAnsi="Arial" w:cs="Arial"/>
          <w:sz w:val="22"/>
          <w:szCs w:val="22"/>
        </w:rPr>
        <w:tab/>
        <w:t xml:space="preserve">Przeglądy kontrolne, diagnostyka,  powiadamianie i usuwanie stwierdzonych  nieprawidłowości 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7)</w:t>
      </w:r>
      <w:r w:rsidRPr="00BB3B05">
        <w:rPr>
          <w:rFonts w:ascii="Arial" w:eastAsiaTheme="minorHAnsi" w:hAnsi="Arial" w:cs="Arial"/>
          <w:sz w:val="22"/>
          <w:szCs w:val="22"/>
        </w:rPr>
        <w:tab/>
        <w:t>badanie skuteczności ochrony przeciwporażeniowej zgodnie z obowiązującymi przepisami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8)</w:t>
      </w:r>
      <w:r w:rsidRPr="00BB3B05">
        <w:rPr>
          <w:rFonts w:ascii="Arial" w:eastAsiaTheme="minorHAnsi" w:hAnsi="Arial" w:cs="Arial"/>
          <w:sz w:val="22"/>
          <w:szCs w:val="22"/>
        </w:rPr>
        <w:tab/>
        <w:t>sprawdzania oporności izolacji obwodów elektrycznych , wykonania pomiarów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9)</w:t>
      </w:r>
      <w:r w:rsidRPr="00BB3B05">
        <w:rPr>
          <w:rFonts w:ascii="Arial" w:eastAsiaTheme="minorHAnsi" w:hAnsi="Arial" w:cs="Arial"/>
          <w:sz w:val="22"/>
          <w:szCs w:val="22"/>
        </w:rPr>
        <w:tab/>
        <w:t>pełen zakres napraw i wymiana części wynikająca z normalnej eksploatacji urządzenia.</w:t>
      </w:r>
      <w:r w:rsidR="00084AB7" w:rsidRPr="00BB3B05">
        <w:rPr>
          <w:rFonts w:ascii="Arial" w:eastAsiaTheme="minorHAnsi" w:hAnsi="Arial" w:cs="Arial"/>
          <w:sz w:val="22"/>
          <w:szCs w:val="22"/>
        </w:rPr>
        <w:t>”</w:t>
      </w: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</w:p>
    <w:p w:rsidR="00060296" w:rsidRPr="00BB3B05" w:rsidRDefault="00060296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W związku z powyższym zmienia się załącznik nr 6.1 Opis przedmiotu zamówienia – </w:t>
      </w:r>
      <w:r w:rsidR="00084AB7" w:rsidRPr="00BB3B05">
        <w:rPr>
          <w:rFonts w:ascii="Arial" w:eastAsiaTheme="minorHAnsi" w:hAnsi="Arial" w:cs="Arial"/>
          <w:sz w:val="22"/>
          <w:szCs w:val="22"/>
        </w:rPr>
        <w:t>poprzez dodanie pkt VII „Opis przedmiotu zamówienia objętego prawem opcji - serwis dźwigu osobowego w okresie pięciu lat od daty przekazania urządzenia do użytkowania” następującej treści jw.</w:t>
      </w:r>
    </w:p>
    <w:p w:rsidR="00084AB7" w:rsidRPr="00BB3B05" w:rsidRDefault="00084AB7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</w:p>
    <w:p w:rsidR="00084AB7" w:rsidRPr="00BB3B05" w:rsidRDefault="00084AB7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W związku z powyższym ulegają też zmianie następujące postanowienia zał. nr 6 Projekt umowy:</w:t>
      </w:r>
    </w:p>
    <w:p w:rsidR="00084AB7" w:rsidRPr="00BB3B05" w:rsidRDefault="00084AB7" w:rsidP="00060296">
      <w:pPr>
        <w:pStyle w:val="Akapitzlist"/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</w:p>
    <w:p w:rsidR="00084AB7" w:rsidRPr="00BB3B05" w:rsidRDefault="00084AB7" w:rsidP="009B4A0A">
      <w:pPr>
        <w:pStyle w:val="Akapitzlist"/>
        <w:numPr>
          <w:ilvl w:val="0"/>
          <w:numId w:val="4"/>
        </w:num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§ 1 ust. 1 </w:t>
      </w:r>
      <w:r w:rsidR="00145479" w:rsidRPr="00BB3B05">
        <w:rPr>
          <w:rFonts w:ascii="Arial" w:eastAsiaTheme="minorHAnsi" w:hAnsi="Arial" w:cs="Arial"/>
          <w:sz w:val="22"/>
          <w:szCs w:val="22"/>
        </w:rPr>
        <w:t>otrzymuje brzmienie:</w:t>
      </w:r>
    </w:p>
    <w:p w:rsidR="00145479" w:rsidRPr="00BB3B05" w:rsidRDefault="00145479" w:rsidP="00145479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„1.</w:t>
      </w:r>
      <w:r w:rsidRPr="00BB3B05">
        <w:rPr>
          <w:rFonts w:ascii="Arial" w:eastAsiaTheme="minorHAnsi" w:hAnsi="Arial" w:cs="Arial"/>
          <w:sz w:val="22"/>
          <w:szCs w:val="22"/>
        </w:rPr>
        <w:tab/>
        <w:t>Zamawiający zleca, a Wykonawca przyjmuje do wykonania roboty budowlane obejmujące: remont elewacji budynku Centrum Administracji Miasta nr 5 (CAM nr 5) przy ul. Wojska Polskiego 1/5 w Świnoujściu wraz z budową zewnętrznego szybu windowego, instalacją  windy oraz wymianą zewnętrznej stolarki okiennej i drzwiowej (zwanymi dalej „Przedmiotem Umowy”). W ramach prawa opcji Zamawiający zastrzega zlecenie Wykonawcy realizację serwis windy w okresie do 5 lat od daty uzyskania pierwszej decyzji UDT zezwalającej na eksploatację windy”;</w:t>
      </w:r>
    </w:p>
    <w:p w:rsidR="00973B26" w:rsidRPr="00BB3B05" w:rsidRDefault="00973B26" w:rsidP="009B4A0A">
      <w:pPr>
        <w:pStyle w:val="Akapitzlist"/>
        <w:numPr>
          <w:ilvl w:val="0"/>
          <w:numId w:val="4"/>
        </w:num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§ 1 ust. 10 otrzymuje brzmienie: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„10.</w:t>
      </w:r>
      <w:r w:rsidRPr="00BB3B05">
        <w:rPr>
          <w:rFonts w:ascii="Arial" w:eastAsiaTheme="minorHAnsi" w:hAnsi="Arial" w:cs="Arial"/>
          <w:sz w:val="22"/>
          <w:szCs w:val="22"/>
        </w:rPr>
        <w:tab/>
        <w:t>W ramach serwisu windy objętego prawem opcji Wykonawca zobowiązany będzie świadczył: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1)</w:t>
      </w:r>
      <w:r w:rsidRPr="00BB3B05">
        <w:rPr>
          <w:rFonts w:ascii="Arial" w:eastAsiaTheme="minorHAnsi" w:hAnsi="Arial" w:cs="Arial"/>
          <w:sz w:val="22"/>
          <w:szCs w:val="22"/>
        </w:rPr>
        <w:tab/>
        <w:t xml:space="preserve">obsługę zgłoszeń serwisowych oraz niezwłoczną reakcję na zgłoszenia awarii  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lastRenderedPageBreak/>
        <w:t>i uwięzienie osób w dni robocze, tj. od poniedziałku do piątku w godzinach od 7. 00 do 22.00,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2)</w:t>
      </w:r>
      <w:r w:rsidRPr="00BB3B05">
        <w:rPr>
          <w:rFonts w:ascii="Arial" w:eastAsiaTheme="minorHAnsi" w:hAnsi="Arial" w:cs="Arial"/>
          <w:sz w:val="22"/>
          <w:szCs w:val="22"/>
        </w:rPr>
        <w:tab/>
        <w:t xml:space="preserve">utrzymywanie systemu alarmowego pozwalającego pasażerowi na kontakt z Centrum Zgłoszeniowym, 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3)</w:t>
      </w:r>
      <w:r w:rsidRPr="00BB3B05">
        <w:rPr>
          <w:rFonts w:ascii="Arial" w:eastAsiaTheme="minorHAnsi" w:hAnsi="Arial" w:cs="Arial"/>
          <w:sz w:val="22"/>
          <w:szCs w:val="22"/>
        </w:rPr>
        <w:tab/>
        <w:t>stałe wsparcie techniczne infolinii,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4)</w:t>
      </w:r>
      <w:r w:rsidRPr="00BB3B05">
        <w:rPr>
          <w:rFonts w:ascii="Arial" w:eastAsiaTheme="minorHAnsi" w:hAnsi="Arial" w:cs="Arial"/>
          <w:sz w:val="22"/>
          <w:szCs w:val="22"/>
        </w:rPr>
        <w:tab/>
        <w:t>konserwację  dźwigu z częstotliwością oraz w zakresie i sposób ustalony: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a)</w:t>
      </w:r>
      <w:r w:rsidRPr="00BB3B05">
        <w:rPr>
          <w:rFonts w:ascii="Arial" w:eastAsiaTheme="minorHAnsi" w:hAnsi="Arial" w:cs="Arial"/>
          <w:sz w:val="22"/>
          <w:szCs w:val="22"/>
        </w:rPr>
        <w:tab/>
        <w:t xml:space="preserve">dokumentacją </w:t>
      </w:r>
      <w:proofErr w:type="spellStart"/>
      <w:r w:rsidRPr="00BB3B05">
        <w:rPr>
          <w:rFonts w:ascii="Arial" w:eastAsiaTheme="minorHAnsi" w:hAnsi="Arial" w:cs="Arial"/>
          <w:sz w:val="22"/>
          <w:szCs w:val="22"/>
        </w:rPr>
        <w:t>Techniczno</w:t>
      </w:r>
      <w:proofErr w:type="spellEnd"/>
      <w:r w:rsidRPr="00BB3B05">
        <w:rPr>
          <w:rFonts w:ascii="Arial" w:eastAsiaTheme="minorHAnsi" w:hAnsi="Arial" w:cs="Arial"/>
          <w:sz w:val="22"/>
          <w:szCs w:val="22"/>
        </w:rPr>
        <w:t xml:space="preserve"> – Ruchową,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b) Instrukcją Obsługi i Konserwacji Dźwigu,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c) obowiązującymi przepisami;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5)</w:t>
      </w:r>
      <w:r w:rsidRPr="00BB3B05">
        <w:rPr>
          <w:rFonts w:ascii="Arial" w:eastAsiaTheme="minorHAnsi" w:hAnsi="Arial" w:cs="Arial"/>
          <w:sz w:val="22"/>
          <w:szCs w:val="22"/>
        </w:rPr>
        <w:tab/>
        <w:t>przygotowanie urządzenia do badania okresowego UDT oraz asysta podczas badania,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6)</w:t>
      </w:r>
      <w:r w:rsidRPr="00BB3B05">
        <w:rPr>
          <w:rFonts w:ascii="Arial" w:eastAsiaTheme="minorHAnsi" w:hAnsi="Arial" w:cs="Arial"/>
          <w:sz w:val="22"/>
          <w:szCs w:val="22"/>
        </w:rPr>
        <w:tab/>
        <w:t xml:space="preserve">przeglądy kontrolne, diagnostyka,  powiadamianie i usuwanie stwierdzonych  nieprawidłowości 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7)</w:t>
      </w:r>
      <w:r w:rsidRPr="00BB3B05">
        <w:rPr>
          <w:rFonts w:ascii="Arial" w:eastAsiaTheme="minorHAnsi" w:hAnsi="Arial" w:cs="Arial"/>
          <w:sz w:val="22"/>
          <w:szCs w:val="22"/>
        </w:rPr>
        <w:tab/>
        <w:t>badanie skuteczności ochrony przeciwporażeniowej zgodnie z obowiązującymi przepisami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8)</w:t>
      </w:r>
      <w:r w:rsidRPr="00BB3B05">
        <w:rPr>
          <w:rFonts w:ascii="Arial" w:eastAsiaTheme="minorHAnsi" w:hAnsi="Arial" w:cs="Arial"/>
          <w:sz w:val="22"/>
          <w:szCs w:val="22"/>
        </w:rPr>
        <w:tab/>
        <w:t>sprawdzania oporności izolacji obwodów elektrycznych, wykonania pomiarów pełen zakres napraw i wymiana części wynikająca z normalnej eksploatacji urządzenia.”;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Dotychczasowy ust. 10 paragrafu 1 otrzymuje numer 12, a jego brzmienie nie ulega zmianie.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</w:p>
    <w:p w:rsidR="00145479" w:rsidRPr="00BB3B05" w:rsidRDefault="00BF541B" w:rsidP="009B4A0A">
      <w:pPr>
        <w:pStyle w:val="Akapitzlist"/>
        <w:numPr>
          <w:ilvl w:val="0"/>
          <w:numId w:val="4"/>
        </w:num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d</w:t>
      </w:r>
      <w:r w:rsidR="00973B26" w:rsidRPr="00BB3B05">
        <w:rPr>
          <w:rFonts w:ascii="Arial" w:eastAsiaTheme="minorHAnsi" w:hAnsi="Arial" w:cs="Arial"/>
          <w:sz w:val="22"/>
          <w:szCs w:val="22"/>
        </w:rPr>
        <w:t>o § 1 dodaje się ust. 11 i nadaje się mu brzmienie:</w:t>
      </w:r>
    </w:p>
    <w:p w:rsidR="00973B26" w:rsidRPr="00BB3B05" w:rsidRDefault="00973B26" w:rsidP="00973B26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„11.</w:t>
      </w:r>
      <w:r w:rsidRPr="00BB3B05">
        <w:rPr>
          <w:rFonts w:ascii="Arial" w:eastAsiaTheme="minorHAnsi" w:hAnsi="Arial" w:cs="Arial"/>
          <w:sz w:val="22"/>
          <w:szCs w:val="22"/>
        </w:rPr>
        <w:tab/>
        <w:t>Zamawiający skorzysta z prawa opcji w terminie do 21 dni licząc od dnia doręczenia mu decyzji UDT o zezwalającej na eksploatację windy przez złożenie Wykonawcy oświadczenia zawierającego wezwanie do realizacji serwisu windy”;</w:t>
      </w:r>
    </w:p>
    <w:p w:rsidR="00BF541B" w:rsidRPr="00BB3B05" w:rsidRDefault="00BF541B" w:rsidP="009B4A0A">
      <w:pPr>
        <w:pStyle w:val="Akapitzlist"/>
        <w:numPr>
          <w:ilvl w:val="0"/>
          <w:numId w:val="4"/>
        </w:num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§ 5 ust. 2 otrzymuje brzmienie jak niżej, zaś numeracja pozostałych ustępów zmienia się odpowiednio:</w:t>
      </w:r>
    </w:p>
    <w:p w:rsidR="00BF541B" w:rsidRPr="00BB3B05" w:rsidRDefault="00BF541B" w:rsidP="00BF541B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„2.</w:t>
      </w:r>
      <w:r w:rsidRPr="00BB3B05">
        <w:rPr>
          <w:rFonts w:ascii="Arial" w:eastAsiaTheme="minorHAnsi" w:hAnsi="Arial" w:cs="Arial"/>
          <w:sz w:val="22"/>
          <w:szCs w:val="22"/>
        </w:rPr>
        <w:tab/>
        <w:t>Maksymalne wynagrodzenie ryczałtowe za serwis windy (prawo opcji) w okresie 5 lat od daty uzyskania pierwszej decyzji UDT zezwalającej na eksploatację urządzenia ustala się na kwotę netto ……………… (słownie złotych: …………………….)  powiększoną o należny podatek VAT 23 %, tj. …………………….. zł, co łącznie stanowi wynagrodzenie ryczałtowe brutto …………………. zł (słownie złotych: …………………………………….)”;</w:t>
      </w:r>
    </w:p>
    <w:p w:rsidR="00283A50" w:rsidRPr="00BB3B05" w:rsidRDefault="00283A50" w:rsidP="009B4A0A">
      <w:pPr>
        <w:pStyle w:val="Akapitzlist"/>
        <w:numPr>
          <w:ilvl w:val="0"/>
          <w:numId w:val="4"/>
        </w:num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§ 5 ust. </w:t>
      </w:r>
      <w:r w:rsidRPr="00BB3B05">
        <w:rPr>
          <w:rFonts w:ascii="Arial" w:eastAsiaTheme="minorHAnsi" w:hAnsi="Arial" w:cs="Arial"/>
          <w:sz w:val="22"/>
          <w:szCs w:val="22"/>
        </w:rPr>
        <w:t>10</w:t>
      </w:r>
      <w:r w:rsidRPr="00BB3B05">
        <w:rPr>
          <w:rFonts w:ascii="Arial" w:eastAsiaTheme="minorHAnsi" w:hAnsi="Arial" w:cs="Arial"/>
          <w:sz w:val="22"/>
          <w:szCs w:val="22"/>
        </w:rPr>
        <w:t xml:space="preserve"> otrzymuje brzmienie jak niżej, zaś numeracja pozostałych ustępów zmienia się odpowiednio:</w:t>
      </w:r>
    </w:p>
    <w:p w:rsidR="005C66B9" w:rsidRPr="00BB3B05" w:rsidRDefault="005C66B9" w:rsidP="005C66B9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„10.</w:t>
      </w:r>
      <w:r w:rsidRPr="00BB3B05">
        <w:rPr>
          <w:rFonts w:ascii="Arial" w:eastAsiaTheme="minorHAnsi" w:hAnsi="Arial" w:cs="Arial"/>
          <w:sz w:val="22"/>
          <w:szCs w:val="22"/>
        </w:rPr>
        <w:tab/>
        <w:t>Wynagrodzenie za serwis windy zostanie wypłacone w 10 równych ratach, co 6 miesięcy od daty przekazania urządzenia do użytkowania, na podstawie faktury wystawionej na podstawie protokołu serwisu urządzenia podpisanego przez upoważnionego przedstawiciela Zamawiającego.”,</w:t>
      </w:r>
    </w:p>
    <w:p w:rsidR="005C66B9" w:rsidRPr="00BB3B05" w:rsidRDefault="005C66B9" w:rsidP="009B4A0A">
      <w:pPr>
        <w:pStyle w:val="Akapitzlist"/>
        <w:numPr>
          <w:ilvl w:val="0"/>
          <w:numId w:val="4"/>
        </w:numPr>
        <w:tabs>
          <w:tab w:val="left" w:pos="426"/>
          <w:tab w:val="left" w:pos="17608"/>
          <w:tab w:val="left" w:pos="22853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B3B05">
        <w:rPr>
          <w:rFonts w:ascii="Arial" w:hAnsi="Arial" w:cs="Arial"/>
          <w:sz w:val="22"/>
          <w:szCs w:val="22"/>
        </w:rPr>
        <w:t>§ 7 ust. 1 lit. a otrzymuje brzmienie:</w:t>
      </w:r>
    </w:p>
    <w:p w:rsidR="005C66B9" w:rsidRPr="00BB3B05" w:rsidRDefault="005C66B9" w:rsidP="005C66B9">
      <w:pPr>
        <w:tabs>
          <w:tab w:val="left" w:pos="426"/>
          <w:tab w:val="left" w:pos="17608"/>
          <w:tab w:val="left" w:pos="22853"/>
        </w:tabs>
        <w:spacing w:after="0" w:line="276" w:lineRule="auto"/>
        <w:ind w:firstLine="1418"/>
        <w:jc w:val="both"/>
        <w:rPr>
          <w:rFonts w:ascii="Arial" w:hAnsi="Arial" w:cs="Arial"/>
        </w:rPr>
      </w:pPr>
      <w:r w:rsidRPr="00BB3B05">
        <w:rPr>
          <w:rFonts w:ascii="Arial" w:hAnsi="Arial" w:cs="Arial"/>
        </w:rPr>
        <w:t>„</w:t>
      </w:r>
      <w:r w:rsidRPr="00BB3B05">
        <w:rPr>
          <w:rFonts w:ascii="Arial" w:hAnsi="Arial" w:cs="Arial"/>
        </w:rPr>
        <w:t>Zamawiający przewiduje następujące rodzaje odbiorów robót budowlanych:</w:t>
      </w:r>
    </w:p>
    <w:p w:rsidR="005C66B9" w:rsidRPr="00BB3B05" w:rsidRDefault="005C66B9" w:rsidP="005C66B9">
      <w:pPr>
        <w:pStyle w:val="Akapitzlist"/>
        <w:spacing w:line="276" w:lineRule="auto"/>
        <w:ind w:left="1429"/>
        <w:rPr>
          <w:rFonts w:ascii="Arial" w:hAnsi="Arial" w:cs="Arial"/>
          <w:sz w:val="22"/>
          <w:szCs w:val="22"/>
        </w:rPr>
      </w:pPr>
      <w:r w:rsidRPr="00BB3B05">
        <w:rPr>
          <w:rFonts w:ascii="Arial" w:hAnsi="Arial" w:cs="Arial"/>
          <w:sz w:val="22"/>
          <w:szCs w:val="22"/>
        </w:rPr>
        <w:t xml:space="preserve">a) </w:t>
      </w:r>
      <w:r w:rsidRPr="00BB3B05">
        <w:rPr>
          <w:rFonts w:ascii="Arial" w:hAnsi="Arial" w:cs="Arial"/>
          <w:sz w:val="22"/>
          <w:szCs w:val="22"/>
        </w:rPr>
        <w:t>Odbiory techniczne robót zanikających i ulegających zakryciu oraz  elementów i odcinków robót</w:t>
      </w:r>
      <w:r w:rsidRPr="00BB3B05">
        <w:rPr>
          <w:rFonts w:ascii="Arial" w:hAnsi="Arial" w:cs="Arial"/>
          <w:sz w:val="22"/>
          <w:szCs w:val="22"/>
        </w:rPr>
        <w:t>,”</w:t>
      </w:r>
    </w:p>
    <w:p w:rsidR="00BB3B05" w:rsidRPr="00BB3B05" w:rsidRDefault="00BB3B05" w:rsidP="009B4A0A">
      <w:pPr>
        <w:pStyle w:val="Akapitzlist"/>
        <w:numPr>
          <w:ilvl w:val="0"/>
          <w:numId w:val="4"/>
        </w:num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§ 15 ust. 12 otrzymuje brzmienie:</w:t>
      </w:r>
    </w:p>
    <w:p w:rsidR="00BB3B05" w:rsidRPr="00BB3B05" w:rsidRDefault="00BB3B05" w:rsidP="00BB3B05">
      <w:pPr>
        <w:pStyle w:val="Akapitzlist"/>
        <w:spacing w:line="276" w:lineRule="auto"/>
        <w:ind w:left="1429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lastRenderedPageBreak/>
        <w:t>„W przypadku robót dodatkowych, nie objętych pierwotnym zamówieniem lub zamiennych — jeżeli zamianie podlegać będzie cały element zakresu rzeczowo finansowego, to nastąpi odliczenie z wynagrodzenia należnego Wykonawcy wartości tego elementu oraz ustalenie wartości robót, które mają być wykonane w miejsce robót tego elementu na podstawie kosztorysu sporządzonego przez Wykonawcę w oparciu o następujące założenia: stawki robocizny (R), koszty materiałów (M), sprzętu (S), koszty pośrednie (</w:t>
      </w:r>
      <w:proofErr w:type="spellStart"/>
      <w:r w:rsidRPr="00BB3B05">
        <w:rPr>
          <w:rFonts w:ascii="Arial" w:eastAsiaTheme="minorHAnsi" w:hAnsi="Arial" w:cs="Arial"/>
          <w:sz w:val="22"/>
          <w:szCs w:val="22"/>
        </w:rPr>
        <w:t>Kp</w:t>
      </w:r>
      <w:proofErr w:type="spellEnd"/>
      <w:r w:rsidRPr="00BB3B05">
        <w:rPr>
          <w:rFonts w:ascii="Arial" w:eastAsiaTheme="minorHAnsi" w:hAnsi="Arial" w:cs="Arial"/>
          <w:sz w:val="22"/>
          <w:szCs w:val="22"/>
        </w:rPr>
        <w:t>), koszty zakupu (</w:t>
      </w:r>
      <w:proofErr w:type="spellStart"/>
      <w:r w:rsidRPr="00BB3B05">
        <w:rPr>
          <w:rFonts w:ascii="Arial" w:eastAsiaTheme="minorHAnsi" w:hAnsi="Arial" w:cs="Arial"/>
          <w:sz w:val="22"/>
          <w:szCs w:val="22"/>
        </w:rPr>
        <w:t>Kz</w:t>
      </w:r>
      <w:proofErr w:type="spellEnd"/>
      <w:r w:rsidRPr="00BB3B05">
        <w:rPr>
          <w:rFonts w:ascii="Arial" w:eastAsiaTheme="minorHAnsi" w:hAnsi="Arial" w:cs="Arial"/>
          <w:sz w:val="22"/>
          <w:szCs w:val="22"/>
        </w:rPr>
        <w:t xml:space="preserve">) i zysk (Z) – wykonawca przyjmie na podstawie wydawnictwa </w:t>
      </w:r>
      <w:proofErr w:type="spellStart"/>
      <w:r w:rsidRPr="00BB3B05">
        <w:rPr>
          <w:rFonts w:ascii="Arial" w:eastAsiaTheme="minorHAnsi" w:hAnsi="Arial" w:cs="Arial"/>
          <w:sz w:val="22"/>
          <w:szCs w:val="22"/>
        </w:rPr>
        <w:t>Sekocenbud</w:t>
      </w:r>
      <w:proofErr w:type="spellEnd"/>
      <w:r w:rsidRPr="00BB3B05">
        <w:rPr>
          <w:rFonts w:ascii="Arial" w:eastAsiaTheme="minorHAnsi" w:hAnsi="Arial" w:cs="Arial"/>
          <w:sz w:val="22"/>
          <w:szCs w:val="22"/>
        </w:rPr>
        <w:t xml:space="preserve"> za kwartał w którym Wykonawca złożył ofertę, przy czym wysokość stawki robocizny zostanie przyjęta jak dla stolicy województwa zachodniopomorskiego a pozostałe elementy jako wartości średnie. W przypadku braku odpowiednich pozycji w </w:t>
      </w:r>
      <w:proofErr w:type="spellStart"/>
      <w:r w:rsidRPr="00BB3B05">
        <w:rPr>
          <w:rFonts w:ascii="Arial" w:eastAsiaTheme="minorHAnsi" w:hAnsi="Arial" w:cs="Arial"/>
          <w:sz w:val="22"/>
          <w:szCs w:val="22"/>
        </w:rPr>
        <w:t>Sekocenbudzie</w:t>
      </w:r>
      <w:proofErr w:type="spellEnd"/>
      <w:r w:rsidRPr="00BB3B05">
        <w:rPr>
          <w:rFonts w:ascii="Arial" w:eastAsiaTheme="minorHAnsi" w:hAnsi="Arial" w:cs="Arial"/>
          <w:sz w:val="22"/>
          <w:szCs w:val="22"/>
        </w:rPr>
        <w:t xml:space="preserve"> wyliczenie zostanie wykonane w oparciu o średnie stawki i ceny rynkowe dla danych robót, i następnie zaakceptowanego przez Zamawiającego która to wartość zostanie doliczona do wynagrodzenia należnego Wykonawcy; natomiast jeżeli zamiana dotyczyć będzie części robót z danego elementu, to obliczenie wartości robót podlegających zmianie, o którą zmienione (pomniejszone lub zwiększone) zostanie wynagrodzenie należne Wykonawcy, nastąpi na podstawie kosztorysu różnicowego sporządzonego przez Wykonawcę w oparciu w oparciu o następujące założenia: stawki robocizny (R), koszty materiałów (M), sprzętu (S), koszty pośrednie (</w:t>
      </w:r>
      <w:proofErr w:type="spellStart"/>
      <w:r w:rsidRPr="00BB3B05">
        <w:rPr>
          <w:rFonts w:ascii="Arial" w:eastAsiaTheme="minorHAnsi" w:hAnsi="Arial" w:cs="Arial"/>
          <w:sz w:val="22"/>
          <w:szCs w:val="22"/>
        </w:rPr>
        <w:t>Kp</w:t>
      </w:r>
      <w:proofErr w:type="spellEnd"/>
      <w:r w:rsidRPr="00BB3B05">
        <w:rPr>
          <w:rFonts w:ascii="Arial" w:eastAsiaTheme="minorHAnsi" w:hAnsi="Arial" w:cs="Arial"/>
          <w:sz w:val="22"/>
          <w:szCs w:val="22"/>
        </w:rPr>
        <w:t>), koszty zakupu (</w:t>
      </w:r>
      <w:proofErr w:type="spellStart"/>
      <w:r w:rsidRPr="00BB3B05">
        <w:rPr>
          <w:rFonts w:ascii="Arial" w:eastAsiaTheme="minorHAnsi" w:hAnsi="Arial" w:cs="Arial"/>
          <w:sz w:val="22"/>
          <w:szCs w:val="22"/>
        </w:rPr>
        <w:t>Kz</w:t>
      </w:r>
      <w:proofErr w:type="spellEnd"/>
      <w:r w:rsidRPr="00BB3B05">
        <w:rPr>
          <w:rFonts w:ascii="Arial" w:eastAsiaTheme="minorHAnsi" w:hAnsi="Arial" w:cs="Arial"/>
          <w:sz w:val="22"/>
          <w:szCs w:val="22"/>
        </w:rPr>
        <w:t xml:space="preserve">) i zysk (Z) – Wykonawca przyjmie na podstawie wydawnictwa </w:t>
      </w:r>
      <w:proofErr w:type="spellStart"/>
      <w:r w:rsidRPr="00BB3B05">
        <w:rPr>
          <w:rFonts w:ascii="Arial" w:eastAsiaTheme="minorHAnsi" w:hAnsi="Arial" w:cs="Arial"/>
          <w:sz w:val="22"/>
          <w:szCs w:val="22"/>
        </w:rPr>
        <w:t>Sekocenbud</w:t>
      </w:r>
      <w:proofErr w:type="spellEnd"/>
      <w:r w:rsidRPr="00BB3B05">
        <w:rPr>
          <w:rFonts w:ascii="Arial" w:eastAsiaTheme="minorHAnsi" w:hAnsi="Arial" w:cs="Arial"/>
          <w:sz w:val="22"/>
          <w:szCs w:val="22"/>
        </w:rPr>
        <w:t xml:space="preserve"> za kwartał w którym Wykonawca złożył ofertę, przy czym wysokość stawki robocizny zostanie przyjęta jak dla stolicy województwa zachodniopomorskiego a pozostałe elementy jako wartości średnie. W przypadku braku odpowiednich pozycji w </w:t>
      </w:r>
      <w:proofErr w:type="spellStart"/>
      <w:r w:rsidRPr="00BB3B05">
        <w:rPr>
          <w:rFonts w:ascii="Arial" w:eastAsiaTheme="minorHAnsi" w:hAnsi="Arial" w:cs="Arial"/>
          <w:sz w:val="22"/>
          <w:szCs w:val="22"/>
        </w:rPr>
        <w:t>Sekocenbudzie</w:t>
      </w:r>
      <w:proofErr w:type="spellEnd"/>
      <w:r w:rsidRPr="00BB3B05">
        <w:rPr>
          <w:rFonts w:ascii="Arial" w:eastAsiaTheme="minorHAnsi" w:hAnsi="Arial" w:cs="Arial"/>
          <w:sz w:val="22"/>
          <w:szCs w:val="22"/>
        </w:rPr>
        <w:t xml:space="preserve"> wyliczenie zostanie wykonane w oparciu o średnie stawki i ceny rynkowe dla danych robót, i następnie zaakceptowanego przez Zamawiającego. Wykonawca zobowiązany jest dostarczyć y kosztorys robót dodatkowych  sporządzony zgodnie z wymaganiami określonymi dla kosztorysu inwestorskiego w  Rozporządzeniu Ministra Rozwoju i Technologii z dnia 20 grudnia 2021 r. w sprawie określenia metod i podstaw sporządzania </w:t>
      </w:r>
      <w:r w:rsidRPr="00BB3B05">
        <w:rPr>
          <w:rFonts w:ascii="Arial" w:eastAsiaTheme="minorHAnsi" w:hAnsi="Arial" w:cs="Arial"/>
          <w:i/>
          <w:iCs/>
          <w:sz w:val="22"/>
          <w:szCs w:val="22"/>
        </w:rPr>
        <w:t>kosztorysu inwestorskiego</w:t>
      </w:r>
      <w:r w:rsidRPr="00BB3B05">
        <w:rPr>
          <w:rFonts w:ascii="Arial" w:eastAsiaTheme="minorHAnsi" w:hAnsi="Arial" w:cs="Arial"/>
          <w:sz w:val="22"/>
          <w:szCs w:val="22"/>
        </w:rPr>
        <w:t>, obliczania planowanych kosztów prac projektowych oraz planowanych kosztów robót budowlanych określonych w programie funkcjonalno-użytkowym”,</w:t>
      </w:r>
    </w:p>
    <w:p w:rsidR="00BB3B05" w:rsidRPr="00BB3B05" w:rsidRDefault="00BB3B05" w:rsidP="009B4A0A">
      <w:pPr>
        <w:pStyle w:val="Akapitzlist"/>
        <w:numPr>
          <w:ilvl w:val="0"/>
          <w:numId w:val="4"/>
        </w:num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dodaje się § 15a [Waloryzacja wynagrodzenia za serwis windy] i nadaje mu brzmienie:</w:t>
      </w:r>
    </w:p>
    <w:p w:rsidR="00BB3B05" w:rsidRPr="00BB3B05" w:rsidRDefault="00BB3B05" w:rsidP="00BB3B05">
      <w:pPr>
        <w:pStyle w:val="Akapitzlist"/>
        <w:spacing w:line="276" w:lineRule="auto"/>
        <w:ind w:left="1429"/>
        <w:rPr>
          <w:rFonts w:ascii="Arial" w:eastAsiaTheme="minorHAnsi" w:hAnsi="Arial" w:cs="Arial"/>
          <w:b/>
          <w:bCs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„</w:t>
      </w:r>
      <w:r w:rsidRPr="00BB3B05">
        <w:rPr>
          <w:rFonts w:ascii="Arial" w:eastAsiaTheme="minorHAnsi" w:hAnsi="Arial" w:cs="Arial"/>
          <w:b/>
          <w:bCs/>
          <w:sz w:val="22"/>
          <w:szCs w:val="22"/>
        </w:rPr>
        <w:t>§15a</w:t>
      </w:r>
    </w:p>
    <w:p w:rsidR="00BB3B05" w:rsidRPr="00BB3B05" w:rsidRDefault="00BB3B05" w:rsidP="00BB3B05">
      <w:pPr>
        <w:pStyle w:val="Akapitzlist"/>
        <w:spacing w:line="276" w:lineRule="auto"/>
        <w:ind w:left="1429"/>
        <w:rPr>
          <w:rFonts w:ascii="Arial" w:eastAsiaTheme="minorHAnsi" w:hAnsi="Arial" w:cs="Arial"/>
          <w:b/>
          <w:bCs/>
          <w:sz w:val="22"/>
          <w:szCs w:val="22"/>
        </w:rPr>
      </w:pPr>
      <w:r w:rsidRPr="00BB3B05">
        <w:rPr>
          <w:rFonts w:ascii="Arial" w:eastAsiaTheme="minorHAnsi" w:hAnsi="Arial" w:cs="Arial"/>
          <w:b/>
          <w:bCs/>
          <w:sz w:val="22"/>
          <w:szCs w:val="22"/>
        </w:rPr>
        <w:t>[Waloryzacja wynagrodzenia za serwis widy]</w:t>
      </w:r>
    </w:p>
    <w:p w:rsidR="00BB3B05" w:rsidRPr="00BB3B05" w:rsidRDefault="00BB3B05" w:rsidP="009B4A0A">
      <w:pPr>
        <w:pStyle w:val="Akapitzlist"/>
        <w:numPr>
          <w:ilvl w:val="0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Strony zobowiązują się dokonać zmiany wysokości wynagrodzenia należnego Wykonawcy, o którym mowa w § 5 ust. 2 Umowy, w formie pisemnego aneksu, każdorazowo w przypadku wystąpienia jednej z następujących okoliczności: </w:t>
      </w:r>
    </w:p>
    <w:p w:rsidR="00BB3B05" w:rsidRPr="00BB3B05" w:rsidRDefault="00BB3B05" w:rsidP="009B4A0A">
      <w:pPr>
        <w:pStyle w:val="Akapitzlist"/>
        <w:numPr>
          <w:ilvl w:val="1"/>
          <w:numId w:val="5"/>
        </w:numPr>
        <w:spacing w:line="276" w:lineRule="auto"/>
        <w:ind w:firstLine="414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zmiany stawki podatku od towarów i usług;</w:t>
      </w:r>
    </w:p>
    <w:p w:rsidR="00BB3B05" w:rsidRPr="00BB3B05" w:rsidRDefault="00BB3B05" w:rsidP="009B4A0A">
      <w:pPr>
        <w:pStyle w:val="Akapitzlist"/>
        <w:numPr>
          <w:ilvl w:val="1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zmiany wysokości minimalnego wynagrodzenia albo wysokości minimalnej stawki godzinowej, ustalonych na podstawie przepisów o minimalnym wynagrodzeniu za pracę;</w:t>
      </w:r>
    </w:p>
    <w:p w:rsidR="00BB3B05" w:rsidRPr="00BB3B05" w:rsidRDefault="00BB3B05" w:rsidP="009B4A0A">
      <w:pPr>
        <w:pStyle w:val="Akapitzlist"/>
        <w:numPr>
          <w:ilvl w:val="1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lastRenderedPageBreak/>
        <w:t>zmiany zasad podlegania ubezpieczeniom społecznym lub ubezpieczeniu zdrowotnemu lub wysokości stawki składki na ubezpieczenia społeczne lub zdrowotne;</w:t>
      </w:r>
    </w:p>
    <w:p w:rsidR="00BB3B05" w:rsidRPr="00BB3B05" w:rsidRDefault="00BB3B05" w:rsidP="009B4A0A">
      <w:pPr>
        <w:pStyle w:val="Akapitzlist"/>
        <w:numPr>
          <w:ilvl w:val="1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zmiany zasad gromadzenia i wysokości wpłat do pracowniczych planów kapitałowych, o których mowa w ustawie z dnia 4 października 2018 r. o pracowniczych planach kapitałowych (Dz.U. z 2020 poz. 1342 z późn.zm.) - na zasadach i w sposób określony w ust. 2 - 11, jeżeli zmiany te będą miały wpływ na koszty wykonania Umowy przez Wykonawcę;</w:t>
      </w:r>
    </w:p>
    <w:p w:rsidR="00BB3B05" w:rsidRPr="00BB3B05" w:rsidRDefault="00BB3B05" w:rsidP="009B4A0A">
      <w:pPr>
        <w:pStyle w:val="Akapitzlist"/>
        <w:numPr>
          <w:ilvl w:val="1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zmiany ceny materiałów lub kosztów związanych z realizacją zamówienia (w rozumieniu art. 439 ust. 4 Ustawy </w:t>
      </w:r>
      <w:proofErr w:type="spellStart"/>
      <w:r w:rsidRPr="00BB3B05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BB3B05">
        <w:rPr>
          <w:rFonts w:ascii="Arial" w:eastAsiaTheme="minorHAnsi" w:hAnsi="Arial" w:cs="Arial"/>
          <w:sz w:val="22"/>
          <w:szCs w:val="22"/>
        </w:rPr>
        <w:t xml:space="preserve">), na zasadach opisanych w ust. 12. </w:t>
      </w:r>
    </w:p>
    <w:p w:rsidR="00BB3B05" w:rsidRPr="00BB3B05" w:rsidRDefault="00BB3B05" w:rsidP="009B4A0A">
      <w:pPr>
        <w:pStyle w:val="Akapitzlist"/>
        <w:numPr>
          <w:ilvl w:val="0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Zmiana wysokości wynagrodzenia należnego Wykonawcy w przypadku zaistnienia przesłanki, o której mowa w ust. 1 pkt 1), będzie odnosić się wyłącznie do części Przedmiotu Umowy zrealizowanej, zgodnie terminami ustalonymi Umową, po dniu wejścia w życie przepisów zmieniających stawkę podatku od towarów i usług oraz wyłącznie do części Przedmiotu Umowy, do której zastosowanie znajdzie zmiana stawki podatku od towarów i usług. </w:t>
      </w:r>
    </w:p>
    <w:p w:rsidR="00BB3B05" w:rsidRPr="00BB3B05" w:rsidRDefault="00BB3B05" w:rsidP="009B4A0A">
      <w:pPr>
        <w:pStyle w:val="Akapitzlist"/>
        <w:numPr>
          <w:ilvl w:val="0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W przypadku zmiany, o której mowa w ust. 1 pkt 1), wartość wynagrodzenia netto nie zmieni się, a wartość wynagrodzenia brutto zostanie wyliczona na podstawie nowych przepisów. </w:t>
      </w:r>
    </w:p>
    <w:p w:rsidR="00BB3B05" w:rsidRPr="00BB3B05" w:rsidRDefault="00BB3B05" w:rsidP="009B4A0A">
      <w:pPr>
        <w:pStyle w:val="Akapitzlist"/>
        <w:numPr>
          <w:ilvl w:val="0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Zmiana wysokości wynagrodzenia w przypadku zaistnienia przesłanki, o której mowa w ust. 1 pkt 2-4, będzie obejmować wyłącznie część wynagrodzenia należnego Wykonawcy, w odniesieniu do której nastąpiła zmiana. </w:t>
      </w:r>
    </w:p>
    <w:p w:rsidR="00BB3B05" w:rsidRPr="00BB3B05" w:rsidRDefault="00BB3B05" w:rsidP="009B4A0A">
      <w:pPr>
        <w:pStyle w:val="Akapitzlist"/>
        <w:numPr>
          <w:ilvl w:val="0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W przypadku zmiany, o której mowa w ust. 1 pkt 2),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 stawki godzinowej z uwzględnieniem wszystkich obciążeń publicznoprawnych od kwoty wzrost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BB3B05" w:rsidRPr="00BB3B05" w:rsidRDefault="00BB3B05" w:rsidP="009B4A0A">
      <w:pPr>
        <w:pStyle w:val="Akapitzlist"/>
        <w:numPr>
          <w:ilvl w:val="0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W przypadku zmiany, o której mowa w ust. 1 pkt 3) i 4),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 wykonują oni prace bezpośrednio związane z realizacją Przedmiotu Umowy. </w:t>
      </w:r>
    </w:p>
    <w:p w:rsidR="00BB3B05" w:rsidRPr="00BB3B05" w:rsidRDefault="00BB3B05" w:rsidP="009B4A0A">
      <w:pPr>
        <w:pStyle w:val="Akapitzlist"/>
        <w:numPr>
          <w:ilvl w:val="0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 oraz wyliczenie zmiany </w:t>
      </w:r>
      <w:r w:rsidRPr="00BB3B05">
        <w:rPr>
          <w:rFonts w:ascii="Arial" w:eastAsiaTheme="minorHAnsi" w:hAnsi="Arial" w:cs="Arial"/>
          <w:sz w:val="22"/>
          <w:szCs w:val="22"/>
        </w:rPr>
        <w:lastRenderedPageBreak/>
        <w:t xml:space="preserve">stawek, o których mowa  w formularzu ofertowym i cenowym Wykonawcy a także wskazaniem daty, od której nastąpiła bądź nastąpi zmiany wysokości kosztów wykonania Umowy uzasadniająca zmianę wysokości wynagrodzenia należnego Wykonawcy. </w:t>
      </w:r>
    </w:p>
    <w:p w:rsidR="00BB3B05" w:rsidRPr="00BB3B05" w:rsidRDefault="00BB3B05" w:rsidP="009B4A0A">
      <w:pPr>
        <w:pStyle w:val="Akapitzlist"/>
        <w:numPr>
          <w:ilvl w:val="0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W przypadku zmian, o których mowa w ust. 1 pkt 2) - 4), jeżeli z wnioskiem występuje Wykonawca, jest on zobowiązany dołączyć do wniosku dokumenty, z których będzie wynikać, w jakim zakresie zmiany te mają wpływ na koszty wykonania Umowy, w szczególności: </w:t>
      </w:r>
    </w:p>
    <w:p w:rsidR="00BB3B05" w:rsidRPr="00BB3B05" w:rsidRDefault="00BB3B05" w:rsidP="009B4A0A">
      <w:pPr>
        <w:pStyle w:val="Akapitzlist"/>
        <w:numPr>
          <w:ilvl w:val="1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pisemne zbiorcze zestawienie wynagrodzeń (zarówno przed jak i po zmianie) nieujawniające imion i nazwisk pracowników świadczących usługi, wraz z określeniem zakresu (części etatu), w jakim wykonują oni prace bezpośrednio związane z realizacją Przedmiotu Umowy oraz części wynagrodzenia odpowiadającej temu zakresowi - w przypadku zmiany, o której mowa w ust. 1 pkt 2), lub</w:t>
      </w:r>
    </w:p>
    <w:p w:rsidR="00BB3B05" w:rsidRPr="00BB3B05" w:rsidRDefault="00BB3B05" w:rsidP="009B4A0A">
      <w:pPr>
        <w:pStyle w:val="Akapitzlist"/>
        <w:numPr>
          <w:ilvl w:val="1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pisemne zbiorcze zestawienie wynagrodzeń (zarówno przed jak i po zmianie) nieujawniające imion i nazwisk pracowników świadczących usługi, wraz z kwotami składek uiszczanych do Zakładu Ubezpieczeń Społecznych/Kasy  Rolniczego Ubezpieczenia Społecznego w części finansowanej przez Wykonawcę, z określeniem zakresu (części etatu), w jakim wykonują oni prace bezpośrednio związane z realizacją Przedmiotu Umowy oraz części wynagrodzenia odpowiadającej temu zakresowi wraz z drukami ZUS RCA lub ZUS DRA oraz dowodami opłacenia należnych składek na ubezpieczenie społeczne lub zdrowotne (zarówno przed jak i po zmianie) pracowników świadczących usługi - w przypadku zmiany, o której mowa w ust. 1 pkt 3). </w:t>
      </w:r>
    </w:p>
    <w:p w:rsidR="00BB3B05" w:rsidRPr="00BB3B05" w:rsidRDefault="00BB3B05" w:rsidP="009B4A0A">
      <w:pPr>
        <w:pStyle w:val="Akapitzlist"/>
        <w:numPr>
          <w:ilvl w:val="0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W przypadku zmiany, o której mowa w ust. 1 pkt 3, jeżeli z wnioskiem występuje Zamawiający, jest on uprawniony do obowiązania Wykonawcy do przedstawienia w wyznaczonym terminie, nie krótszym niż 7 dni, dokumentów, z których będzie wynikać w jakim zakresie zmiana ta ma wpływ na koszty wykonania Umowy, w tym pisemnego zestawienia wynagrodzeń, o którym mowa w ust. 8 pkt 2). </w:t>
      </w:r>
    </w:p>
    <w:p w:rsidR="00BB3B05" w:rsidRPr="00BB3B05" w:rsidRDefault="00BB3B05" w:rsidP="009B4A0A">
      <w:pPr>
        <w:pStyle w:val="Akapitzlist"/>
        <w:numPr>
          <w:ilvl w:val="0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W terminie 14 dni od dnia przekazania wniosku, o którym mowa w ust. 7, Strona, która otrzymała wniosek, przekaże drugiej Stronie informację o zakresie, w jakim zatwierdza wniosek oraz wskaże kwotę, o której wynagrodzenie należne Wykonawcy powinno ulec zmianie, albo informację o niezatwierdzeniu wniosku wraz z uzasadnieniem. </w:t>
      </w:r>
    </w:p>
    <w:p w:rsidR="00BB3B05" w:rsidRPr="00BB3B05" w:rsidRDefault="00BB3B05" w:rsidP="009B4A0A">
      <w:pPr>
        <w:pStyle w:val="Akapitzlist"/>
        <w:numPr>
          <w:ilvl w:val="0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W przypadku otrzymania przez Stronę informacji o niezatwierdzeniu wniosku lub częściowym zatwierdzeniu wniosku, Strona ta może ponownie wystąpić z wnioskiem, o którym mowa w ust. 7. W takim przypadku postanowienia ust. 8 - 10 oraz ust. 12 stosuje się odpowiednio. </w:t>
      </w:r>
    </w:p>
    <w:p w:rsidR="00BB3B05" w:rsidRPr="00BB3B05" w:rsidRDefault="00BB3B05" w:rsidP="009B4A0A">
      <w:pPr>
        <w:pStyle w:val="Akapitzlist"/>
        <w:numPr>
          <w:ilvl w:val="0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W przypadku zmiany, o której mowa w ust. 1 pkt 5), po złożeniu stosownego wniosku przez którąkolwiek ze Stron, wynagrodzenie Wykonawcy ulegnie zmianie na następujących zasadach:</w:t>
      </w:r>
    </w:p>
    <w:p w:rsidR="00BB3B05" w:rsidRPr="00BB3B05" w:rsidRDefault="00BB3B05" w:rsidP="009B4A0A">
      <w:pPr>
        <w:pStyle w:val="Akapitzlist"/>
        <w:numPr>
          <w:ilvl w:val="1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Strona uprawniona jest do żądani zmiany wynagrodzenia w przypadku, w którym udokumentowana przez Stronę zmiana cen materiałów lub kosztów (w rozumieniu art. 439 ust. 4 </w:t>
      </w:r>
      <w:proofErr w:type="spellStart"/>
      <w:r w:rsidRPr="00BB3B05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BB3B05">
        <w:rPr>
          <w:rFonts w:ascii="Arial" w:eastAsiaTheme="minorHAnsi" w:hAnsi="Arial" w:cs="Arial"/>
          <w:sz w:val="22"/>
          <w:szCs w:val="22"/>
        </w:rPr>
        <w:t xml:space="preserve">) związanych z realizacją zamówienia przekroczy 4% względem ceny lub kosztu przyjętych w celu ustalenia wynagrodzenia Wykonawcy zawartego w ofercie, przy czym Strona przedłoży </w:t>
      </w:r>
      <w:r w:rsidRPr="00BB3B05">
        <w:rPr>
          <w:rFonts w:ascii="Arial" w:eastAsiaTheme="minorHAnsi" w:hAnsi="Arial" w:cs="Arial"/>
          <w:sz w:val="22"/>
          <w:szCs w:val="22"/>
        </w:rPr>
        <w:lastRenderedPageBreak/>
        <w:t>dokumenty potwierdzające zmianę ceny materiałów lub kosztów oraz kalkulację wpływu tej zmiany na koszt wykonania zamówienia w formie analizy porównawczej cen materiałów lub kosztów. Analiza powinna zawierać szczególności udział cen materiałów i kosztów w miesięcznej stawce wynagrodzenia za usługę określonego w formularzu cenowym Wykonawcy. Zmianie ulegnie wysokość wynagrodzenia w części przeznaczonej na zakup materiałów i pokrycie pozostałych kosztów przez Wykonawcę w realizacji zamówienia, z wyłączeniem kosztów Wykonawcy podlegających waloryzacji na podstawie innych postanowień Umowy;</w:t>
      </w:r>
    </w:p>
    <w:p w:rsidR="00BB3B05" w:rsidRPr="00BB3B05" w:rsidRDefault="00BB3B05" w:rsidP="009B4A0A">
      <w:pPr>
        <w:pStyle w:val="Akapitzlist"/>
        <w:numPr>
          <w:ilvl w:val="1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Sposób ustalenia ww. zmiany nastąpi w oparciu o wartość zmiany średniorocznego wskaźnika cen towarów i usług konsumpcyjnych ogółem za rok poprzedni, ogłaszanego przez Prezesa Głównego Urzędu Statystycznego i ogłaszanego w Dzienniku Urzędowym RP „Monitor Polski” (dalej: Wskaźnik), zgodnie z przepisami ustawy z dnia 17 grudnia 1998 roku o emeryturach i rentach z Funduszu Ubezpieczeń Społecznych (tj. Dz.U. z 2022 r, poz. 504 z </w:t>
      </w:r>
      <w:proofErr w:type="spellStart"/>
      <w:r w:rsidRPr="00BB3B0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BB3B05">
        <w:rPr>
          <w:rFonts w:ascii="Arial" w:eastAsiaTheme="minorHAnsi" w:hAnsi="Arial" w:cs="Arial"/>
          <w:sz w:val="22"/>
          <w:szCs w:val="22"/>
        </w:rPr>
        <w:t>. zm.),  w przypadku likwidacji Wskaźnika lub zmiany podmiotu, który urzędowo ustala lub ogłasza Wskaźnik, przepisy niniejszego ustępu stosuje się odpowiednio do wskaźnika i podmiotu, który zgodnie z odpowiednimi przepisami prawa zastąpi dotychczasowy Wskaźnik lub podmiot;</w:t>
      </w:r>
    </w:p>
    <w:p w:rsidR="00BB3B05" w:rsidRPr="00BB3B05" w:rsidRDefault="00BB3B05" w:rsidP="009B4A0A">
      <w:pPr>
        <w:pStyle w:val="Akapitzlist"/>
        <w:numPr>
          <w:ilvl w:val="1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Zamawiający dopuszcza w efekcie zastosowania postanowień niniejszego ustępu zmianę wartości wynagrodzenia nie większą niż 5% wynagrodzenia wskazanego w § 6 ust.1 Umowy w całym okresie trwania Umowy, d) Z wnioskiem o waloryzację Strona może wystąpić jeden raz w roku, po zmianie Wskaźnika ogłoszonego  przez  Prezesa Głównego Urzędu Statystycznego jednak nie wcześniej </w:t>
      </w:r>
      <w:proofErr w:type="spellStart"/>
      <w:r w:rsidRPr="00BB3B05">
        <w:rPr>
          <w:rFonts w:ascii="Arial" w:eastAsiaTheme="minorHAnsi" w:hAnsi="Arial" w:cs="Arial"/>
          <w:sz w:val="22"/>
          <w:szCs w:val="22"/>
        </w:rPr>
        <w:t>niżpo</w:t>
      </w:r>
      <w:proofErr w:type="spellEnd"/>
      <w:r w:rsidRPr="00BB3B05">
        <w:rPr>
          <w:rFonts w:ascii="Arial" w:eastAsiaTheme="minorHAnsi" w:hAnsi="Arial" w:cs="Arial"/>
          <w:sz w:val="22"/>
          <w:szCs w:val="22"/>
        </w:rPr>
        <w:t xml:space="preserve"> upływie 12 miesięcy od rozpoczęcia realizacji Umowy oraz po upływie kolejnych 12 miesięcy, licząc od dnia zawarcia aneksu zmieniającego wysokość wynagrodzenia Wykonawcy;;</w:t>
      </w:r>
    </w:p>
    <w:p w:rsidR="00BB3B05" w:rsidRPr="00BB3B05" w:rsidRDefault="00BB3B05" w:rsidP="009B4A0A">
      <w:pPr>
        <w:pStyle w:val="Akapitzlist"/>
        <w:numPr>
          <w:ilvl w:val="1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Zmiana wynagrodzenia wchodzi w życie nie wcześniej niż od pierwszego dnia miesiąca następującego po miesiącu, w którym został złożony wniosek, i dotyczy wyłącznie niezrealizowanej części Umowy.</w:t>
      </w:r>
    </w:p>
    <w:p w:rsidR="00BB3B05" w:rsidRPr="00BB3B05" w:rsidRDefault="00BB3B05" w:rsidP="009B4A0A">
      <w:pPr>
        <w:pStyle w:val="Akapitzlist"/>
        <w:numPr>
          <w:ilvl w:val="0"/>
          <w:numId w:val="5"/>
        </w:numPr>
        <w:spacing w:line="276" w:lineRule="auto"/>
        <w:ind w:left="1418" w:firstLine="0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>Zawarcie aneksu nastąpi nie później niż w terminie 14 dni od dnia zatwierdzenia wniosku o dokonanie zmiany wysokości wynagrodzenia należnego Wykonawcy.</w:t>
      </w:r>
    </w:p>
    <w:p w:rsidR="00BB3B05" w:rsidRPr="00BB3B05" w:rsidRDefault="00BB3B05" w:rsidP="00BB3B05">
      <w:pPr>
        <w:pStyle w:val="Akapitzlist"/>
        <w:spacing w:line="276" w:lineRule="auto"/>
        <w:ind w:left="1418"/>
        <w:rPr>
          <w:rFonts w:ascii="Arial" w:eastAsiaTheme="minorHAnsi" w:hAnsi="Arial" w:cs="Arial"/>
          <w:sz w:val="22"/>
          <w:szCs w:val="22"/>
        </w:rPr>
      </w:pPr>
      <w:r w:rsidRPr="00BB3B05">
        <w:rPr>
          <w:rFonts w:ascii="Arial" w:eastAsiaTheme="minorHAnsi" w:hAnsi="Arial" w:cs="Arial"/>
          <w:sz w:val="22"/>
          <w:szCs w:val="22"/>
        </w:rPr>
        <w:t xml:space="preserve">Wykonawca, którego wynagrodzenie zostało zmienione zgodnie z powyższym, zobowiązany jest do zmiany wynagrodzenia przysługującego podwykonawcy, z którym zawarł umowę, na podstawie art. 439 ust 5 Ustawy </w:t>
      </w:r>
      <w:proofErr w:type="spellStart"/>
      <w:r w:rsidRPr="00BB3B05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BB3B05">
        <w:rPr>
          <w:rFonts w:ascii="Arial" w:eastAsiaTheme="minorHAnsi" w:hAnsi="Arial" w:cs="Arial"/>
          <w:sz w:val="22"/>
          <w:szCs w:val="22"/>
        </w:rPr>
        <w:t>.”</w:t>
      </w:r>
    </w:p>
    <w:p w:rsidR="00084AB7" w:rsidRDefault="009B4A0A" w:rsidP="00BB3B05">
      <w:pPr>
        <w:spacing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</w:p>
    <w:p w:rsidR="009B4A0A" w:rsidRPr="00BB3B05" w:rsidRDefault="009B4A0A" w:rsidP="009B4A0A">
      <w:pPr>
        <w:spacing w:line="276" w:lineRule="auto"/>
        <w:ind w:left="708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Mając na względzie powyższe, Zamawiający publikuje ujednolicony tekst załącznika nr 6. Nazwa pliku: </w:t>
      </w:r>
      <w:r w:rsidRPr="009B4A0A">
        <w:rPr>
          <w:rFonts w:ascii="Arial" w:eastAsiaTheme="minorHAnsi" w:hAnsi="Arial" w:cs="Arial"/>
        </w:rPr>
        <w:t>zal_6_umowa_projekt_CAM nr 5 - zadanie II (002)_zmiana090822.docx</w:t>
      </w:r>
      <w:r>
        <w:rPr>
          <w:rFonts w:ascii="Arial" w:eastAsiaTheme="minorHAnsi" w:hAnsi="Arial" w:cs="Arial"/>
        </w:rPr>
        <w:t>.</w:t>
      </w:r>
    </w:p>
    <w:p w:rsidR="001C23EC" w:rsidRPr="00060296" w:rsidRDefault="001C23EC" w:rsidP="007E4973">
      <w:pPr>
        <w:pStyle w:val="Akapitzlist"/>
        <w:numPr>
          <w:ilvl w:val="0"/>
          <w:numId w:val="2"/>
        </w:numPr>
        <w:spacing w:line="276" w:lineRule="auto"/>
        <w:ind w:left="709" w:hanging="425"/>
        <w:rPr>
          <w:rFonts w:ascii="Arial" w:eastAsiaTheme="minorHAnsi" w:hAnsi="Arial" w:cs="Arial"/>
          <w:sz w:val="22"/>
          <w:szCs w:val="22"/>
        </w:rPr>
      </w:pPr>
      <w:r w:rsidRPr="00060296">
        <w:rPr>
          <w:rFonts w:ascii="Arial" w:eastAsia="Calibri" w:hAnsi="Arial" w:cs="Arial"/>
          <w:sz w:val="22"/>
          <w:szCs w:val="22"/>
        </w:rPr>
        <w:t>Zmienia</w:t>
      </w:r>
      <w:r w:rsidR="00BB3B05">
        <w:rPr>
          <w:rFonts w:ascii="Arial" w:eastAsia="Calibri" w:hAnsi="Arial" w:cs="Arial"/>
          <w:sz w:val="22"/>
          <w:szCs w:val="22"/>
        </w:rPr>
        <w:t>ją</w:t>
      </w:r>
      <w:r w:rsidRPr="00060296">
        <w:rPr>
          <w:rFonts w:ascii="Arial" w:eastAsia="Calibri" w:hAnsi="Arial" w:cs="Arial"/>
          <w:sz w:val="22"/>
          <w:szCs w:val="22"/>
        </w:rPr>
        <w:t xml:space="preserve"> się zapis</w:t>
      </w:r>
      <w:r w:rsidR="00BB3B05">
        <w:rPr>
          <w:rFonts w:ascii="Arial" w:eastAsia="Calibri" w:hAnsi="Arial" w:cs="Arial"/>
          <w:sz w:val="22"/>
          <w:szCs w:val="22"/>
        </w:rPr>
        <w:t>y</w:t>
      </w:r>
      <w:r w:rsidRPr="00060296">
        <w:rPr>
          <w:rFonts w:ascii="Arial" w:eastAsia="Calibri" w:hAnsi="Arial" w:cs="Arial"/>
          <w:sz w:val="22"/>
          <w:szCs w:val="22"/>
        </w:rPr>
        <w:t xml:space="preserve"> </w:t>
      </w:r>
      <w:r w:rsidR="00BB3B05">
        <w:rPr>
          <w:rFonts w:ascii="Arial" w:eastAsia="Calibri" w:hAnsi="Arial" w:cs="Arial"/>
          <w:sz w:val="22"/>
          <w:szCs w:val="22"/>
        </w:rPr>
        <w:t xml:space="preserve">złącznika nr 6.1 </w:t>
      </w:r>
      <w:r w:rsidRPr="00060296">
        <w:rPr>
          <w:rFonts w:ascii="Arial" w:eastAsia="Calibri" w:hAnsi="Arial" w:cs="Arial"/>
          <w:sz w:val="22"/>
          <w:szCs w:val="22"/>
        </w:rPr>
        <w:t xml:space="preserve"> </w:t>
      </w:r>
      <w:r w:rsidR="00060296" w:rsidRPr="00060296">
        <w:rPr>
          <w:rFonts w:ascii="Arial" w:eastAsia="Calibri" w:hAnsi="Arial" w:cs="Arial"/>
          <w:sz w:val="22"/>
          <w:szCs w:val="22"/>
        </w:rPr>
        <w:t>O</w:t>
      </w:r>
      <w:r w:rsidR="00BB3B05">
        <w:rPr>
          <w:rFonts w:ascii="Arial" w:eastAsia="Calibri" w:hAnsi="Arial" w:cs="Arial"/>
          <w:sz w:val="22"/>
          <w:szCs w:val="22"/>
        </w:rPr>
        <w:t>pis przedmiotu zamówienia</w:t>
      </w:r>
      <w:r w:rsidR="00060296" w:rsidRPr="00060296">
        <w:rPr>
          <w:rFonts w:ascii="Arial" w:eastAsia="Calibri" w:hAnsi="Arial" w:cs="Arial"/>
          <w:sz w:val="22"/>
          <w:szCs w:val="22"/>
        </w:rPr>
        <w:t xml:space="preserve">. Zamawiający publikuje zmieniony tekst dokumentu – zmiany zaznaczono kolorem czerwonym. </w:t>
      </w:r>
    </w:p>
    <w:p w:rsidR="00060296" w:rsidRDefault="00060296" w:rsidP="00060296">
      <w:pPr>
        <w:pStyle w:val="Akapitzlist"/>
        <w:spacing w:line="276" w:lineRule="auto"/>
        <w:ind w:left="709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Nazwa pliku: </w:t>
      </w:r>
      <w:r w:rsidR="00BB3B05" w:rsidRPr="00BB3B05">
        <w:rPr>
          <w:rFonts w:ascii="Arial" w:eastAsia="Calibri" w:hAnsi="Arial" w:cs="Arial"/>
          <w:sz w:val="22"/>
          <w:szCs w:val="22"/>
        </w:rPr>
        <w:t xml:space="preserve">zal_6.1_Opis przedmiotu </w:t>
      </w:r>
      <w:proofErr w:type="spellStart"/>
      <w:r w:rsidR="00BB3B05" w:rsidRPr="00BB3B05">
        <w:rPr>
          <w:rFonts w:ascii="Arial" w:eastAsia="Calibri" w:hAnsi="Arial" w:cs="Arial"/>
          <w:sz w:val="22"/>
          <w:szCs w:val="22"/>
        </w:rPr>
        <w:t>zamówienia_zmiana</w:t>
      </w:r>
      <w:proofErr w:type="spellEnd"/>
      <w:r w:rsidR="00BB3B05" w:rsidRPr="00BB3B05">
        <w:rPr>
          <w:rFonts w:ascii="Arial" w:eastAsia="Calibri" w:hAnsi="Arial" w:cs="Arial"/>
          <w:sz w:val="22"/>
          <w:szCs w:val="22"/>
        </w:rPr>
        <w:t xml:space="preserve"> nr 1 (002).</w:t>
      </w:r>
      <w:proofErr w:type="spellStart"/>
      <w:r w:rsidR="00BB3B05" w:rsidRPr="00BB3B05">
        <w:rPr>
          <w:rFonts w:ascii="Arial" w:eastAsia="Calibri" w:hAnsi="Arial" w:cs="Arial"/>
          <w:sz w:val="22"/>
          <w:szCs w:val="22"/>
        </w:rPr>
        <w:t>docx</w:t>
      </w:r>
      <w:proofErr w:type="spellEnd"/>
      <w:r w:rsidR="00BB3B05">
        <w:rPr>
          <w:rFonts w:ascii="Arial" w:eastAsia="Calibri" w:hAnsi="Arial" w:cs="Arial"/>
          <w:sz w:val="22"/>
          <w:szCs w:val="22"/>
        </w:rPr>
        <w:t>.</w:t>
      </w:r>
    </w:p>
    <w:p w:rsidR="00BB3B05" w:rsidRPr="00060296" w:rsidRDefault="00BB3B05" w:rsidP="00BB3B05">
      <w:pPr>
        <w:pStyle w:val="Akapitzlist"/>
        <w:numPr>
          <w:ilvl w:val="0"/>
          <w:numId w:val="2"/>
        </w:numPr>
        <w:spacing w:line="276" w:lineRule="auto"/>
        <w:ind w:left="709" w:hanging="425"/>
        <w:rPr>
          <w:rFonts w:ascii="Arial" w:eastAsiaTheme="minorHAnsi" w:hAnsi="Arial" w:cs="Arial"/>
          <w:sz w:val="22"/>
          <w:szCs w:val="22"/>
        </w:rPr>
      </w:pPr>
      <w:r w:rsidRPr="00060296">
        <w:rPr>
          <w:rFonts w:ascii="Arial" w:eastAsia="Calibri" w:hAnsi="Arial" w:cs="Arial"/>
          <w:sz w:val="22"/>
          <w:szCs w:val="22"/>
        </w:rPr>
        <w:t>Zmienia</w:t>
      </w:r>
      <w:r>
        <w:rPr>
          <w:rFonts w:ascii="Arial" w:eastAsia="Calibri" w:hAnsi="Arial" w:cs="Arial"/>
          <w:sz w:val="22"/>
          <w:szCs w:val="22"/>
        </w:rPr>
        <w:t>ją</w:t>
      </w:r>
      <w:r w:rsidRPr="00060296">
        <w:rPr>
          <w:rFonts w:ascii="Arial" w:eastAsia="Calibri" w:hAnsi="Arial" w:cs="Arial"/>
          <w:sz w:val="22"/>
          <w:szCs w:val="22"/>
        </w:rPr>
        <w:t xml:space="preserve"> się zapis</w:t>
      </w:r>
      <w:r>
        <w:rPr>
          <w:rFonts w:ascii="Arial" w:eastAsia="Calibri" w:hAnsi="Arial" w:cs="Arial"/>
          <w:sz w:val="22"/>
          <w:szCs w:val="22"/>
        </w:rPr>
        <w:t>y</w:t>
      </w:r>
      <w:r w:rsidRPr="00060296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złącznika nr 6.</w:t>
      </w:r>
      <w:r w:rsidR="009B4A0A">
        <w:rPr>
          <w:rFonts w:ascii="Arial" w:eastAsia="Calibri" w:hAnsi="Arial" w:cs="Arial"/>
          <w:sz w:val="22"/>
          <w:szCs w:val="22"/>
        </w:rPr>
        <w:t>2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60296">
        <w:rPr>
          <w:rFonts w:ascii="Arial" w:eastAsia="Calibri" w:hAnsi="Arial" w:cs="Arial"/>
          <w:sz w:val="22"/>
          <w:szCs w:val="22"/>
        </w:rPr>
        <w:t xml:space="preserve"> </w:t>
      </w:r>
      <w:r w:rsidR="009B4A0A">
        <w:rPr>
          <w:rFonts w:ascii="Arial" w:eastAsia="Calibri" w:hAnsi="Arial" w:cs="Arial"/>
          <w:sz w:val="22"/>
          <w:szCs w:val="22"/>
        </w:rPr>
        <w:t>Zakres rzeczowo - finansowy</w:t>
      </w:r>
      <w:r w:rsidRPr="00060296">
        <w:rPr>
          <w:rFonts w:ascii="Arial" w:eastAsia="Calibri" w:hAnsi="Arial" w:cs="Arial"/>
          <w:sz w:val="22"/>
          <w:szCs w:val="22"/>
        </w:rPr>
        <w:t xml:space="preserve">. </w:t>
      </w:r>
      <w:r w:rsidR="009B4A0A">
        <w:rPr>
          <w:rFonts w:ascii="Arial" w:eastAsia="Calibri" w:hAnsi="Arial" w:cs="Arial"/>
          <w:sz w:val="22"/>
          <w:szCs w:val="22"/>
        </w:rPr>
        <w:t xml:space="preserve">Zamawiający publikuje zmieniony </w:t>
      </w:r>
      <w:r w:rsidRPr="00060296">
        <w:rPr>
          <w:rFonts w:ascii="Arial" w:eastAsia="Calibri" w:hAnsi="Arial" w:cs="Arial"/>
          <w:sz w:val="22"/>
          <w:szCs w:val="22"/>
        </w:rPr>
        <w:t xml:space="preserve">dokument. </w:t>
      </w:r>
    </w:p>
    <w:p w:rsidR="00BB3B05" w:rsidRPr="00BB3B05" w:rsidRDefault="00BB3B05" w:rsidP="00BB3B05">
      <w:pPr>
        <w:pStyle w:val="Akapitzlist"/>
        <w:spacing w:line="276" w:lineRule="auto"/>
        <w:rPr>
          <w:rFonts w:ascii="Arial" w:eastAsiaTheme="minorHAnsi" w:hAnsi="Arial" w:cs="Arial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Nazwa pliku: </w:t>
      </w:r>
      <w:r w:rsidR="009B4A0A" w:rsidRPr="009B4A0A">
        <w:rPr>
          <w:rFonts w:ascii="Arial" w:eastAsia="Calibri" w:hAnsi="Arial" w:cs="Arial"/>
          <w:sz w:val="22"/>
          <w:szCs w:val="22"/>
        </w:rPr>
        <w:t xml:space="preserve">zal_6_2_zakres rzeczowo-finansowy - zadanie nr </w:t>
      </w:r>
      <w:proofErr w:type="spellStart"/>
      <w:r w:rsidR="009B4A0A" w:rsidRPr="009B4A0A">
        <w:rPr>
          <w:rFonts w:ascii="Arial" w:eastAsia="Calibri" w:hAnsi="Arial" w:cs="Arial"/>
          <w:sz w:val="22"/>
          <w:szCs w:val="22"/>
        </w:rPr>
        <w:t>II_zmiana</w:t>
      </w:r>
      <w:proofErr w:type="spellEnd"/>
      <w:r w:rsidR="009B4A0A" w:rsidRPr="009B4A0A">
        <w:rPr>
          <w:rFonts w:ascii="Arial" w:eastAsia="Calibri" w:hAnsi="Arial" w:cs="Arial"/>
          <w:sz w:val="22"/>
          <w:szCs w:val="22"/>
        </w:rPr>
        <w:t xml:space="preserve"> nr 1.xlsx</w:t>
      </w:r>
    </w:p>
    <w:p w:rsidR="00060296" w:rsidRDefault="009B4A0A" w:rsidP="00060296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B4A0A">
        <w:rPr>
          <w:rFonts w:ascii="Arial" w:eastAsiaTheme="minorHAnsi" w:hAnsi="Arial" w:cs="Arial"/>
          <w:sz w:val="22"/>
          <w:szCs w:val="22"/>
        </w:rPr>
        <w:t>Wydłuża si</w:t>
      </w:r>
      <w:r>
        <w:rPr>
          <w:rFonts w:ascii="Arial" w:eastAsiaTheme="minorHAnsi" w:hAnsi="Arial" w:cs="Arial"/>
          <w:sz w:val="22"/>
          <w:szCs w:val="22"/>
        </w:rPr>
        <w:t xml:space="preserve">ę termin składania i otwarcia ofert do </w:t>
      </w:r>
      <w:r>
        <w:rPr>
          <w:rFonts w:ascii="Arial" w:eastAsiaTheme="minorHAnsi" w:hAnsi="Arial" w:cs="Arial"/>
          <w:b/>
          <w:sz w:val="22"/>
          <w:szCs w:val="22"/>
        </w:rPr>
        <w:t xml:space="preserve">19 sierpnia 2022 r. </w:t>
      </w:r>
      <w:r>
        <w:rPr>
          <w:rFonts w:ascii="Arial" w:eastAsiaTheme="minorHAnsi" w:hAnsi="Arial" w:cs="Arial"/>
          <w:sz w:val="22"/>
          <w:szCs w:val="22"/>
        </w:rPr>
        <w:t xml:space="preserve">(godziny bez zmian) oraz termin związania ofertą do </w:t>
      </w:r>
      <w:r w:rsidRPr="009B4A0A">
        <w:rPr>
          <w:rFonts w:ascii="Arial" w:eastAsiaTheme="minorHAnsi" w:hAnsi="Arial" w:cs="Arial"/>
          <w:b/>
          <w:sz w:val="22"/>
          <w:szCs w:val="22"/>
        </w:rPr>
        <w:t>17 września 2022 r.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:rsidR="009B4A0A" w:rsidRPr="009B4A0A" w:rsidRDefault="009B4A0A" w:rsidP="009B4A0A">
      <w:pPr>
        <w:pStyle w:val="Akapitzlist"/>
        <w:tabs>
          <w:tab w:val="left" w:pos="284"/>
        </w:tabs>
        <w:spacing w:line="276" w:lineRule="auto"/>
        <w:rPr>
          <w:rFonts w:ascii="Arial" w:eastAsiaTheme="minorHAnsi" w:hAnsi="Arial" w:cs="Arial"/>
          <w:sz w:val="22"/>
          <w:szCs w:val="22"/>
        </w:rPr>
      </w:pPr>
    </w:p>
    <w:p w:rsidR="00314063" w:rsidRPr="00060296" w:rsidRDefault="00314063" w:rsidP="00060296">
      <w:pPr>
        <w:spacing w:line="276" w:lineRule="auto"/>
        <w:rPr>
          <w:rFonts w:ascii="Arial" w:eastAsiaTheme="minorHAnsi" w:hAnsi="Arial" w:cs="Arial"/>
        </w:rPr>
      </w:pPr>
      <w:r w:rsidRPr="00060296">
        <w:rPr>
          <w:rFonts w:ascii="Arial" w:eastAsiaTheme="minorHAnsi" w:hAnsi="Arial" w:cs="Arial"/>
        </w:rPr>
        <w:t>Przedmiotowe</w:t>
      </w:r>
      <w:r w:rsidRPr="00060296">
        <w:rPr>
          <w:rFonts w:ascii="Arial" w:eastAsiaTheme="minorHAnsi" w:hAnsi="Arial" w:cs="Arial"/>
          <w:bCs/>
        </w:rPr>
        <w:t xml:space="preserve"> wyjaśnienia i zmiany:</w:t>
      </w:r>
    </w:p>
    <w:p w:rsidR="00314063" w:rsidRPr="0040017E" w:rsidRDefault="00314063" w:rsidP="009B4A0A">
      <w:pPr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Arial" w:eastAsiaTheme="minorHAnsi" w:hAnsi="Arial" w:cs="Arial"/>
        </w:rPr>
      </w:pPr>
      <w:r w:rsidRPr="00C627B1">
        <w:rPr>
          <w:rFonts w:ascii="Arial" w:eastAsiaTheme="minorHAnsi" w:hAnsi="Arial" w:cs="Arial"/>
          <w:bCs/>
        </w:rPr>
        <w:t>należy uwzględnić przy sporządzaniu oferty i załączników,</w:t>
      </w:r>
    </w:p>
    <w:p w:rsidR="00C23096" w:rsidRPr="00C627B1" w:rsidRDefault="0040017E" w:rsidP="009B4A0A">
      <w:pPr>
        <w:numPr>
          <w:ilvl w:val="0"/>
          <w:numId w:val="3"/>
        </w:numPr>
        <w:tabs>
          <w:tab w:val="left" w:pos="993"/>
        </w:tabs>
        <w:spacing w:after="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Cs/>
        </w:rPr>
        <w:t>prowadzą do zmiany ogłoszenia.</w:t>
      </w:r>
    </w:p>
    <w:sectPr w:rsidR="00C23096" w:rsidRPr="00C6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E6E95"/>
    <w:multiLevelType w:val="hybridMultilevel"/>
    <w:tmpl w:val="22AEB6A8"/>
    <w:lvl w:ilvl="0" w:tplc="E77C28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0483F"/>
    <w:multiLevelType w:val="hybridMultilevel"/>
    <w:tmpl w:val="0D1C4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1C3F7A"/>
    <w:multiLevelType w:val="hybridMultilevel"/>
    <w:tmpl w:val="441AFF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54EC9"/>
    <w:rsid w:val="00060296"/>
    <w:rsid w:val="00084AB7"/>
    <w:rsid w:val="000D3D88"/>
    <w:rsid w:val="000F260C"/>
    <w:rsid w:val="001106D8"/>
    <w:rsid w:val="001320CC"/>
    <w:rsid w:val="001377AD"/>
    <w:rsid w:val="00145479"/>
    <w:rsid w:val="001C23EC"/>
    <w:rsid w:val="001F4DB9"/>
    <w:rsid w:val="00204DF4"/>
    <w:rsid w:val="00283A50"/>
    <w:rsid w:val="002934FE"/>
    <w:rsid w:val="002B6379"/>
    <w:rsid w:val="002F30DC"/>
    <w:rsid w:val="00314063"/>
    <w:rsid w:val="0033400A"/>
    <w:rsid w:val="003B1CC5"/>
    <w:rsid w:val="0040017E"/>
    <w:rsid w:val="00425771"/>
    <w:rsid w:val="004833FF"/>
    <w:rsid w:val="004B2602"/>
    <w:rsid w:val="004C6D2A"/>
    <w:rsid w:val="004D7E6F"/>
    <w:rsid w:val="004E381D"/>
    <w:rsid w:val="00520828"/>
    <w:rsid w:val="005C5F49"/>
    <w:rsid w:val="005C66B9"/>
    <w:rsid w:val="005F36BD"/>
    <w:rsid w:val="005F7DBA"/>
    <w:rsid w:val="00610956"/>
    <w:rsid w:val="00691F4A"/>
    <w:rsid w:val="006D39CF"/>
    <w:rsid w:val="00754EB7"/>
    <w:rsid w:val="00764FA4"/>
    <w:rsid w:val="00797274"/>
    <w:rsid w:val="007B3CF0"/>
    <w:rsid w:val="007B3FA8"/>
    <w:rsid w:val="0082399B"/>
    <w:rsid w:val="00824E5A"/>
    <w:rsid w:val="00843820"/>
    <w:rsid w:val="008662E7"/>
    <w:rsid w:val="00874560"/>
    <w:rsid w:val="008C2DA8"/>
    <w:rsid w:val="00920531"/>
    <w:rsid w:val="00935E6E"/>
    <w:rsid w:val="00973B26"/>
    <w:rsid w:val="009B1890"/>
    <w:rsid w:val="009B4A0A"/>
    <w:rsid w:val="009E1D3D"/>
    <w:rsid w:val="00A05F0C"/>
    <w:rsid w:val="00A755F4"/>
    <w:rsid w:val="00A80F8D"/>
    <w:rsid w:val="00A90757"/>
    <w:rsid w:val="00B263E6"/>
    <w:rsid w:val="00B7424B"/>
    <w:rsid w:val="00B96F9D"/>
    <w:rsid w:val="00BB3B05"/>
    <w:rsid w:val="00BC572E"/>
    <w:rsid w:val="00BD20BC"/>
    <w:rsid w:val="00BD6FCE"/>
    <w:rsid w:val="00BF541B"/>
    <w:rsid w:val="00C23096"/>
    <w:rsid w:val="00C32D22"/>
    <w:rsid w:val="00C45830"/>
    <w:rsid w:val="00C60286"/>
    <w:rsid w:val="00C627B1"/>
    <w:rsid w:val="00C65205"/>
    <w:rsid w:val="00C73FF6"/>
    <w:rsid w:val="00CA54C5"/>
    <w:rsid w:val="00CE2A7A"/>
    <w:rsid w:val="00DA75E5"/>
    <w:rsid w:val="00DD2157"/>
    <w:rsid w:val="00E74842"/>
    <w:rsid w:val="00F01072"/>
    <w:rsid w:val="00F11F9E"/>
    <w:rsid w:val="00F57D71"/>
    <w:rsid w:val="00F63595"/>
    <w:rsid w:val="00FA349F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9126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77AD"/>
    <w:rPr>
      <w:color w:val="0563C1" w:themeColor="hyperlink"/>
      <w:u w:val="single"/>
    </w:rPr>
  </w:style>
  <w:style w:type="paragraph" w:styleId="Akapitzlist">
    <w:name w:val="List Paragraph"/>
    <w:aliases w:val="normalny tekst,L1,Numerowanie,List Paragraph,Akapit z listą5,Podsis rysunku,Akapit z listą numerowaną,Preambuła,CW_Lista,Normal,Akapit z listą3,Akapit z listą31,Wypunktowanie,Normal2,Adresat stanowisko,sw tekst"/>
    <w:basedOn w:val="Normalny"/>
    <w:link w:val="AkapitzlistZnak"/>
    <w:uiPriority w:val="34"/>
    <w:qFormat/>
    <w:rsid w:val="00C230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,Podsis rysunku Znak,Akapit z listą numerowaną Znak,Preambuła Znak,CW_Lista Znak,Normal Znak,Akapit z listą3 Znak,Akapit z listą31 Znak,Normal2 Znak"/>
    <w:link w:val="Akapitzlist"/>
    <w:uiPriority w:val="34"/>
    <w:qFormat/>
    <w:locked/>
    <w:rsid w:val="00C230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0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0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9</Pages>
  <Words>3016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30</cp:revision>
  <cp:lastPrinted>2022-08-09T10:48:00Z</cp:lastPrinted>
  <dcterms:created xsi:type="dcterms:W3CDTF">2022-07-21T11:35:00Z</dcterms:created>
  <dcterms:modified xsi:type="dcterms:W3CDTF">2022-08-09T10:58:00Z</dcterms:modified>
</cp:coreProperties>
</file>