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DEC1" w14:textId="05411078" w:rsidR="0095537D" w:rsidRPr="00105C47" w:rsidRDefault="006524D6" w:rsidP="003A28CA">
      <w:pPr>
        <w:spacing w:line="360" w:lineRule="auto"/>
        <w:ind w:right="9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6FB08434" w:rsidR="0095537D" w:rsidRPr="00105C47" w:rsidRDefault="006524D6" w:rsidP="002920BB">
      <w:pPr>
        <w:pStyle w:val="Nagwek1"/>
        <w:ind w:right="91"/>
        <w:jc w:val="both"/>
      </w:pPr>
      <w:r w:rsidRPr="00105C47">
        <w:t>OPIS PR</w:t>
      </w:r>
      <w:r w:rsidR="00A46452">
        <w:t xml:space="preserve">ZEDMIOTU ZAMÓWIENIA </w:t>
      </w:r>
      <w:r w:rsidR="007278B2">
        <w:t xml:space="preserve">– CZEŚĆ NR </w:t>
      </w:r>
      <w:r w:rsidR="009D4F93">
        <w:t>5</w:t>
      </w:r>
      <w:r w:rsidR="00754F54">
        <w:t xml:space="preserve"> </w:t>
      </w:r>
    </w:p>
    <w:p w14:paraId="2AB52B6D" w14:textId="77777777" w:rsidR="00E44E82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32D40565" w14:textId="77777777" w:rsidR="006B526C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 Uniwersytetu Medycznego w Białymstoku</w:t>
      </w:r>
    </w:p>
    <w:p w14:paraId="1122D728" w14:textId="64291699" w:rsidR="00047F68" w:rsidRDefault="00A4626D" w:rsidP="003A28CA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>Mikroskop laboratoryjny</w:t>
      </w:r>
      <w:r w:rsidR="00136695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>– 1 szt.</w:t>
      </w:r>
    </w:p>
    <w:p w14:paraId="36D945DD" w14:textId="77777777" w:rsidR="00A4626D" w:rsidRDefault="00A4626D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2920BB">
      <w:pPr>
        <w:spacing w:line="360" w:lineRule="auto"/>
        <w:ind w:right="9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Default="00BF4E8F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36D2AE8D" w:rsidR="00D55035" w:rsidRDefault="00D55035" w:rsidP="006B526C">
      <w:pPr>
        <w:tabs>
          <w:tab w:val="right" w:leader="dot" w:pos="10065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</w:t>
      </w:r>
      <w:r w:rsidR="008022DF">
        <w:rPr>
          <w:rFonts w:ascii="Calibri" w:hAnsi="Calibri" w:cs="Calibri"/>
          <w:b/>
          <w:sz w:val="24"/>
          <w:szCs w:val="24"/>
        </w:rPr>
        <w:t>23</w:t>
      </w:r>
    </w:p>
    <w:p w14:paraId="1FB204A7" w14:textId="77777777" w:rsidR="006B526C" w:rsidRPr="008876F6" w:rsidRDefault="006B526C" w:rsidP="006B526C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76F6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436BF565" w14:textId="282498ED" w:rsidR="006B526C" w:rsidRPr="00D55035" w:rsidRDefault="006B526C" w:rsidP="006B526C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..</w:t>
      </w:r>
    </w:p>
    <w:p w14:paraId="76EC2E7F" w14:textId="77777777" w:rsidR="00B137A3" w:rsidRPr="008A2501" w:rsidRDefault="00B137A3" w:rsidP="002920BB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726F7016" w14:textId="77777777" w:rsidR="00136695" w:rsidRPr="004F3C22" w:rsidRDefault="00136695" w:rsidP="00136695">
      <w:pPr>
        <w:pStyle w:val="Akapitzlist"/>
        <w:widowControl/>
        <w:numPr>
          <w:ilvl w:val="0"/>
          <w:numId w:val="30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Mikroskop odwrócony fluorescencyjny z akwizycją i archiwizacją obrazu.</w:t>
      </w:r>
    </w:p>
    <w:p w14:paraId="382BEE69" w14:textId="77777777" w:rsidR="00136695" w:rsidRPr="004F3C22" w:rsidRDefault="00136695" w:rsidP="00136695">
      <w:pPr>
        <w:pStyle w:val="Akapitzlist"/>
        <w:widowControl/>
        <w:numPr>
          <w:ilvl w:val="0"/>
          <w:numId w:val="30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Obserwacja preparatów w świetle przechodzącym (BF) i w kontraście fazowym (PH) oraz preparatów wybarwionych fluorescencyjnie.</w:t>
      </w:r>
    </w:p>
    <w:p w14:paraId="0865F3B6" w14:textId="77777777" w:rsidR="00136695" w:rsidRPr="004F3C22" w:rsidRDefault="00136695" w:rsidP="00136695">
      <w:pPr>
        <w:pStyle w:val="Akapitzlist"/>
        <w:widowControl/>
        <w:numPr>
          <w:ilvl w:val="0"/>
          <w:numId w:val="30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Wyposażony w układ optyczny korygowany do nieskończoności.</w:t>
      </w:r>
    </w:p>
    <w:p w14:paraId="4A433E1F" w14:textId="77777777" w:rsidR="00136695" w:rsidRPr="004F3C22" w:rsidRDefault="00136695" w:rsidP="00136695">
      <w:pPr>
        <w:pStyle w:val="Akapitzlist"/>
        <w:widowControl/>
        <w:numPr>
          <w:ilvl w:val="0"/>
          <w:numId w:val="30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Wyposażony w oświetlenie dla światła przechodzącego:</w:t>
      </w:r>
    </w:p>
    <w:p w14:paraId="10B2FD29" w14:textId="77777777" w:rsidR="00136695" w:rsidRPr="004F3C22" w:rsidRDefault="00136695" w:rsidP="00136695">
      <w:pPr>
        <w:pStyle w:val="Akapitzlist"/>
        <w:widowControl/>
        <w:numPr>
          <w:ilvl w:val="0"/>
          <w:numId w:val="31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LED’owe</w:t>
      </w:r>
      <w:proofErr w:type="spellEnd"/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(energooszczędne) o stałej temperaturze barwowej, </w:t>
      </w:r>
    </w:p>
    <w:p w14:paraId="3DA6D5D3" w14:textId="77777777" w:rsidR="00136695" w:rsidRPr="004F3C22" w:rsidRDefault="00136695" w:rsidP="00136695">
      <w:pPr>
        <w:pStyle w:val="Akapitzlist"/>
        <w:widowControl/>
        <w:numPr>
          <w:ilvl w:val="0"/>
          <w:numId w:val="31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mocy nie mniejszej niż 5W, </w:t>
      </w:r>
    </w:p>
    <w:p w14:paraId="4465E7E1" w14:textId="7B872B10" w:rsidR="00136695" w:rsidRPr="004F3C22" w:rsidRDefault="00136695" w:rsidP="00136695">
      <w:pPr>
        <w:pStyle w:val="Akapitzlist"/>
        <w:widowControl/>
        <w:numPr>
          <w:ilvl w:val="0"/>
          <w:numId w:val="31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długim czasie pracy</w:t>
      </w:r>
      <w:r w:rsidR="00013F5D"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krótszym niż 50 000h,</w:t>
      </w:r>
    </w:p>
    <w:p w14:paraId="147D6F9E" w14:textId="35C0FA6C" w:rsidR="00136695" w:rsidRPr="004F3C22" w:rsidRDefault="00013F5D" w:rsidP="00136695">
      <w:pPr>
        <w:pStyle w:val="Akapitzlist"/>
        <w:widowControl/>
        <w:numPr>
          <w:ilvl w:val="0"/>
          <w:numId w:val="31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płynna</w:t>
      </w:r>
      <w:r w:rsidR="00136695"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regu</w:t>
      </w: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lacja</w:t>
      </w:r>
      <w:r w:rsidR="00136695"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intensywności oświetlenia,</w:t>
      </w:r>
    </w:p>
    <w:p w14:paraId="2B2FC1D0" w14:textId="77777777" w:rsidR="00136695" w:rsidRPr="004F3C22" w:rsidRDefault="00136695" w:rsidP="00136695">
      <w:pPr>
        <w:pStyle w:val="Akapitzlist"/>
        <w:widowControl/>
        <w:numPr>
          <w:ilvl w:val="0"/>
          <w:numId w:val="31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automatycznie dopasowujące się do wybranej techniki kontrastowej,</w:t>
      </w:r>
    </w:p>
    <w:p w14:paraId="622B11FE" w14:textId="77777777" w:rsidR="00136695" w:rsidRPr="004F3C22" w:rsidRDefault="00136695" w:rsidP="00136695">
      <w:pPr>
        <w:pStyle w:val="Akapitzlist"/>
        <w:widowControl/>
        <w:numPr>
          <w:ilvl w:val="0"/>
          <w:numId w:val="31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funkcją automatycznego wyłączenia po określonym czasie bezczynności. </w:t>
      </w:r>
    </w:p>
    <w:p w14:paraId="2788B98E" w14:textId="55C45131" w:rsidR="00136695" w:rsidRPr="004F3C22" w:rsidRDefault="00136695" w:rsidP="00136695">
      <w:pPr>
        <w:pStyle w:val="Akapitzlist"/>
        <w:widowControl/>
        <w:numPr>
          <w:ilvl w:val="0"/>
          <w:numId w:val="30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Wyposażony w zi</w:t>
      </w:r>
      <w:r w:rsidR="00E60120"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ntegrowany kontrast modulacyjny,</w:t>
      </w: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pozwalający uwypuklić niewybarwione, przeźroczyste elementy preparatu.</w:t>
      </w:r>
    </w:p>
    <w:p w14:paraId="43433CBA" w14:textId="4103602D" w:rsidR="00136695" w:rsidRPr="004F3C22" w:rsidRDefault="00136695" w:rsidP="00136695">
      <w:pPr>
        <w:pStyle w:val="Akapitzlist"/>
        <w:widowControl/>
        <w:numPr>
          <w:ilvl w:val="0"/>
          <w:numId w:val="30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Wyposażony w</w:t>
      </w:r>
      <w:r w:rsidR="00F413FE"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minimum</w:t>
      </w: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4 pozycyjną wsuwkę dla kontrastu fazowego (BF, PH0,</w:t>
      </w:r>
      <w:r w:rsidR="002D5E81"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PH1, PH2).</w:t>
      </w:r>
    </w:p>
    <w:p w14:paraId="057D71A2" w14:textId="77777777" w:rsidR="00136695" w:rsidRPr="004F3C22" w:rsidRDefault="00136695" w:rsidP="00136695">
      <w:pPr>
        <w:pStyle w:val="Akapitzlist"/>
        <w:widowControl/>
        <w:numPr>
          <w:ilvl w:val="0"/>
          <w:numId w:val="30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Wyposażony w minimum 3 pozycyjną wsuwkę dla kostek filtrowych.</w:t>
      </w:r>
    </w:p>
    <w:p w14:paraId="4D7293FC" w14:textId="676BA754" w:rsidR="00136695" w:rsidRPr="004F3C22" w:rsidRDefault="00136695" w:rsidP="00136695">
      <w:pPr>
        <w:pStyle w:val="Akapitzlist"/>
        <w:widowControl/>
        <w:numPr>
          <w:ilvl w:val="0"/>
          <w:numId w:val="30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Wyposażony w Kondensor o aperturze numerycznej 0,45 oraz dystansie pracy 40mm do obserwacji w technice jasnego pola</w:t>
      </w:r>
      <w:r w:rsidR="00852AEC"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(BF)</w:t>
      </w: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, kontraście fazowym oraz kontraście modulacyjnym.</w:t>
      </w:r>
    </w:p>
    <w:p w14:paraId="3FA41698" w14:textId="43E39686" w:rsidR="00136695" w:rsidRPr="004F3C22" w:rsidRDefault="00136695" w:rsidP="00136695">
      <w:pPr>
        <w:pStyle w:val="Akapitzlist"/>
        <w:widowControl/>
        <w:numPr>
          <w:ilvl w:val="0"/>
          <w:numId w:val="30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Wyposażony w </w:t>
      </w:r>
      <w:r w:rsidR="00870B00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tolik mikroskopowy o wymiarach nie mniejszych niż 245 x 210 x 20 mm (dł. x szer. x </w:t>
      </w:r>
      <w:proofErr w:type="spellStart"/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wys</w:t>
      </w:r>
      <w:proofErr w:type="spellEnd"/>
      <w:r w:rsidR="00C417D3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CC84E1E" w14:textId="0D127331" w:rsidR="00136695" w:rsidRPr="004F3C22" w:rsidRDefault="00136695" w:rsidP="00136695">
      <w:pPr>
        <w:pStyle w:val="Akapitzlist"/>
        <w:widowControl/>
        <w:numPr>
          <w:ilvl w:val="0"/>
          <w:numId w:val="30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Wyposażony w minimum 4 pozycyjny rewolwer obiektywowy, z zakresem pracy w osi Z wynoszącym minimum 7mm</w:t>
      </w:r>
      <w:r w:rsidR="00870B0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B69C1C6" w14:textId="77777777" w:rsidR="00136695" w:rsidRPr="004F3C22" w:rsidRDefault="00136695" w:rsidP="00136695">
      <w:pPr>
        <w:pStyle w:val="Akapitzlist"/>
        <w:widowControl/>
        <w:numPr>
          <w:ilvl w:val="0"/>
          <w:numId w:val="30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Wyposażony w obiektywy o długości </w:t>
      </w:r>
      <w:proofErr w:type="spellStart"/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parfokalnej</w:t>
      </w:r>
      <w:proofErr w:type="spellEnd"/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45mm i gwincie M25 o następujących parametrach:</w:t>
      </w:r>
    </w:p>
    <w:p w14:paraId="4BB0587F" w14:textId="77777777" w:rsidR="00136695" w:rsidRPr="004F3C22" w:rsidRDefault="00136695" w:rsidP="00136695">
      <w:pPr>
        <w:pStyle w:val="Akapitzlist"/>
        <w:widowControl/>
        <w:numPr>
          <w:ilvl w:val="0"/>
          <w:numId w:val="35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Powiększenie: 4x; Apertura numeryczna nie mniejsza niż: 0,10; Odległość robocza nie mniejsza niż: 13,9mm; Korekcja: plan achromatyczna, przystosowany do pracy z kontrastem fazowym,</w:t>
      </w:r>
    </w:p>
    <w:p w14:paraId="473FE0DE" w14:textId="77777777" w:rsidR="00136695" w:rsidRPr="004F3C22" w:rsidRDefault="00136695" w:rsidP="00136695">
      <w:pPr>
        <w:pStyle w:val="Akapitzlist"/>
        <w:widowControl/>
        <w:numPr>
          <w:ilvl w:val="0"/>
          <w:numId w:val="35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Powiększenie: 10x; Apertura numeryczna nie mniejsza niż: 0,25; Odległość robocza nie mniejsza niż: 17,7mm; Korekcja: plan achromatyczna, przystosowany do pracy z kontrastem fazowym,</w:t>
      </w:r>
    </w:p>
    <w:p w14:paraId="78A29197" w14:textId="77777777" w:rsidR="00136695" w:rsidRPr="004F3C22" w:rsidRDefault="00136695" w:rsidP="00136695">
      <w:pPr>
        <w:pStyle w:val="Akapitzlist"/>
        <w:widowControl/>
        <w:numPr>
          <w:ilvl w:val="0"/>
          <w:numId w:val="35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Powiększenie: 20x; Apertura numeryczna nie mniejsza niż: 0,30; Odległość robocza nie mniejsza niż: 3mm; Korekcja grubości naczyń w zakresie nie mniejszym niż 0-2mm. Korekcja plan achromatyczna, przystosowany do pracy z kontrastem fazowym.</w:t>
      </w:r>
    </w:p>
    <w:p w14:paraId="0FB8521B" w14:textId="77777777" w:rsidR="00136695" w:rsidRPr="004F3C22" w:rsidRDefault="00136695" w:rsidP="00136695">
      <w:pPr>
        <w:pStyle w:val="Akapitzlist"/>
        <w:widowControl/>
        <w:numPr>
          <w:ilvl w:val="0"/>
          <w:numId w:val="35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Powiększenie: 40x; Apertura numeryczna nie mniejsza niż: 0,50; Odległość robocza nie mniejsza niż: 2mm; Korekcja grubości naczyń nie mniejsza niż 1,1mm; Korekcja: plan achromatyczna, przystosowany do pracy z kontrastem fazowym, </w:t>
      </w:r>
    </w:p>
    <w:p w14:paraId="6B3D337A" w14:textId="3D3D077C" w:rsidR="0023222D" w:rsidRPr="00870B00" w:rsidRDefault="0023222D" w:rsidP="00870B00">
      <w:pPr>
        <w:pStyle w:val="Akapitzlist"/>
        <w:widowControl/>
        <w:numPr>
          <w:ilvl w:val="0"/>
          <w:numId w:val="30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0B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Możliwość współpracy obiektywów (bez stosowania przejściówek) z posiadanym przez Użytkownika systemem do </w:t>
      </w:r>
      <w:proofErr w:type="spellStart"/>
      <w:r w:rsidRPr="00870B00">
        <w:rPr>
          <w:rFonts w:asciiTheme="minorHAnsi" w:hAnsiTheme="minorHAnsi" w:cstheme="minorHAnsi"/>
          <w:color w:val="000000" w:themeColor="text1"/>
          <w:sz w:val="24"/>
          <w:szCs w:val="24"/>
        </w:rPr>
        <w:t>mikrodysekcji</w:t>
      </w:r>
      <w:proofErr w:type="spellEnd"/>
      <w:r w:rsidRPr="00870B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laserowej LMD7 oraz </w:t>
      </w:r>
      <w:proofErr w:type="spellStart"/>
      <w:r w:rsidRPr="00870B00">
        <w:rPr>
          <w:rFonts w:asciiTheme="minorHAnsi" w:hAnsiTheme="minorHAnsi" w:cstheme="minorHAnsi"/>
          <w:color w:val="000000" w:themeColor="text1"/>
          <w:sz w:val="24"/>
          <w:szCs w:val="24"/>
        </w:rPr>
        <w:t>Stellaris</w:t>
      </w:r>
      <w:proofErr w:type="spellEnd"/>
      <w:r w:rsidRPr="00870B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5.</w:t>
      </w:r>
    </w:p>
    <w:p w14:paraId="0A391F9F" w14:textId="3050599A" w:rsidR="00136695" w:rsidRPr="004F3C22" w:rsidRDefault="00136695" w:rsidP="0023222D">
      <w:pPr>
        <w:pStyle w:val="Akapitzlist"/>
        <w:widowControl/>
        <w:numPr>
          <w:ilvl w:val="0"/>
          <w:numId w:val="30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Wyposażony w okulary o powiększeniu 10x oraz o polu widzenia nie mniejszym niż 2</w:t>
      </w:r>
      <w:r w:rsidR="00852AEC"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mm z korekcją dioptrii </w:t>
      </w:r>
      <w:r w:rsidR="00946B2C">
        <w:rPr>
          <w:rFonts w:asciiTheme="minorHAnsi" w:hAnsiTheme="minorHAnsi" w:cstheme="minorHAnsi"/>
          <w:color w:val="000000" w:themeColor="text1"/>
          <w:sz w:val="24"/>
          <w:szCs w:val="24"/>
        </w:rPr>
        <w:t>w jednym z</w:t>
      </w:r>
      <w:r w:rsidR="0023222D" w:rsidRPr="002322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okularów</w:t>
      </w: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C7ECEBC" w14:textId="77777777" w:rsidR="00136695" w:rsidRPr="004F3C22" w:rsidRDefault="00136695" w:rsidP="00136695">
      <w:pPr>
        <w:pStyle w:val="Akapitzlist"/>
        <w:widowControl/>
        <w:numPr>
          <w:ilvl w:val="0"/>
          <w:numId w:val="30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Wyposażony w Tubus binokularny:</w:t>
      </w:r>
    </w:p>
    <w:p w14:paraId="37CDD013" w14:textId="77777777" w:rsidR="00136695" w:rsidRPr="004F3C22" w:rsidRDefault="00136695" w:rsidP="00136695">
      <w:pPr>
        <w:pStyle w:val="Akapitzlist"/>
        <w:widowControl/>
        <w:numPr>
          <w:ilvl w:val="0"/>
          <w:numId w:val="36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możliwość ustawienia tubusu pod kątem 45 stopni,</w:t>
      </w:r>
    </w:p>
    <w:p w14:paraId="6DB43135" w14:textId="77777777" w:rsidR="00136695" w:rsidRPr="004F3C22" w:rsidRDefault="00136695" w:rsidP="00136695">
      <w:pPr>
        <w:pStyle w:val="Akapitzlist"/>
        <w:widowControl/>
        <w:numPr>
          <w:ilvl w:val="0"/>
          <w:numId w:val="36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możliwość obrotu o 360 stopni,</w:t>
      </w:r>
    </w:p>
    <w:p w14:paraId="34D0A2F5" w14:textId="77777777" w:rsidR="00136695" w:rsidRPr="004F3C22" w:rsidRDefault="00136695" w:rsidP="00136695">
      <w:pPr>
        <w:pStyle w:val="Akapitzlist"/>
        <w:widowControl/>
        <w:numPr>
          <w:ilvl w:val="0"/>
          <w:numId w:val="36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wyjściem do podpięcia kamery, </w:t>
      </w:r>
    </w:p>
    <w:p w14:paraId="43086FA3" w14:textId="77777777" w:rsidR="00136695" w:rsidRPr="004F3C22" w:rsidRDefault="00136695" w:rsidP="00136695">
      <w:pPr>
        <w:pStyle w:val="Akapitzlist"/>
        <w:widowControl/>
        <w:numPr>
          <w:ilvl w:val="0"/>
          <w:numId w:val="36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z podziałem światła 100/0%, 0/100%, </w:t>
      </w:r>
    </w:p>
    <w:p w14:paraId="35AFA9DD" w14:textId="77777777" w:rsidR="00136695" w:rsidRPr="004F3C22" w:rsidRDefault="00136695" w:rsidP="00136695">
      <w:pPr>
        <w:pStyle w:val="Akapitzlist"/>
        <w:widowControl/>
        <w:numPr>
          <w:ilvl w:val="0"/>
          <w:numId w:val="36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możliwością regulacji rozstawu źrenic w zakresie minimum 55-75mm, </w:t>
      </w:r>
    </w:p>
    <w:p w14:paraId="2F146179" w14:textId="77777777" w:rsidR="00136695" w:rsidRPr="004F3C22" w:rsidRDefault="00136695" w:rsidP="00136695">
      <w:pPr>
        <w:pStyle w:val="Akapitzlist"/>
        <w:widowControl/>
        <w:numPr>
          <w:ilvl w:val="0"/>
          <w:numId w:val="36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polem widzenia nie mniejszym niż 22mm. </w:t>
      </w:r>
    </w:p>
    <w:p w14:paraId="6C6648A8" w14:textId="77777777" w:rsidR="00136695" w:rsidRPr="004F3C22" w:rsidRDefault="00136695" w:rsidP="00136695">
      <w:pPr>
        <w:pStyle w:val="Akapitzlist"/>
        <w:widowControl/>
        <w:numPr>
          <w:ilvl w:val="0"/>
          <w:numId w:val="30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Wyposażony w mikroskopowa kamerę kolorową o wysokiej czułości: </w:t>
      </w:r>
    </w:p>
    <w:p w14:paraId="2AFE38FD" w14:textId="35AE3E01" w:rsidR="00136695" w:rsidRPr="004F3C22" w:rsidRDefault="00136695" w:rsidP="00136695">
      <w:pPr>
        <w:pStyle w:val="Akapitzlist"/>
        <w:widowControl/>
        <w:numPr>
          <w:ilvl w:val="0"/>
          <w:numId w:val="37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matryc</w:t>
      </w:r>
      <w:r w:rsidR="00CC7FD2"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a światłoczuła nie mniejsza niż</w:t>
      </w: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standard </w:t>
      </w:r>
      <w:r w:rsidR="00852AEC"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1/1.2</w:t>
      </w: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”,</w:t>
      </w:r>
    </w:p>
    <w:p w14:paraId="3A8A93F2" w14:textId="3838851E" w:rsidR="00136695" w:rsidRPr="004F3C22" w:rsidRDefault="00136695" w:rsidP="00136695">
      <w:pPr>
        <w:pStyle w:val="Akapitzlist"/>
        <w:widowControl/>
        <w:numPr>
          <w:ilvl w:val="0"/>
          <w:numId w:val="37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rozdzielczość maksymalna nie mniejsza niż: </w:t>
      </w:r>
      <w:r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3</w:t>
      </w:r>
      <w:r w:rsidR="00852AEC"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840</w:t>
      </w:r>
      <w:r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 xml:space="preserve"> x</w:t>
      </w:r>
      <w:r w:rsidR="00852AEC"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 xml:space="preserve"> 2160</w:t>
      </w:r>
      <w:r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 xml:space="preserve"> (~ </w:t>
      </w:r>
      <w:r w:rsidR="00852AEC"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8</w:t>
      </w:r>
      <w:r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,3 MP),</w:t>
      </w:r>
    </w:p>
    <w:p w14:paraId="715A7D42" w14:textId="79C8A1F5" w:rsidR="00136695" w:rsidRPr="004F3C22" w:rsidRDefault="00136695" w:rsidP="00136695">
      <w:pPr>
        <w:pStyle w:val="Akapitzlist"/>
        <w:widowControl/>
        <w:numPr>
          <w:ilvl w:val="0"/>
          <w:numId w:val="37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obraz „live” z prędkością</w:t>
      </w:r>
      <w:r w:rsidR="00CB0E3B"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 xml:space="preserve"> maksymalną</w:t>
      </w:r>
      <w:r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 xml:space="preserve"> nie mniejszą niż </w:t>
      </w:r>
      <w:r w:rsid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 xml:space="preserve">70 </w:t>
      </w:r>
      <w:proofErr w:type="spellStart"/>
      <w:r w:rsid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fps</w:t>
      </w:r>
      <w:proofErr w:type="spellEnd"/>
      <w:r w:rsid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 xml:space="preserve"> przy </w:t>
      </w:r>
      <w:r w:rsidR="00CC7FD2"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rozdzielczości</w:t>
      </w:r>
      <w:r w:rsid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 xml:space="preserve"> 1920x1080px</w:t>
      </w:r>
      <w:r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,</w:t>
      </w:r>
    </w:p>
    <w:p w14:paraId="37843EB8" w14:textId="7DAF00BE" w:rsidR="00136695" w:rsidRPr="004F3C22" w:rsidRDefault="00136695" w:rsidP="00136695">
      <w:pPr>
        <w:pStyle w:val="Akapitzlist"/>
        <w:widowControl/>
        <w:numPr>
          <w:ilvl w:val="0"/>
          <w:numId w:val="37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 xml:space="preserve">rozmiar piksela nie mniejszy niż: </w:t>
      </w:r>
      <w:r w:rsidR="00CC7FD2"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 xml:space="preserve">2,9 </w:t>
      </w:r>
      <w:proofErr w:type="spellStart"/>
      <w:r w:rsidR="00CC7FD2"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μm</w:t>
      </w:r>
      <w:proofErr w:type="spellEnd"/>
      <w:r w:rsidR="00CC7FD2"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 xml:space="preserve"> × 2,9</w:t>
      </w:r>
      <w:r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μm</w:t>
      </w:r>
      <w:proofErr w:type="spellEnd"/>
      <w:r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,</w:t>
      </w:r>
    </w:p>
    <w:p w14:paraId="6766E87E" w14:textId="6555B4CD" w:rsidR="00136695" w:rsidRPr="004F3C22" w:rsidRDefault="00136695" w:rsidP="00136695">
      <w:pPr>
        <w:pStyle w:val="Akapitzlist"/>
        <w:widowControl/>
        <w:numPr>
          <w:ilvl w:val="0"/>
          <w:numId w:val="37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czas ekspozycji nie mniejszy niż w zakresie: 0,</w:t>
      </w:r>
      <w:r w:rsidR="00CC7FD2"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02</w:t>
      </w:r>
      <w:r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msec</w:t>
      </w:r>
      <w:proofErr w:type="spellEnd"/>
      <w:r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 xml:space="preserve"> – </w:t>
      </w:r>
      <w:r w:rsidR="00CC7FD2"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15</w:t>
      </w:r>
      <w:r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 xml:space="preserve"> sec,</w:t>
      </w:r>
    </w:p>
    <w:p w14:paraId="06F54E56" w14:textId="2F7A43AB" w:rsidR="00136695" w:rsidRPr="004F3C22" w:rsidRDefault="00136695" w:rsidP="00136695">
      <w:pPr>
        <w:pStyle w:val="Akapitzlist"/>
        <w:widowControl/>
        <w:numPr>
          <w:ilvl w:val="0"/>
          <w:numId w:val="37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wysoka czułość nie mniejsza niż: </w:t>
      </w:r>
      <w:r w:rsidR="00CC7FD2"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2188</w:t>
      </w: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mv przy 1/30sek,</w:t>
      </w:r>
    </w:p>
    <w:p w14:paraId="03E876CE" w14:textId="356A957D" w:rsidR="004F3C22" w:rsidRPr="004F3C22" w:rsidRDefault="004F3C22" w:rsidP="004F3C22">
      <w:pPr>
        <w:pStyle w:val="Akapitzlist"/>
        <w:widowControl/>
        <w:numPr>
          <w:ilvl w:val="0"/>
          <w:numId w:val="37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filtr barwny RGB,</w:t>
      </w:r>
    </w:p>
    <w:p w14:paraId="08225FAE" w14:textId="716D79B5" w:rsidR="004F3C22" w:rsidRPr="004F3C22" w:rsidRDefault="004F3C22" w:rsidP="004F3C22">
      <w:pPr>
        <w:pStyle w:val="Akapitzlist"/>
        <w:widowControl/>
        <w:numPr>
          <w:ilvl w:val="0"/>
          <w:numId w:val="37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łębia kolorów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min. </w:t>
      </w: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8/14 bit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21603BF2" w14:textId="6FC8478A" w:rsidR="004F3C22" w:rsidRPr="004F3C22" w:rsidRDefault="004F3C22" w:rsidP="004F3C22">
      <w:pPr>
        <w:pStyle w:val="Akapitzlist"/>
        <w:widowControl/>
        <w:numPr>
          <w:ilvl w:val="0"/>
          <w:numId w:val="37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ożliwość zdefiniowania regionu zainteresowania (ROI)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BCAE381" w14:textId="0210A647" w:rsidR="00136695" w:rsidRDefault="00136695" w:rsidP="00136695">
      <w:pPr>
        <w:pStyle w:val="Akapitzlist"/>
        <w:widowControl/>
        <w:numPr>
          <w:ilvl w:val="0"/>
          <w:numId w:val="37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 xml:space="preserve">połączenie z jednostką sterująca za pomocą portu USB </w:t>
      </w:r>
      <w:r w:rsidR="00CB0E3B" w:rsidRPr="004F3C22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 xml:space="preserve">min. </w:t>
      </w:r>
      <w:r w:rsidR="000A2931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3.0,</w:t>
      </w:r>
    </w:p>
    <w:p w14:paraId="6641220E" w14:textId="16B21819" w:rsidR="000A2931" w:rsidRPr="000A2931" w:rsidRDefault="000A2931" w:rsidP="003A28CA">
      <w:pPr>
        <w:pStyle w:val="Akapitzlist"/>
        <w:numPr>
          <w:ilvl w:val="0"/>
          <w:numId w:val="37"/>
        </w:numPr>
        <w:spacing w:line="360" w:lineRule="auto"/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p</w:t>
      </w:r>
      <w:r w:rsidRPr="000A2931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ołączenie z mikroskopem za pomocą adaptera 0,7x</w:t>
      </w:r>
      <w:r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.</w:t>
      </w:r>
    </w:p>
    <w:p w14:paraId="0186906D" w14:textId="77777777" w:rsidR="00136695" w:rsidRPr="003A28CA" w:rsidRDefault="00136695" w:rsidP="00136695">
      <w:pPr>
        <w:pStyle w:val="Akapitzlist"/>
        <w:widowControl/>
        <w:numPr>
          <w:ilvl w:val="0"/>
          <w:numId w:val="30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8CA">
        <w:rPr>
          <w:rFonts w:asciiTheme="minorHAnsi" w:hAnsiTheme="minorHAnsi" w:cstheme="minorHAnsi"/>
          <w:color w:val="000000" w:themeColor="text1"/>
          <w:sz w:val="24"/>
          <w:szCs w:val="24"/>
        </w:rPr>
        <w:t>Oprogramowanie:</w:t>
      </w:r>
    </w:p>
    <w:p w14:paraId="225F60CB" w14:textId="77777777" w:rsidR="00136695" w:rsidRPr="000A2931" w:rsidRDefault="00136695" w:rsidP="00136695">
      <w:pPr>
        <w:pStyle w:val="Akapitzlist"/>
        <w:widowControl/>
        <w:numPr>
          <w:ilvl w:val="0"/>
          <w:numId w:val="38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</w:pPr>
      <w:r w:rsidRPr="000A2931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 xml:space="preserve">umożliwiające dopasowanie (automatyczne i manualne) parametrów kamery co najmniej takich jak: czas ekspozycji, wysycenie barw, gammę, balans bieli, </w:t>
      </w:r>
    </w:p>
    <w:p w14:paraId="40111241" w14:textId="77777777" w:rsidR="00136695" w:rsidRPr="000A2931" w:rsidRDefault="00136695" w:rsidP="00136695">
      <w:pPr>
        <w:pStyle w:val="Akapitzlist"/>
        <w:widowControl/>
        <w:numPr>
          <w:ilvl w:val="0"/>
          <w:numId w:val="38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</w:pPr>
      <w:r w:rsidRPr="000A2931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pozwalające na zapis i archiwizacje zdjęć mikroskopowych,</w:t>
      </w:r>
    </w:p>
    <w:p w14:paraId="69F62A08" w14:textId="77777777" w:rsidR="00136695" w:rsidRPr="000A2931" w:rsidRDefault="00136695" w:rsidP="00136695">
      <w:pPr>
        <w:pStyle w:val="Akapitzlist"/>
        <w:widowControl/>
        <w:numPr>
          <w:ilvl w:val="0"/>
          <w:numId w:val="38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</w:pPr>
      <w:r w:rsidRPr="000A2931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 xml:space="preserve">pozwalające na sterowanie przesłoną źródła światła do </w:t>
      </w:r>
      <w:proofErr w:type="spellStart"/>
      <w:r w:rsidRPr="000A2931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epifluorescencji</w:t>
      </w:r>
      <w:proofErr w:type="spellEnd"/>
      <w:r w:rsidRPr="000A2931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,</w:t>
      </w:r>
    </w:p>
    <w:p w14:paraId="23B751F8" w14:textId="77777777" w:rsidR="00136695" w:rsidRPr="000A2931" w:rsidRDefault="00136695" w:rsidP="00136695">
      <w:pPr>
        <w:pStyle w:val="Akapitzlist"/>
        <w:widowControl/>
        <w:numPr>
          <w:ilvl w:val="0"/>
          <w:numId w:val="38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</w:pPr>
      <w:r w:rsidRPr="000A2931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pozwalające na wykonanie prostych pomiarów morfotycznych oraz dodanie opisu jak i skali,</w:t>
      </w:r>
    </w:p>
    <w:p w14:paraId="4AD0617F" w14:textId="77777777" w:rsidR="00136695" w:rsidRPr="000A2931" w:rsidRDefault="00136695" w:rsidP="00136695">
      <w:pPr>
        <w:pStyle w:val="Akapitzlist"/>
        <w:widowControl/>
        <w:numPr>
          <w:ilvl w:val="0"/>
          <w:numId w:val="38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</w:pPr>
      <w:r w:rsidRPr="000A2931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możliwość doposażenia oprogramowania o kolejne moduły do analizy obrazów, sekwencji wielokanałowej akwizycji obrazu: z jasnego pola, kontrastu fazowego i z fluorescencji z możliwością definiowania nie mniej niż 8 kanałów (każdy z kanałów może być definiowany do dowolnej techniki obserwacji z indywidualnymi parametrami).</w:t>
      </w:r>
    </w:p>
    <w:p w14:paraId="37392D23" w14:textId="77777777" w:rsidR="00136695" w:rsidRPr="000A2931" w:rsidRDefault="00136695" w:rsidP="00136695">
      <w:pPr>
        <w:pStyle w:val="Akapitzlist"/>
        <w:widowControl/>
        <w:numPr>
          <w:ilvl w:val="0"/>
          <w:numId w:val="30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</w:pPr>
      <w:r w:rsidRPr="000A2931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Jednostka sterująca o parametrach nie gorszych niż:</w:t>
      </w:r>
    </w:p>
    <w:p w14:paraId="2785760D" w14:textId="22B0A8EE" w:rsidR="00136695" w:rsidRPr="000A2931" w:rsidRDefault="00C67641" w:rsidP="00136695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A29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procesor wielordzeniowy, zaprojektowany do pracy w komputerach stacjonarnych i osiągający w teście wydajnościowym </w:t>
      </w:r>
      <w:proofErr w:type="spellStart"/>
      <w:r w:rsidRPr="000A2931">
        <w:rPr>
          <w:rFonts w:asciiTheme="minorHAnsi" w:hAnsiTheme="minorHAnsi" w:cstheme="minorHAnsi"/>
          <w:color w:val="000000" w:themeColor="text1"/>
          <w:sz w:val="24"/>
          <w:szCs w:val="24"/>
        </w:rPr>
        <w:t>PassMark</w:t>
      </w:r>
      <w:proofErr w:type="spellEnd"/>
      <w:r w:rsidRPr="000A29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 najmniej </w:t>
      </w:r>
      <w:r w:rsidR="0097221C" w:rsidRPr="000A2931">
        <w:rPr>
          <w:rFonts w:asciiTheme="minorHAnsi" w:hAnsiTheme="minorHAnsi" w:cstheme="minorHAnsi"/>
          <w:color w:val="000000" w:themeColor="text1"/>
          <w:sz w:val="24"/>
          <w:szCs w:val="24"/>
        </w:rPr>
        <w:t>19500</w:t>
      </w:r>
      <w:r w:rsidRPr="000A29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punktów wg. Kolumny CPU Mark, na stronie </w:t>
      </w:r>
      <w:hyperlink r:id="rId8" w:history="1">
        <w:r w:rsidRPr="000A2931">
          <w:rPr>
            <w:rStyle w:val="Hipercze"/>
            <w:rFonts w:asciiTheme="minorHAnsi" w:hAnsiTheme="minorHAnsi" w:cstheme="minorHAnsi"/>
            <w:sz w:val="24"/>
            <w:szCs w:val="24"/>
          </w:rPr>
          <w:t>https://www.cpubenchmark.net/cpu_list.php</w:t>
        </w:r>
      </w:hyperlink>
      <w:r w:rsidRPr="000A29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(zgodnie z aktualnymi danymi z 2023 roku).</w:t>
      </w:r>
      <w:r w:rsidR="00136695" w:rsidRPr="000A29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60E9E80" w14:textId="7D91CF43" w:rsidR="00136695" w:rsidRPr="000A2931" w:rsidRDefault="00136695" w:rsidP="00136695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A29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pamięć RAM co </w:t>
      </w:r>
      <w:r w:rsidR="00C67641" w:rsidRPr="000A2931">
        <w:rPr>
          <w:rFonts w:asciiTheme="minorHAnsi" w:hAnsiTheme="minorHAnsi" w:cstheme="minorHAnsi"/>
          <w:color w:val="000000" w:themeColor="text1"/>
          <w:sz w:val="24"/>
          <w:szCs w:val="24"/>
        </w:rPr>
        <w:t>min.</w:t>
      </w:r>
      <w:r w:rsidRPr="000A29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7221C" w:rsidRPr="000A2931">
        <w:rPr>
          <w:rFonts w:asciiTheme="minorHAnsi" w:hAnsiTheme="minorHAnsi" w:cstheme="minorHAnsi"/>
          <w:color w:val="000000" w:themeColor="text1"/>
          <w:sz w:val="24"/>
          <w:szCs w:val="24"/>
        </w:rPr>
        <w:t>16</w:t>
      </w:r>
      <w:r w:rsidRPr="000A29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GB, </w:t>
      </w:r>
    </w:p>
    <w:p w14:paraId="39E35CCE" w14:textId="77777777" w:rsidR="00136695" w:rsidRPr="000A2931" w:rsidRDefault="00136695" w:rsidP="00136695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A29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dysk twardy SSD o pojemności nie mniejszej niż 256GB, </w:t>
      </w:r>
    </w:p>
    <w:p w14:paraId="626C2F8A" w14:textId="77777777" w:rsidR="00136695" w:rsidRPr="000A2931" w:rsidRDefault="00136695" w:rsidP="00136695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A293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karta graficzna niezintegrowana (lub o wydajności równoważnej) o pamięci nie mniejszej niż 2GB, </w:t>
      </w:r>
    </w:p>
    <w:p w14:paraId="6B689FC4" w14:textId="3A881C64" w:rsidR="00136695" w:rsidRPr="000A2931" w:rsidRDefault="00136695" w:rsidP="00136695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A2931">
        <w:rPr>
          <w:rFonts w:asciiTheme="minorHAnsi" w:hAnsiTheme="minorHAnsi" w:cstheme="minorHAnsi"/>
          <w:color w:val="000000" w:themeColor="text1"/>
          <w:sz w:val="24"/>
          <w:szCs w:val="24"/>
        </w:rPr>
        <w:t>system operacyjny Windows 10 Pro lub nowszy, kompatybilny z oprogramowaniem</w:t>
      </w:r>
      <w:r w:rsidR="00514D47" w:rsidRPr="000A29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(lub równoważny)</w:t>
      </w:r>
      <w:r w:rsidRPr="000A293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27C60BDB" w14:textId="31D0B01D" w:rsidR="00136695" w:rsidRPr="000A2931" w:rsidRDefault="00136695" w:rsidP="00136695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A2931">
        <w:rPr>
          <w:rFonts w:asciiTheme="minorHAnsi" w:hAnsiTheme="minorHAnsi" w:cstheme="minorHAnsi"/>
          <w:color w:val="000000" w:themeColor="text1"/>
          <w:sz w:val="24"/>
          <w:szCs w:val="24"/>
        </w:rPr>
        <w:t>wyświetlacz o przekątnej minimum 23</w:t>
      </w:r>
      <w:r w:rsidR="00C67641" w:rsidRPr="000A2931">
        <w:rPr>
          <w:rFonts w:asciiTheme="minorHAnsi" w:hAnsiTheme="minorHAnsi" w:cstheme="minorHAnsi"/>
          <w:color w:val="000000" w:themeColor="text1"/>
          <w:sz w:val="24"/>
          <w:szCs w:val="24"/>
        </w:rPr>
        <w:t>,8</w:t>
      </w:r>
      <w:r w:rsidRPr="000A29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” o rozdzielczości nie mniejszej niż 1920 x 1080 </w:t>
      </w:r>
      <w:proofErr w:type="spellStart"/>
      <w:r w:rsidRPr="000A2931">
        <w:rPr>
          <w:rFonts w:asciiTheme="minorHAnsi" w:hAnsiTheme="minorHAnsi" w:cstheme="minorHAnsi"/>
          <w:color w:val="000000" w:themeColor="text1"/>
          <w:sz w:val="24"/>
          <w:szCs w:val="24"/>
        </w:rPr>
        <w:t>px</w:t>
      </w:r>
      <w:proofErr w:type="spellEnd"/>
      <w:r w:rsidRPr="000A293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281C21" w14:textId="77777777" w:rsidR="00136695" w:rsidRPr="000A2931" w:rsidRDefault="00136695" w:rsidP="00136695">
      <w:pPr>
        <w:pStyle w:val="Akapitzlist"/>
        <w:widowControl/>
        <w:numPr>
          <w:ilvl w:val="0"/>
          <w:numId w:val="30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</w:pPr>
      <w:r w:rsidRPr="000A2931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Możliwość podłączenia podglądu asystenckiego.</w:t>
      </w:r>
    </w:p>
    <w:p w14:paraId="51A8BBB1" w14:textId="0AB06BE1" w:rsidR="000A2931" w:rsidRDefault="00136695" w:rsidP="000A2931">
      <w:pPr>
        <w:pStyle w:val="Akapitzlist"/>
        <w:widowControl/>
        <w:numPr>
          <w:ilvl w:val="0"/>
          <w:numId w:val="30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3C22">
        <w:rPr>
          <w:rFonts w:asciiTheme="minorHAnsi" w:hAnsiTheme="minorHAnsi" w:cstheme="minorHAnsi"/>
          <w:color w:val="000000" w:themeColor="text1"/>
          <w:sz w:val="24"/>
          <w:szCs w:val="24"/>
        </w:rPr>
        <w:t>Wyposażony w pokrowiec antystatyczny</w:t>
      </w:r>
      <w:r w:rsidR="000A293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423E454" w14:textId="2D274B7D" w:rsidR="000A2931" w:rsidRPr="000A2931" w:rsidRDefault="000A2931" w:rsidP="000A2931">
      <w:pPr>
        <w:pStyle w:val="Akapitzlist"/>
        <w:widowControl/>
        <w:numPr>
          <w:ilvl w:val="0"/>
          <w:numId w:val="30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136695" w:rsidRPr="000A2931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</w:rPr>
        <w:t xml:space="preserve">rządzenie spełnia wymogi określone w normie </w:t>
      </w:r>
      <w:r w:rsidR="00136695" w:rsidRPr="000A2931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IEC 61010-1</w:t>
      </w:r>
      <w:r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.</w:t>
      </w:r>
    </w:p>
    <w:p w14:paraId="22CA21A6" w14:textId="5787CF74" w:rsidR="000A2931" w:rsidRPr="000A2931" w:rsidRDefault="000A2931" w:rsidP="000A2931">
      <w:pPr>
        <w:pStyle w:val="Akapitzlist"/>
        <w:widowControl/>
        <w:numPr>
          <w:ilvl w:val="0"/>
          <w:numId w:val="30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136695" w:rsidRPr="000A2931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</w:rPr>
        <w:t>rządzenie spełnia wymogi określone w normie</w:t>
      </w:r>
      <w:r w:rsidR="00136695" w:rsidRPr="000A2931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 xml:space="preserve"> IEC 61010-2</w:t>
      </w:r>
      <w:r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.</w:t>
      </w:r>
    </w:p>
    <w:p w14:paraId="3C71A57E" w14:textId="102E7534" w:rsidR="00136695" w:rsidRPr="000A2931" w:rsidRDefault="000A2931" w:rsidP="000A2931">
      <w:pPr>
        <w:pStyle w:val="Akapitzlist"/>
        <w:widowControl/>
        <w:numPr>
          <w:ilvl w:val="0"/>
          <w:numId w:val="30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U</w:t>
      </w:r>
      <w:r w:rsidR="00136695" w:rsidRPr="000A2931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rządzenie spełnia wymogi zawarte w dyrektywie 98/79/EC (IVD)</w:t>
      </w:r>
      <w:r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.</w:t>
      </w:r>
    </w:p>
    <w:p w14:paraId="50D515ED" w14:textId="42440817" w:rsidR="0095537D" w:rsidRPr="00383D8F" w:rsidRDefault="00983FAC" w:rsidP="002920BB">
      <w:pPr>
        <w:pStyle w:val="Nagwek2"/>
        <w:ind w:left="426" w:right="91" w:hanging="426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BD1518F" w14:textId="77777777" w:rsidR="0034457C" w:rsidRPr="0034457C" w:rsidRDefault="0034457C" w:rsidP="00A43598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34457C">
        <w:rPr>
          <w:b w:val="0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493985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493985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BC26BF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 xml:space="preserve">aktualizacja oprogramowania, również pochodzącego od podmiotów trzecich, będzie </w:t>
      </w:r>
      <w:r w:rsidRPr="00493985">
        <w:rPr>
          <w:rFonts w:asciiTheme="minorHAnsi" w:hAnsiTheme="minorHAnsi" w:cstheme="minorHAnsi"/>
          <w:sz w:val="24"/>
          <w:szCs w:val="24"/>
        </w:rPr>
        <w:lastRenderedPageBreak/>
        <w:t>dostarczana i instalowana na koszt Wykonawcy w okresie gwarancji na urządzenie niezwłocznie po jej wprowadzeniu do obrotu, bez konieczności zwracania się o aktualizację przez Użytkownika.</w:t>
      </w:r>
    </w:p>
    <w:p w14:paraId="26177531" w14:textId="77777777" w:rsidR="00653980" w:rsidRDefault="00653980" w:rsidP="006539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C53EBD">
        <w:rPr>
          <w:rFonts w:asciiTheme="minorHAnsi" w:hAnsiTheme="minorHAnsi" w:cstheme="minorHAnsi"/>
          <w:b/>
          <w:sz w:val="24"/>
          <w:szCs w:val="24"/>
        </w:rPr>
        <w:t>UWAGA:</w:t>
      </w:r>
      <w:r w:rsidRPr="00C53EBD">
        <w:rPr>
          <w:rFonts w:asciiTheme="minorHAnsi" w:hAnsiTheme="minorHAnsi" w:cstheme="minorHAnsi"/>
          <w:sz w:val="24"/>
          <w:szCs w:val="24"/>
        </w:rPr>
        <w:t xml:space="preserve"> Zamawiający nie wymaga potwierdzenia w materiałach informacyjnych wszystkich parametrów technicznych, eksploatacyjnych, jakościowych i funkcjonalnych danego sprzętu, które są wymagane w opisie przedmiotu zamówienia z zastrzeżeniem, że materiały informacyjne muszą zawierać potwierdzenie parametrów, jeżeli są one oceniane w kryterium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C53EBD">
        <w:rPr>
          <w:rFonts w:asciiTheme="minorHAnsi" w:hAnsiTheme="minorHAnsi" w:cstheme="minorHAnsi"/>
          <w:sz w:val="24"/>
          <w:szCs w:val="24"/>
        </w:rPr>
        <w:t xml:space="preserve">arametrów 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C53EBD">
        <w:rPr>
          <w:rFonts w:asciiTheme="minorHAnsi" w:hAnsiTheme="minorHAnsi" w:cstheme="minorHAnsi"/>
          <w:sz w:val="24"/>
          <w:szCs w:val="24"/>
        </w:rPr>
        <w:t>echnicznych (Załącznik nr 3 do SWZ – Ocena Techniczna).</w:t>
      </w:r>
    </w:p>
    <w:p w14:paraId="6CF7968A" w14:textId="77777777" w:rsidR="00653980" w:rsidRPr="00381324" w:rsidRDefault="00653980" w:rsidP="006539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1324">
        <w:rPr>
          <w:rFonts w:asciiTheme="minorHAnsi" w:hAnsiTheme="minorHAnsi" w:cstheme="minorHAnsi"/>
          <w:sz w:val="24"/>
          <w:szCs w:val="24"/>
        </w:rPr>
        <w:t>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00AE0E20" w14:textId="77777777" w:rsidR="00653980" w:rsidRDefault="00653980" w:rsidP="00371B28">
      <w:pPr>
        <w:pStyle w:val="Akapitzlist"/>
        <w:numPr>
          <w:ilvl w:val="1"/>
          <w:numId w:val="1"/>
        </w:numPr>
        <w:tabs>
          <w:tab w:val="right" w:leader="dot" w:pos="9639"/>
        </w:tabs>
        <w:spacing w:after="240"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653980">
        <w:rPr>
          <w:rFonts w:asciiTheme="minorHAnsi" w:hAnsiTheme="minorHAnsi" w:cstheme="minorHAnsi"/>
          <w:sz w:val="24"/>
          <w:szCs w:val="24"/>
        </w:rPr>
        <w:t xml:space="preserve">Wskazane jest oznaczenie załączonych dokumentów informacyjnych w celu właściwej identyfikacji przez Zamawiającego poszczególnych parametrów (numer z oznaczeniem jakiego parametru/wyposażenia dotyczy). </w:t>
      </w:r>
    </w:p>
    <w:p w14:paraId="543AC7B6" w14:textId="73E37311" w:rsidR="00653980" w:rsidRPr="00653980" w:rsidRDefault="00653980" w:rsidP="00371B28">
      <w:pPr>
        <w:pStyle w:val="Akapitzlist"/>
        <w:numPr>
          <w:ilvl w:val="1"/>
          <w:numId w:val="1"/>
        </w:numPr>
        <w:tabs>
          <w:tab w:val="right" w:leader="dot" w:pos="9639"/>
        </w:tabs>
        <w:spacing w:after="240"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653980">
        <w:rPr>
          <w:rFonts w:asciiTheme="minorHAnsi" w:hAnsiTheme="minorHAnsi" w:cstheme="minorHAnsi"/>
          <w:sz w:val="24"/>
          <w:szCs w:val="24"/>
        </w:rPr>
        <w:t>o dostawy (wraz z urządzeniem) dostarczona instrukcja stanowiskowa (dopuszcza się instrukcję obsługi) w języku polskim w wersji papierowej i/lub w wersji elektronicznej (np. CD).</w:t>
      </w:r>
    </w:p>
    <w:p w14:paraId="33ED3C04" w14:textId="6E0C71D9" w:rsidR="0095537D" w:rsidRPr="00653980" w:rsidRDefault="006524D6" w:rsidP="00653980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653980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653980">
        <w:rPr>
          <w:rFonts w:asciiTheme="minorHAnsi" w:hAnsiTheme="minorHAnsi" w:cstheme="minorHAnsi"/>
          <w:sz w:val="24"/>
          <w:szCs w:val="24"/>
        </w:rPr>
        <w:br/>
      </w:r>
      <w:r w:rsidRPr="00653980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AB1678">
          <w:headerReference w:type="default" r:id="rId9"/>
          <w:footerReference w:type="default" r:id="rId10"/>
          <w:pgSz w:w="11910" w:h="16840"/>
          <w:pgMar w:top="964" w:right="853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2C8F3BB9" w14:textId="77777777" w:rsidR="00582C80" w:rsidRPr="006035E9" w:rsidRDefault="00582C80" w:rsidP="00582C80">
      <w:pPr>
        <w:spacing w:line="360" w:lineRule="auto"/>
        <w:ind w:right="141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035E9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Załącznik nr 3 do SWZ</w:t>
      </w:r>
    </w:p>
    <w:p w14:paraId="0DF2F709" w14:textId="77777777" w:rsidR="00582C80" w:rsidRPr="00303344" w:rsidRDefault="00582C80" w:rsidP="00582C80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3CFBCB0B" w14:textId="05C07992" w:rsidR="00582C80" w:rsidRPr="00C10C2C" w:rsidRDefault="00582C80" w:rsidP="00582C80">
      <w:pPr>
        <w:keepNext/>
        <w:spacing w:line="360" w:lineRule="auto"/>
        <w:outlineLvl w:val="0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 xml:space="preserve">OCENA TECHNICZNA – CZĘŚĆ NR </w:t>
      </w:r>
      <w:r w:rsidR="009D4F93">
        <w:rPr>
          <w:rFonts w:asciiTheme="minorHAnsi" w:hAnsiTheme="minorHAnsi" w:cstheme="minorHAnsi"/>
          <w:b/>
          <w:color w:val="000000"/>
          <w:sz w:val="28"/>
        </w:rPr>
        <w:t>5</w:t>
      </w:r>
    </w:p>
    <w:p w14:paraId="22A9365F" w14:textId="77777777" w:rsidR="00582C80" w:rsidRDefault="00582C80" w:rsidP="00582C8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>
        <w:rPr>
          <w:rFonts w:asciiTheme="minorHAnsi" w:hAnsiTheme="minorHAnsi" w:cstheme="minorHAnsi"/>
          <w:color w:val="000000"/>
        </w:rPr>
        <w:t xml:space="preserve"> do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2AA22AC7" w14:textId="77777777" w:rsidR="00582C80" w:rsidRDefault="00582C80" w:rsidP="00582C8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 Uniwersytetu Medycznego w Białymstoku</w:t>
      </w:r>
    </w:p>
    <w:p w14:paraId="6329471A" w14:textId="77777777" w:rsidR="00136695" w:rsidRDefault="00136695" w:rsidP="003A28CA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>Mikroskop laboratoryjny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>– 1 szt.</w:t>
      </w:r>
    </w:p>
    <w:p w14:paraId="6D89A4B6" w14:textId="77777777" w:rsidR="00582C80" w:rsidRPr="00303344" w:rsidRDefault="00582C80" w:rsidP="00582C80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480C0B1" w14:textId="77777777" w:rsidR="00582C80" w:rsidRPr="00360BAC" w:rsidRDefault="00582C80" w:rsidP="00582C80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 w:val="24"/>
          <w:szCs w:val="24"/>
          <w:u w:val="single"/>
          <w:lang w:eastAsia="hi-IN"/>
        </w:rPr>
      </w:pPr>
      <w:r w:rsidRPr="00360BAC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UWAGA!</w:t>
      </w:r>
      <w:r w:rsidRPr="00360BAC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Wykonawca jest zobowiązany wpisać</w:t>
      </w:r>
      <w:r w:rsidRPr="00360BAC">
        <w:rPr>
          <w:rFonts w:asciiTheme="minorHAnsi" w:hAnsiTheme="minorHAnsi" w:cstheme="minorHAnsi"/>
          <w:color w:val="000000"/>
          <w:kern w:val="2"/>
          <w:sz w:val="24"/>
          <w:szCs w:val="24"/>
          <w:u w:val="single"/>
          <w:lang w:eastAsia="hi-IN"/>
        </w:rPr>
        <w:t xml:space="preserve"> w pozycji „Parametry i funkcje oferowane” – zgodnie ze stanem faktycznym – oferowaną wartość ocenianego parametru i/lub oferowaną funkcję</w:t>
      </w:r>
    </w:p>
    <w:p w14:paraId="7B4DEA84" w14:textId="77777777" w:rsidR="00582C80" w:rsidRPr="00360BAC" w:rsidRDefault="00582C80" w:rsidP="00582C80">
      <w:pPr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60BAC">
        <w:rPr>
          <w:rFonts w:asciiTheme="minorHAnsi" w:hAnsiTheme="minorHAnsi" w:cstheme="minorHAnsi"/>
          <w:b/>
          <w:bCs/>
          <w:color w:val="000000"/>
          <w:sz w:val="24"/>
          <w:szCs w:val="24"/>
        </w:rPr>
        <w:t>Parametry i funkcje oceniane:</w:t>
      </w:r>
    </w:p>
    <w:p w14:paraId="13DAEE5D" w14:textId="77777777" w:rsidR="00360BAC" w:rsidRPr="00360BAC" w:rsidRDefault="00360BAC" w:rsidP="00360BAC">
      <w:pPr>
        <w:pStyle w:val="Akapitzlist"/>
        <w:widowControl/>
        <w:numPr>
          <w:ilvl w:val="0"/>
          <w:numId w:val="43"/>
        </w:numPr>
        <w:tabs>
          <w:tab w:val="left" w:pos="9214"/>
        </w:tabs>
        <w:autoSpaceDE/>
        <w:autoSpaceDN/>
        <w:spacing w:after="200" w:line="360" w:lineRule="auto"/>
        <w:ind w:left="567"/>
        <w:contextualSpacing/>
        <w:jc w:val="both"/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</w:pPr>
      <w:r w:rsidRPr="00360BAC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Możliwość doposażenia w obiektywy o parametrach nie gorszych niż:</w:t>
      </w:r>
    </w:p>
    <w:p w14:paraId="50F710DE" w14:textId="77777777" w:rsidR="00360BAC" w:rsidRPr="00360BAC" w:rsidRDefault="00360BAC" w:rsidP="00360BAC">
      <w:pPr>
        <w:pStyle w:val="Akapitzlist"/>
        <w:numPr>
          <w:ilvl w:val="0"/>
          <w:numId w:val="44"/>
        </w:numPr>
        <w:tabs>
          <w:tab w:val="left" w:pos="9214"/>
        </w:tabs>
        <w:spacing w:line="360" w:lineRule="auto"/>
        <w:jc w:val="both"/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</w:pPr>
      <w:r w:rsidRPr="00360BAC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plan apochromatyczny o powiększeniu 63x, Apertura numeryczna regulowana w zakresie nie mniejszym niż: 0,60-1,40; Odległość robocza nie mniejsza niż 0,14 mm; Korekcja grubości naczyń nie mniejsza niż 0,17mm; olejowy.</w:t>
      </w:r>
    </w:p>
    <w:p w14:paraId="3A661EAB" w14:textId="77777777" w:rsidR="00360BAC" w:rsidRPr="00360BAC" w:rsidRDefault="00360BAC" w:rsidP="00360BAC">
      <w:pPr>
        <w:pStyle w:val="Akapitzlist"/>
        <w:numPr>
          <w:ilvl w:val="0"/>
          <w:numId w:val="44"/>
        </w:numPr>
        <w:tabs>
          <w:tab w:val="left" w:pos="9214"/>
        </w:tabs>
        <w:spacing w:line="360" w:lineRule="auto"/>
        <w:jc w:val="both"/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</w:pPr>
      <w:r w:rsidRPr="00360BAC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plan apochromatyczny o powiększeniu 100x, Apertura numeryczna regulowana w zakresie nie mniejszym niż: 0,70-1,40; Odległość robocza nie mniejsza niż 0,09 mm; Korekcja grubości naczyń nie mniejsza niż 0,17mm; olejowy.</w:t>
      </w:r>
    </w:p>
    <w:p w14:paraId="7B92FB32" w14:textId="7AB35564" w:rsidR="00360BAC" w:rsidRDefault="00360BAC" w:rsidP="00360BAC">
      <w:pPr>
        <w:pStyle w:val="Akapitzlist"/>
        <w:numPr>
          <w:ilvl w:val="0"/>
          <w:numId w:val="44"/>
        </w:numPr>
        <w:tabs>
          <w:tab w:val="left" w:pos="9214"/>
        </w:tabs>
        <w:spacing w:line="360" w:lineRule="auto"/>
        <w:jc w:val="both"/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</w:pPr>
      <w:r w:rsidRPr="00360BAC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 xml:space="preserve">plan </w:t>
      </w:r>
      <w:proofErr w:type="spellStart"/>
      <w:r w:rsidRPr="00360BAC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>semiapochromatyczny</w:t>
      </w:r>
      <w:proofErr w:type="spellEnd"/>
      <w:r w:rsidRPr="00360BAC">
        <w:rPr>
          <w:rFonts w:asciiTheme="minorHAnsi" w:eastAsia="UniversLTStd-LightCn" w:hAnsiTheme="minorHAnsi" w:cstheme="minorHAnsi"/>
          <w:color w:val="000000" w:themeColor="text1"/>
          <w:sz w:val="24"/>
          <w:szCs w:val="24"/>
        </w:rPr>
        <w:t xml:space="preserve"> o powiększeniu 150x, Apertura numeryczna nie mniejsza niż: 0,90; Odległość robocza nie mniejsza niż 0,25 mm; suchy.</w:t>
      </w:r>
    </w:p>
    <w:p w14:paraId="709BDF18" w14:textId="3F79F5F9" w:rsidR="00360BAC" w:rsidRPr="00360BAC" w:rsidRDefault="00360BAC" w:rsidP="0089215C">
      <w:pPr>
        <w:pStyle w:val="Bezodstpw"/>
        <w:spacing w:line="360" w:lineRule="auto"/>
        <w:ind w:firstLine="720"/>
        <w:jc w:val="both"/>
        <w:rPr>
          <w:rFonts w:cstheme="minorHAnsi"/>
          <w:bCs/>
          <w:color w:val="000000"/>
          <w:sz w:val="24"/>
          <w:szCs w:val="24"/>
        </w:rPr>
      </w:pPr>
      <w:r w:rsidRPr="00360BAC">
        <w:rPr>
          <w:rFonts w:cstheme="minorHAnsi"/>
          <w:b/>
          <w:bCs/>
          <w:color w:val="000000"/>
          <w:sz w:val="24"/>
          <w:szCs w:val="24"/>
        </w:rPr>
        <w:t xml:space="preserve">Skala oceny w punktach  - </w:t>
      </w:r>
      <w:r w:rsidRPr="00360BAC">
        <w:rPr>
          <w:rFonts w:cstheme="minorHAnsi"/>
          <w:bCs/>
          <w:color w:val="000000"/>
          <w:sz w:val="24"/>
          <w:szCs w:val="24"/>
        </w:rPr>
        <w:t xml:space="preserve">0 / </w:t>
      </w:r>
      <w:r>
        <w:rPr>
          <w:rFonts w:cstheme="minorHAnsi"/>
          <w:bCs/>
          <w:color w:val="000000"/>
          <w:sz w:val="24"/>
          <w:szCs w:val="24"/>
        </w:rPr>
        <w:t>10</w:t>
      </w:r>
    </w:p>
    <w:p w14:paraId="19255882" w14:textId="405269E6" w:rsidR="00360BAC" w:rsidRPr="00360BAC" w:rsidRDefault="00360BAC" w:rsidP="00360BAC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360BAC">
        <w:rPr>
          <w:rFonts w:asciiTheme="minorHAnsi" w:hAnsiTheme="minorHAnsi" w:cstheme="minorHAnsi"/>
          <w:sz w:val="24"/>
          <w:szCs w:val="24"/>
        </w:rPr>
        <w:t>Możliwość rozbudowy o stolik 3-płytowy lub skaningowy wraz z komorą CO2 do badań przyżyciowych.</w:t>
      </w:r>
    </w:p>
    <w:p w14:paraId="68AD17A1" w14:textId="171C37B8" w:rsidR="00582C80" w:rsidRPr="00360BAC" w:rsidRDefault="00582C80" w:rsidP="0089215C">
      <w:pPr>
        <w:pStyle w:val="Bezodstpw"/>
        <w:spacing w:line="360" w:lineRule="auto"/>
        <w:ind w:firstLine="720"/>
        <w:jc w:val="both"/>
        <w:rPr>
          <w:rFonts w:cstheme="minorHAnsi"/>
          <w:bCs/>
          <w:color w:val="000000"/>
          <w:sz w:val="24"/>
          <w:szCs w:val="24"/>
        </w:rPr>
      </w:pPr>
      <w:r w:rsidRPr="00360BAC">
        <w:rPr>
          <w:rFonts w:cstheme="minorHAnsi"/>
          <w:b/>
          <w:bCs/>
          <w:color w:val="000000"/>
          <w:sz w:val="24"/>
          <w:szCs w:val="24"/>
        </w:rPr>
        <w:t xml:space="preserve">Skala oceny w punktach  - </w:t>
      </w:r>
      <w:r w:rsidRPr="00360BAC">
        <w:rPr>
          <w:rFonts w:cstheme="minorHAnsi"/>
          <w:bCs/>
          <w:color w:val="000000"/>
          <w:sz w:val="24"/>
          <w:szCs w:val="24"/>
        </w:rPr>
        <w:t xml:space="preserve">0 / </w:t>
      </w:r>
      <w:r w:rsidR="00360BAC">
        <w:rPr>
          <w:rFonts w:cstheme="minorHAnsi"/>
          <w:bCs/>
          <w:color w:val="000000"/>
          <w:sz w:val="24"/>
          <w:szCs w:val="24"/>
        </w:rPr>
        <w:t>10</w:t>
      </w:r>
    </w:p>
    <w:p w14:paraId="30925181" w14:textId="77777777" w:rsidR="00360BAC" w:rsidRDefault="00360BAC" w:rsidP="00582C80">
      <w:pPr>
        <w:spacing w:line="360" w:lineRule="auto"/>
        <w:ind w:firstLine="360"/>
        <w:rPr>
          <w:rFonts w:asciiTheme="minorHAnsi" w:hAnsiTheme="minorHAnsi" w:cstheme="minorHAnsi"/>
          <w:b/>
          <w:color w:val="000000"/>
          <w:kern w:val="2"/>
          <w:sz w:val="24"/>
          <w:szCs w:val="24"/>
          <w:lang w:eastAsia="hi-IN"/>
        </w:rPr>
      </w:pPr>
    </w:p>
    <w:p w14:paraId="0F04FAC9" w14:textId="77777777" w:rsidR="00582C80" w:rsidRPr="00360BAC" w:rsidRDefault="00582C80" w:rsidP="00582C80">
      <w:pPr>
        <w:spacing w:line="360" w:lineRule="auto"/>
        <w:ind w:firstLine="360"/>
        <w:rPr>
          <w:rFonts w:asciiTheme="minorHAnsi" w:hAnsiTheme="minorHAnsi" w:cstheme="minorHAnsi"/>
          <w:b/>
          <w:color w:val="000000"/>
          <w:kern w:val="2"/>
          <w:sz w:val="24"/>
          <w:szCs w:val="24"/>
          <w:lang w:eastAsia="hi-IN"/>
        </w:rPr>
      </w:pPr>
      <w:r w:rsidRPr="00360BAC">
        <w:rPr>
          <w:rFonts w:asciiTheme="minorHAnsi" w:hAnsiTheme="minorHAnsi" w:cstheme="minorHAnsi"/>
          <w:b/>
          <w:color w:val="000000"/>
          <w:kern w:val="2"/>
          <w:sz w:val="24"/>
          <w:szCs w:val="24"/>
          <w:lang w:eastAsia="hi-IN"/>
        </w:rPr>
        <w:t>Parametry i funkcje oferowane:</w:t>
      </w:r>
    </w:p>
    <w:p w14:paraId="784D9C86" w14:textId="1DB044C6" w:rsidR="00360BAC" w:rsidRDefault="00360BAC" w:rsidP="00A43598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1599C8" w14:textId="01EDB627" w:rsidR="00582C80" w:rsidRPr="00360BAC" w:rsidRDefault="00582C80" w:rsidP="00A43598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60BAC">
        <w:rPr>
          <w:rFonts w:asciiTheme="minorHAnsi" w:hAnsiTheme="minorHAnsi" w:cstheme="minorHAnsi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360BAC">
        <w:rPr>
          <w:rFonts w:asciiTheme="minorHAnsi" w:hAnsiTheme="minorHAnsi" w:cstheme="minorHAnsi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89215C">
        <w:rPr>
          <w:rFonts w:asciiTheme="minorHAnsi" w:hAnsiTheme="minorHAnsi" w:cstheme="minorHAnsi"/>
          <w:bCs/>
          <w:color w:val="000000"/>
          <w:sz w:val="24"/>
          <w:szCs w:val="24"/>
        </w:rPr>
        <w:t>……………..</w:t>
      </w:r>
    </w:p>
    <w:p w14:paraId="3AFEFDBC" w14:textId="4A3D9915" w:rsidR="00360BAC" w:rsidRPr="0089215C" w:rsidRDefault="00360BAC" w:rsidP="0089215C">
      <w:pPr>
        <w:tabs>
          <w:tab w:val="right" w:leader="dot" w:pos="9639"/>
        </w:tabs>
        <w:spacing w:line="480" w:lineRule="auto"/>
        <w:ind w:right="91"/>
        <w:rPr>
          <w:rFonts w:asciiTheme="minorHAnsi" w:hAnsiTheme="minorHAnsi" w:cstheme="minorHAnsi"/>
          <w:b/>
          <w:sz w:val="24"/>
          <w:szCs w:val="24"/>
        </w:rPr>
        <w:sectPr w:rsidR="00360BAC" w:rsidRPr="0089215C" w:rsidSect="00AB1678">
          <w:headerReference w:type="default" r:id="rId11"/>
          <w:footerReference w:type="default" r:id="rId12"/>
          <w:pgSz w:w="11910" w:h="16840"/>
          <w:pgMar w:top="964" w:right="853" w:bottom="278" w:left="851" w:header="709" w:footer="709" w:gutter="0"/>
          <w:cols w:space="708"/>
        </w:sectPr>
      </w:pPr>
      <w:r w:rsidRPr="0089215C">
        <w:rPr>
          <w:rFonts w:asciiTheme="minorHAnsi" w:hAnsiTheme="minorHAnsi" w:cstheme="minorHAnsi"/>
          <w:b/>
          <w:sz w:val="24"/>
          <w:szCs w:val="24"/>
        </w:rPr>
        <w:t>Kwalifikowany podpis elektroniczny Wykonawcy: ……………………………</w:t>
      </w:r>
      <w:r w:rsidR="0089215C" w:rsidRPr="0089215C">
        <w:rPr>
          <w:rFonts w:asciiTheme="minorHAnsi" w:hAnsiTheme="minorHAnsi" w:cstheme="minorHAnsi"/>
          <w:b/>
          <w:sz w:val="24"/>
          <w:szCs w:val="24"/>
        </w:rPr>
        <w:t>……………………………………</w:t>
      </w:r>
      <w:r w:rsidR="0089215C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7128DD15" w14:textId="07CB7161" w:rsidR="00582C80" w:rsidRPr="00360BAC" w:rsidRDefault="00582C80" w:rsidP="00582C80">
      <w:pPr>
        <w:rPr>
          <w:rFonts w:asciiTheme="minorHAnsi" w:hAnsiTheme="minorHAnsi" w:cstheme="minorHAnsi"/>
          <w:b/>
          <w:sz w:val="24"/>
          <w:szCs w:val="24"/>
        </w:rPr>
      </w:pPr>
    </w:p>
    <w:p w14:paraId="183BE45C" w14:textId="77777777" w:rsidR="0095537D" w:rsidRPr="00383D8F" w:rsidRDefault="006524D6" w:rsidP="003A28CA">
      <w:pPr>
        <w:spacing w:line="360" w:lineRule="auto"/>
        <w:ind w:right="9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>Załącznik nr 4 do SWZ</w:t>
      </w:r>
    </w:p>
    <w:p w14:paraId="4CB44C67" w14:textId="7F1367FD" w:rsidR="0095537D" w:rsidRPr="00383D8F" w:rsidRDefault="008A08AC" w:rsidP="002920BB">
      <w:pPr>
        <w:pStyle w:val="Nagwek1"/>
        <w:ind w:right="91"/>
        <w:jc w:val="both"/>
      </w:pPr>
      <w:r>
        <w:t>OCENA</w:t>
      </w:r>
      <w:r w:rsidR="00A46452" w:rsidRPr="00383D8F">
        <w:t xml:space="preserve"> WARUNKÓW GWARANCJI – </w:t>
      </w:r>
      <w:r w:rsidR="00E80CC1">
        <w:t xml:space="preserve">CZĘŚĆ NR </w:t>
      </w:r>
      <w:r w:rsidR="009D4F93">
        <w:t>5</w:t>
      </w:r>
    </w:p>
    <w:p w14:paraId="4AB5D981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4B819911" w14:textId="77777777" w:rsidR="006B526C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 Uniwersytetu Medycznego w Białymstoku</w:t>
      </w:r>
    </w:p>
    <w:p w14:paraId="3E5A3627" w14:textId="77777777" w:rsidR="00136695" w:rsidRDefault="00136695" w:rsidP="003A28CA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>Mikroskop laboratoryjny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>– 1 szt.</w:t>
      </w:r>
    </w:p>
    <w:p w14:paraId="650BF1DD" w14:textId="77777777" w:rsidR="00724DDB" w:rsidRDefault="00724DDB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77777777" w:rsidR="00204CA6" w:rsidRPr="00383D8F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83D8F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83D8F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13358DEE" w:rsidR="00204CA6" w:rsidRPr="00383D8F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630D33">
        <w:rPr>
          <w:rFonts w:asciiTheme="minorHAnsi" w:hAnsiTheme="minorHAnsi" w:cstheme="minorHAnsi"/>
          <w:b/>
          <w:sz w:val="24"/>
          <w:szCs w:val="24"/>
        </w:rPr>
        <w:t>36 miesięcy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79CF5134" w:rsidR="00204CA6" w:rsidRPr="00383D8F" w:rsidRDefault="001B4EF8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630D33">
        <w:rPr>
          <w:rFonts w:asciiTheme="minorHAnsi" w:hAnsiTheme="minorHAnsi" w:cstheme="minorHAnsi"/>
          <w:b/>
          <w:sz w:val="24"/>
          <w:szCs w:val="24"/>
        </w:rPr>
        <w:t>36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B44CFB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7E90C0C1" w14:textId="77777777" w:rsidR="00493985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4939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493985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4939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493985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26EC9E25" w:rsidR="00204CA6" w:rsidRPr="00383D8F" w:rsidRDefault="00204CA6" w:rsidP="00A43598">
      <w:pPr>
        <w:pStyle w:val="TableParagraph"/>
        <w:numPr>
          <w:ilvl w:val="0"/>
          <w:numId w:val="13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630D33">
        <w:rPr>
          <w:rFonts w:asciiTheme="minorHAnsi" w:hAnsiTheme="minorHAnsi" w:cstheme="minorHAnsi"/>
          <w:sz w:val="24"/>
          <w:szCs w:val="24"/>
        </w:rPr>
        <w:t>36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4E0561FC" w:rsidR="00204CA6" w:rsidRPr="00383D8F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630D33">
        <w:rPr>
          <w:rFonts w:asciiTheme="minorHAnsi" w:hAnsiTheme="minorHAnsi" w:cstheme="minorHAnsi"/>
          <w:sz w:val="24"/>
          <w:szCs w:val="24"/>
        </w:rPr>
        <w:t>36 miesiące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3A28CA">
      <w:pPr>
        <w:spacing w:line="360" w:lineRule="auto"/>
        <w:ind w:right="9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7EA9DEA9" w:rsidR="0095537D" w:rsidRPr="00383D8F" w:rsidRDefault="006524D6" w:rsidP="002920BB">
      <w:pPr>
        <w:pStyle w:val="Nagwek1"/>
        <w:ind w:right="91"/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7278B2">
        <w:t xml:space="preserve">CZĘŚĆ NR </w:t>
      </w:r>
      <w:r w:rsidR="009D4F93">
        <w:t>5</w:t>
      </w:r>
    </w:p>
    <w:p w14:paraId="349DE38B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6C42803E" w14:textId="77777777" w:rsidR="006B526C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 Uniwersytetu Medycznego w Białymstoku</w:t>
      </w:r>
    </w:p>
    <w:p w14:paraId="25DC4645" w14:textId="77777777" w:rsidR="00136695" w:rsidRDefault="00136695" w:rsidP="003A28CA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>Mikroskop laboratoryjny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>– 1 szt.</w:t>
      </w:r>
    </w:p>
    <w:p w14:paraId="371FCD17" w14:textId="77777777" w:rsidR="006524D6" w:rsidRPr="00383D8F" w:rsidRDefault="006524D6" w:rsidP="00A43598">
      <w:pPr>
        <w:pStyle w:val="Nagwek2"/>
        <w:numPr>
          <w:ilvl w:val="0"/>
          <w:numId w:val="3"/>
        </w:numPr>
        <w:ind w:left="426" w:right="91" w:hanging="426"/>
        <w:jc w:val="both"/>
      </w:pPr>
      <w:r w:rsidRPr="00383D8F">
        <w:t>WARUNKI GWARANCJI, RĘKOJMI I SERWISU GWARANCYJNEGO</w:t>
      </w:r>
    </w:p>
    <w:p w14:paraId="5A0BB8D4" w14:textId="113C8CF4" w:rsidR="0095537D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38718669" w:rsidR="006524D6" w:rsidRPr="00FE3B3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FE3B3F">
        <w:rPr>
          <w:rFonts w:asciiTheme="minorHAnsi" w:hAnsiTheme="minorHAnsi" w:cstheme="minorHAnsi"/>
          <w:sz w:val="24"/>
          <w:szCs w:val="24"/>
        </w:rPr>
        <w:t>W</w:t>
      </w:r>
      <w:r w:rsidR="006524D6" w:rsidRPr="00FE3B3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</w:t>
      </w:r>
      <w:r w:rsidR="001D1EC1">
        <w:rPr>
          <w:rFonts w:asciiTheme="minorHAnsi" w:hAnsiTheme="minorHAnsi" w:cstheme="minorHAnsi"/>
          <w:sz w:val="24"/>
          <w:szCs w:val="24"/>
        </w:rPr>
        <w:t xml:space="preserve"> rocznie</w:t>
      </w:r>
      <w:r w:rsidR="00B44CFB">
        <w:rPr>
          <w:rFonts w:asciiTheme="minorHAnsi" w:hAnsiTheme="minorHAnsi" w:cstheme="minorHAnsi"/>
          <w:sz w:val="24"/>
          <w:szCs w:val="24"/>
        </w:rPr>
        <w:t xml:space="preserve"> </w:t>
      </w:r>
      <w:r w:rsidR="00B44CFB" w:rsidRPr="00B91541">
        <w:rPr>
          <w:rFonts w:asciiTheme="minorHAnsi" w:hAnsiTheme="minorHAnsi" w:cstheme="minorHAnsi"/>
          <w:sz w:val="24"/>
          <w:szCs w:val="24"/>
        </w:rPr>
        <w:t>(jeżeli producent zaleca częstsze przeglądy konserwacyjne / serwisowe, to wtedy zgodnie z punktem 4)</w:t>
      </w:r>
      <w:r w:rsidR="006524D6" w:rsidRPr="00FE3B3F">
        <w:rPr>
          <w:rFonts w:asciiTheme="minorHAnsi" w:hAnsiTheme="minorHAnsi" w:cstheme="minorHAnsi"/>
          <w:sz w:val="24"/>
          <w:szCs w:val="24"/>
        </w:rPr>
        <w:t>.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34F0919" w:rsidR="006524D6" w:rsidRPr="00383D8F" w:rsidRDefault="00416EFF" w:rsidP="00A43598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D15AA25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A43598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3A28CA">
      <w:pPr>
        <w:spacing w:line="360" w:lineRule="auto"/>
        <w:ind w:right="9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242BF0FD" w:rsidR="0095537D" w:rsidRPr="00383D8F" w:rsidRDefault="006524D6" w:rsidP="002920BB">
      <w:pPr>
        <w:pStyle w:val="Nagwek1"/>
        <w:ind w:right="91"/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7278B2">
        <w:t xml:space="preserve">CZĘŚĆ NR </w:t>
      </w:r>
      <w:r w:rsidR="009D4F93">
        <w:t>5</w:t>
      </w:r>
    </w:p>
    <w:p w14:paraId="2D178EE2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586D24E7" w14:textId="77777777" w:rsidR="006B526C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 Uniwersytetu Medycznego w Białymstoku</w:t>
      </w:r>
    </w:p>
    <w:p w14:paraId="0E807F37" w14:textId="77777777" w:rsidR="00136695" w:rsidRDefault="00136695" w:rsidP="003A28CA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>Mikroskop laboratoryjny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>– 1 szt.</w:t>
      </w:r>
    </w:p>
    <w:p w14:paraId="2443233E" w14:textId="77777777" w:rsidR="008C0B5E" w:rsidRPr="00383D8F" w:rsidRDefault="008C0B5E" w:rsidP="00A43598">
      <w:pPr>
        <w:pStyle w:val="Nagwek2"/>
        <w:numPr>
          <w:ilvl w:val="0"/>
          <w:numId w:val="5"/>
        </w:numPr>
        <w:ind w:left="426" w:right="91" w:hanging="426"/>
        <w:jc w:val="both"/>
      </w:pPr>
      <w:r w:rsidRPr="00383D8F">
        <w:t>PROCEDURA DOSTAW URZĄDZEŃ</w:t>
      </w:r>
    </w:p>
    <w:p w14:paraId="36011A4D" w14:textId="77777777" w:rsidR="005F76C5" w:rsidRPr="0089215C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15C">
        <w:rPr>
          <w:rFonts w:asciiTheme="minorHAnsi" w:hAnsiTheme="minorHAnsi" w:cstheme="minorHAnsi"/>
          <w:color w:val="000000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635ADD01" w14:textId="77777777" w:rsidR="005F76C5" w:rsidRPr="0089215C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15C">
        <w:rPr>
          <w:rFonts w:asciiTheme="minorHAnsi" w:hAnsiTheme="minorHAnsi" w:cstheme="minorHAnsi"/>
          <w:color w:val="000000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2FDD51D2" w14:textId="77777777" w:rsidR="005F76C5" w:rsidRPr="0089215C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15C">
        <w:rPr>
          <w:rFonts w:asciiTheme="minorHAnsi" w:hAnsiTheme="minorHAnsi" w:cstheme="minorHAnsi"/>
          <w:color w:val="000000"/>
          <w:sz w:val="24"/>
          <w:szCs w:val="24"/>
        </w:rPr>
        <w:t>Urządzenia zostaną dostarczone w odpowiednich oryginalnych opakowaniach, zapewniających zabezpieczenie przedmiotu dostawy przed wpływem jakichkolwiek szkodliwych czynników.</w:t>
      </w:r>
    </w:p>
    <w:p w14:paraId="5898B2B0" w14:textId="77777777" w:rsidR="005F76C5" w:rsidRPr="0089215C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15C">
        <w:rPr>
          <w:rFonts w:asciiTheme="minorHAnsi" w:hAnsiTheme="minorHAnsi" w:cstheme="minorHAnsi"/>
          <w:color w:val="000000"/>
          <w:sz w:val="24"/>
          <w:szCs w:val="24"/>
        </w:rPr>
        <w:t>Urządzenia zostaną dostarczone do pomieszczeń wskazanych przez  Bezpośredniego Użytkownika lub osobę upoważnioną.</w:t>
      </w:r>
    </w:p>
    <w:p w14:paraId="750BFC20" w14:textId="77777777" w:rsidR="005F76C5" w:rsidRPr="0089215C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15C">
        <w:rPr>
          <w:rFonts w:asciiTheme="minorHAnsi" w:hAnsiTheme="minorHAnsi" w:cstheme="minorHAnsi"/>
          <w:color w:val="000000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67D450EF" w14:textId="77777777" w:rsidR="005F76C5" w:rsidRPr="0089215C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15C">
        <w:rPr>
          <w:rFonts w:asciiTheme="minorHAnsi" w:hAnsiTheme="minorHAnsi" w:cstheme="minorHAnsi"/>
          <w:color w:val="000000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</w:t>
      </w:r>
      <w:r w:rsidRPr="0089215C">
        <w:rPr>
          <w:rFonts w:asciiTheme="minorHAnsi" w:hAnsiTheme="minorHAnsi" w:cstheme="minorHAnsi"/>
          <w:strike/>
          <w:color w:val="000000"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Pr="0089215C">
        <w:rPr>
          <w:rFonts w:asciiTheme="minorHAnsi" w:hAnsiTheme="minorHAnsi" w:cstheme="minorHAnsi"/>
          <w:color w:val="000000"/>
          <w:sz w:val="24"/>
          <w:szCs w:val="24"/>
        </w:rPr>
        <w:t xml:space="preserve">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5731BDA9" w14:textId="77777777" w:rsidR="005F76C5" w:rsidRPr="0089215C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15C">
        <w:rPr>
          <w:rFonts w:asciiTheme="minorHAnsi" w:hAnsiTheme="minorHAnsi" w:cstheme="minorHAnsi"/>
          <w:color w:val="000000"/>
          <w:sz w:val="24"/>
          <w:szCs w:val="24"/>
        </w:rPr>
        <w:t xml:space="preserve">W razie konieczności zmodyfikowania istniejących instalacji, które są niezbędne do </w:t>
      </w:r>
      <w:r w:rsidRPr="0089215C">
        <w:rPr>
          <w:rFonts w:asciiTheme="minorHAnsi" w:hAnsiTheme="minorHAnsi" w:cstheme="minorHAnsi"/>
          <w:color w:val="000000"/>
          <w:sz w:val="24"/>
          <w:szCs w:val="24"/>
        </w:rPr>
        <w:lastRenderedPageBreak/>
        <w:t>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2A45D842" w14:textId="77777777" w:rsidR="005F76C5" w:rsidRPr="0089215C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15C">
        <w:rPr>
          <w:rFonts w:asciiTheme="minorHAnsi" w:hAnsiTheme="minorHAnsi" w:cstheme="minorHAnsi"/>
          <w:color w:val="000000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548629FA" w14:textId="77777777" w:rsidR="005F76C5" w:rsidRPr="0089215C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15C">
        <w:rPr>
          <w:rFonts w:asciiTheme="minorHAnsi" w:hAnsiTheme="minorHAnsi" w:cstheme="minorHAnsi"/>
          <w:color w:val="000000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249C355D" w:rsidR="00B66438" w:rsidRPr="0089215C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15C">
        <w:rPr>
          <w:rFonts w:asciiTheme="minorHAnsi" w:hAnsiTheme="minorHAnsi" w:cstheme="minorHAnsi"/>
          <w:color w:val="000000"/>
          <w:sz w:val="24"/>
          <w:szCs w:val="24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E5E9CD" w14:textId="77777777" w:rsidR="00B66438" w:rsidRPr="000035E4" w:rsidRDefault="00B66438" w:rsidP="002920BB">
      <w:pPr>
        <w:spacing w:line="360" w:lineRule="auto"/>
        <w:ind w:left="720" w:right="91" w:hanging="284"/>
        <w:jc w:val="both"/>
        <w:rPr>
          <w:rFonts w:asciiTheme="minorHAnsi" w:hAnsiTheme="minorHAnsi" w:cstheme="minorHAnsi"/>
          <w:color w:val="000000"/>
        </w:rPr>
      </w:pPr>
    </w:p>
    <w:p w14:paraId="07474DDE" w14:textId="009BCE7A" w:rsidR="00B66438" w:rsidRPr="00282DF3" w:rsidRDefault="00B66438" w:rsidP="00A43598">
      <w:pPr>
        <w:pStyle w:val="Nagwek2"/>
        <w:widowControl/>
        <w:numPr>
          <w:ilvl w:val="0"/>
          <w:numId w:val="5"/>
        </w:numPr>
        <w:autoSpaceDE/>
        <w:autoSpaceDN/>
        <w:ind w:left="426" w:right="91" w:hanging="426"/>
        <w:contextualSpacing/>
        <w:jc w:val="both"/>
        <w:rPr>
          <w:color w:val="000000"/>
        </w:rPr>
      </w:pPr>
      <w:r w:rsidRPr="00282DF3">
        <w:rPr>
          <w:color w:val="000000"/>
        </w:rPr>
        <w:t>PROCEDURA ODBIORU URZĄDZENIA</w:t>
      </w:r>
    </w:p>
    <w:p w14:paraId="558302CE" w14:textId="77777777" w:rsidR="00B66438" w:rsidRPr="000035E4" w:rsidRDefault="00B66438" w:rsidP="002920BB">
      <w:pPr>
        <w:spacing w:line="360" w:lineRule="auto"/>
        <w:ind w:right="91" w:hanging="284"/>
        <w:jc w:val="both"/>
        <w:rPr>
          <w:rFonts w:asciiTheme="minorHAnsi" w:hAnsiTheme="minorHAnsi" w:cstheme="minorHAnsi"/>
          <w:color w:val="000000"/>
        </w:rPr>
      </w:pPr>
    </w:p>
    <w:p w14:paraId="1E0F8BC7" w14:textId="7C68BC78" w:rsidR="00B66438" w:rsidRPr="0089215C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15C">
        <w:rPr>
          <w:rFonts w:asciiTheme="minorHAnsi" w:hAnsiTheme="minorHAnsi" w:cstheme="minorHAnsi"/>
          <w:color w:val="000000"/>
          <w:sz w:val="24"/>
          <w:szCs w:val="24"/>
        </w:rPr>
        <w:t>Procedura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55721D32" w14:textId="77777777" w:rsidR="00B66438" w:rsidRPr="0089215C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15C">
        <w:rPr>
          <w:rFonts w:asciiTheme="minorHAnsi" w:hAnsiTheme="minorHAnsi" w:cstheme="minorHAnsi"/>
          <w:color w:val="000000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77777777" w:rsidR="00B66438" w:rsidRPr="0089215C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15C">
        <w:rPr>
          <w:rFonts w:asciiTheme="minorHAnsi" w:hAnsiTheme="minorHAnsi" w:cstheme="minorHAnsi"/>
          <w:color w:val="000000"/>
          <w:sz w:val="24"/>
          <w:szCs w:val="24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6F8594E7" w14:textId="0A451E6B" w:rsidR="00B66438" w:rsidRPr="0089215C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15C">
        <w:rPr>
          <w:rFonts w:asciiTheme="minorHAnsi" w:hAnsiTheme="minorHAnsi" w:cstheme="minorHAnsi"/>
          <w:color w:val="000000"/>
          <w:sz w:val="24"/>
          <w:szCs w:val="24"/>
        </w:rPr>
        <w:t>Wykonawcy (lub przedstawiciela Wykonawcy) przedmiotu zamówienia;</w:t>
      </w:r>
    </w:p>
    <w:p w14:paraId="72AE5D8C" w14:textId="18AC9A1C" w:rsidR="00B66438" w:rsidRPr="0089215C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15C">
        <w:rPr>
          <w:rFonts w:asciiTheme="minorHAnsi" w:hAnsiTheme="minorHAnsi" w:cstheme="minorHAnsi"/>
          <w:color w:val="000000"/>
          <w:sz w:val="24"/>
          <w:szCs w:val="24"/>
        </w:rPr>
        <w:t>Bezpośredniego Użytkownika (lub osoby upoważnionej) przedmiotu zamówienia;</w:t>
      </w:r>
    </w:p>
    <w:p w14:paraId="2647B8F9" w14:textId="30A0D03B" w:rsidR="00B66438" w:rsidRPr="0089215C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15C">
        <w:rPr>
          <w:rFonts w:asciiTheme="minorHAnsi" w:hAnsiTheme="minorHAnsi" w:cstheme="minorHAnsi"/>
          <w:color w:val="000000"/>
          <w:sz w:val="24"/>
          <w:szCs w:val="24"/>
        </w:rPr>
        <w:t xml:space="preserve">Osoby odpowiedzialnej (lub upoważnionej) za realizację przedmiotu zamówienia z Działu </w:t>
      </w:r>
      <w:r w:rsidRPr="0089215C">
        <w:rPr>
          <w:rFonts w:asciiTheme="minorHAnsi" w:hAnsiTheme="minorHAnsi" w:cstheme="minorHAnsi"/>
          <w:color w:val="000000"/>
          <w:sz w:val="24"/>
          <w:szCs w:val="24"/>
        </w:rPr>
        <w:lastRenderedPageBreak/>
        <w:t>Zaopatrzenia UMB.</w:t>
      </w:r>
    </w:p>
    <w:p w14:paraId="288FFEB4" w14:textId="77777777" w:rsidR="00B66438" w:rsidRPr="0089215C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15C">
        <w:rPr>
          <w:rFonts w:asciiTheme="minorHAnsi" w:hAnsiTheme="minorHAnsi" w:cstheme="minorHAnsi"/>
          <w:color w:val="000000"/>
          <w:sz w:val="24"/>
          <w:szCs w:val="24"/>
        </w:rPr>
        <w:t>Protokół odbioru będzie sporządzony w 2 egzemplarzach.</w:t>
      </w:r>
    </w:p>
    <w:p w14:paraId="372AF57D" w14:textId="77777777" w:rsidR="00B66438" w:rsidRPr="0089215C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15C">
        <w:rPr>
          <w:rFonts w:asciiTheme="minorHAnsi" w:hAnsiTheme="minorHAnsi" w:cstheme="minorHAnsi"/>
          <w:color w:val="000000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08CEB4CD" w:rsidR="00B66438" w:rsidRPr="0089215C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15C">
        <w:rPr>
          <w:rFonts w:asciiTheme="minorHAnsi" w:hAnsiTheme="minorHAnsi" w:cstheme="minorHAnsi"/>
          <w:color w:val="000000"/>
          <w:sz w:val="24"/>
          <w:szCs w:val="24"/>
        </w:rPr>
        <w:t>a)</w:t>
      </w:r>
      <w:r w:rsidRPr="0089215C">
        <w:rPr>
          <w:rFonts w:asciiTheme="minorHAnsi" w:hAnsiTheme="minorHAnsi" w:cstheme="minorHAnsi"/>
          <w:color w:val="000000"/>
          <w:sz w:val="24"/>
          <w:szCs w:val="24"/>
        </w:rPr>
        <w:tab/>
        <w:t>Instrukcję stanowiskową / instrukcję obsługi ur</w:t>
      </w:r>
      <w:r w:rsidR="009314C5" w:rsidRPr="0089215C">
        <w:rPr>
          <w:rFonts w:asciiTheme="minorHAnsi" w:hAnsiTheme="minorHAnsi" w:cstheme="minorHAnsi"/>
          <w:color w:val="000000"/>
          <w:sz w:val="24"/>
          <w:szCs w:val="24"/>
        </w:rPr>
        <w:t>ządzeń,</w:t>
      </w:r>
    </w:p>
    <w:p w14:paraId="15DA7EA5" w14:textId="0D73CB36" w:rsidR="009314C5" w:rsidRPr="0089215C" w:rsidRDefault="009314C5" w:rsidP="009314C5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15C">
        <w:rPr>
          <w:rFonts w:asciiTheme="minorHAnsi" w:hAnsiTheme="minorHAnsi" w:cstheme="minorHAnsi"/>
          <w:color w:val="000000"/>
          <w:sz w:val="24"/>
          <w:szCs w:val="24"/>
        </w:rPr>
        <w:t>b)</w:t>
      </w:r>
      <w:r w:rsidRPr="0089215C">
        <w:rPr>
          <w:rFonts w:asciiTheme="minorHAnsi" w:hAnsiTheme="minorHAnsi" w:cstheme="minorHAnsi"/>
          <w:color w:val="000000"/>
          <w:sz w:val="24"/>
          <w:szCs w:val="24"/>
        </w:rPr>
        <w:tab/>
        <w:t>Kartę gwarancyjną,</w:t>
      </w:r>
    </w:p>
    <w:p w14:paraId="2EAF7B7C" w14:textId="6F329CCE" w:rsidR="009314C5" w:rsidRPr="0089215C" w:rsidRDefault="009314C5" w:rsidP="009314C5">
      <w:pPr>
        <w:pStyle w:val="Akapitzlist"/>
        <w:numPr>
          <w:ilvl w:val="0"/>
          <w:numId w:val="20"/>
        </w:num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15C">
        <w:rPr>
          <w:rFonts w:asciiTheme="minorHAnsi" w:hAnsiTheme="minorHAnsi" w:cstheme="minorHAnsi"/>
          <w:color w:val="000000"/>
          <w:sz w:val="24"/>
          <w:szCs w:val="24"/>
        </w:rPr>
        <w:t>Paszport techniczny urządzenia.</w:t>
      </w:r>
    </w:p>
    <w:p w14:paraId="002A610A" w14:textId="77777777" w:rsidR="00B66438" w:rsidRPr="0089215C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15C">
        <w:rPr>
          <w:rFonts w:asciiTheme="minorHAnsi" w:hAnsiTheme="minorHAnsi" w:cstheme="minorHAnsi"/>
          <w:color w:val="000000"/>
          <w:sz w:val="24"/>
          <w:szCs w:val="24"/>
        </w:rPr>
        <w:t>Z chwilą podpisania protokołu odbioru na Zamawiającego przechodzi ryzyko utraty lub uszkodzenia urządzenia.</w:t>
      </w:r>
    </w:p>
    <w:p w14:paraId="56B72048" w14:textId="77777777" w:rsidR="00C33586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8B2D18" w14:textId="3917C530" w:rsidR="0095537D" w:rsidRPr="003E1F20" w:rsidRDefault="0095537D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bookmarkEnd w:id="0"/>
    </w:p>
    <w:sectPr w:rsidR="0095537D" w:rsidRPr="003E1F20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13E27" w14:textId="77777777" w:rsidR="00A1141A" w:rsidRDefault="00A1141A" w:rsidP="00EE7F46">
      <w:r>
        <w:separator/>
      </w:r>
    </w:p>
  </w:endnote>
  <w:endnote w:type="continuationSeparator" w:id="0">
    <w:p w14:paraId="145C3B5F" w14:textId="77777777" w:rsidR="00A1141A" w:rsidRDefault="00A1141A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LTStd-LightC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78418" w14:textId="77777777" w:rsidR="00360BAC" w:rsidRDefault="00360BAC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3E336DAD" w14:textId="77777777" w:rsidR="00360BAC" w:rsidRDefault="00360BAC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56036156" w14:textId="77777777" w:rsidR="00360BAC" w:rsidRPr="00EE7F46" w:rsidRDefault="00360BAC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F6855" w14:textId="77777777" w:rsidR="00A1141A" w:rsidRDefault="00A1141A" w:rsidP="00EE7F46">
      <w:r>
        <w:separator/>
      </w:r>
    </w:p>
  </w:footnote>
  <w:footnote w:type="continuationSeparator" w:id="0">
    <w:p w14:paraId="7C2671BD" w14:textId="77777777" w:rsidR="00A1141A" w:rsidRDefault="00A1141A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8DF2D" w14:textId="77777777" w:rsidR="00360BAC" w:rsidRDefault="00360B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A7CB7A8" wp14:editId="0D9E7E80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769EEE" w14:textId="77777777" w:rsidR="00360BAC" w:rsidRDefault="00360B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50"/>
    <w:multiLevelType w:val="hybridMultilevel"/>
    <w:tmpl w:val="680AC04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E53DFE"/>
    <w:multiLevelType w:val="hybridMultilevel"/>
    <w:tmpl w:val="4594A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3DC8"/>
    <w:multiLevelType w:val="hybridMultilevel"/>
    <w:tmpl w:val="A2AC5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46605"/>
    <w:multiLevelType w:val="hybridMultilevel"/>
    <w:tmpl w:val="16AAC9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0348"/>
    <w:multiLevelType w:val="hybridMultilevel"/>
    <w:tmpl w:val="2820DB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CA5C49"/>
    <w:multiLevelType w:val="hybridMultilevel"/>
    <w:tmpl w:val="28941A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002F44">
      <w:numFmt w:val="bullet"/>
      <w:lvlText w:val=""/>
      <w:lvlJc w:val="left"/>
      <w:pPr>
        <w:ind w:left="2340" w:hanging="360"/>
      </w:pPr>
      <w:rPr>
        <w:rFonts w:ascii="Symbol" w:eastAsia="Arial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5E737B"/>
    <w:multiLevelType w:val="hybridMultilevel"/>
    <w:tmpl w:val="EDD25370"/>
    <w:lvl w:ilvl="0" w:tplc="2D44DA96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A6D68"/>
    <w:multiLevelType w:val="hybridMultilevel"/>
    <w:tmpl w:val="DB7EED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456CE1"/>
    <w:multiLevelType w:val="hybridMultilevel"/>
    <w:tmpl w:val="49A0F2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50223B"/>
    <w:multiLevelType w:val="hybridMultilevel"/>
    <w:tmpl w:val="59BCE314"/>
    <w:lvl w:ilvl="0" w:tplc="134E1AB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92EFB"/>
    <w:multiLevelType w:val="hybridMultilevel"/>
    <w:tmpl w:val="C7FE0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434A8D"/>
    <w:multiLevelType w:val="hybridMultilevel"/>
    <w:tmpl w:val="B3C2A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B6458"/>
    <w:multiLevelType w:val="hybridMultilevel"/>
    <w:tmpl w:val="7478C3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1B002F44">
      <w:numFmt w:val="bullet"/>
      <w:lvlText w:val=""/>
      <w:lvlJc w:val="left"/>
      <w:pPr>
        <w:ind w:left="2547" w:hanging="360"/>
      </w:pPr>
      <w:rPr>
        <w:rFonts w:ascii="Symbol" w:eastAsia="Arial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5D2920"/>
    <w:multiLevelType w:val="hybridMultilevel"/>
    <w:tmpl w:val="28941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002F44">
      <w:numFmt w:val="bullet"/>
      <w:lvlText w:val=""/>
      <w:lvlJc w:val="left"/>
      <w:pPr>
        <w:ind w:left="2340" w:hanging="360"/>
      </w:pPr>
      <w:rPr>
        <w:rFonts w:ascii="Symbol" w:eastAsia="Arial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B8B"/>
    <w:multiLevelType w:val="hybridMultilevel"/>
    <w:tmpl w:val="3920E5D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395544"/>
    <w:multiLevelType w:val="hybridMultilevel"/>
    <w:tmpl w:val="4B8CA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75A38"/>
    <w:multiLevelType w:val="hybridMultilevel"/>
    <w:tmpl w:val="E4226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93969"/>
    <w:multiLevelType w:val="hybridMultilevel"/>
    <w:tmpl w:val="74D4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934A1"/>
    <w:multiLevelType w:val="hybridMultilevel"/>
    <w:tmpl w:val="680AC04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37194A"/>
    <w:multiLevelType w:val="hybridMultilevel"/>
    <w:tmpl w:val="9E023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AE3"/>
    <w:multiLevelType w:val="hybridMultilevel"/>
    <w:tmpl w:val="AC224204"/>
    <w:lvl w:ilvl="0" w:tplc="8BAE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512D41"/>
    <w:multiLevelType w:val="hybridMultilevel"/>
    <w:tmpl w:val="A5C87CB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F8145FE"/>
    <w:multiLevelType w:val="hybridMultilevel"/>
    <w:tmpl w:val="E62CCC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434B6"/>
    <w:multiLevelType w:val="hybridMultilevel"/>
    <w:tmpl w:val="D90E6D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2892479"/>
    <w:multiLevelType w:val="hybridMultilevel"/>
    <w:tmpl w:val="ED22E76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2971F5A"/>
    <w:multiLevelType w:val="hybridMultilevel"/>
    <w:tmpl w:val="E0EA07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86351"/>
    <w:multiLevelType w:val="hybridMultilevel"/>
    <w:tmpl w:val="C5946AD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81317B6"/>
    <w:multiLevelType w:val="hybridMultilevel"/>
    <w:tmpl w:val="C7FE0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11280"/>
    <w:multiLevelType w:val="hybridMultilevel"/>
    <w:tmpl w:val="C7FE0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53FEB"/>
    <w:multiLevelType w:val="hybridMultilevel"/>
    <w:tmpl w:val="5BA42CA2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20745C"/>
    <w:multiLevelType w:val="hybridMultilevel"/>
    <w:tmpl w:val="6C58059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9365096"/>
    <w:multiLevelType w:val="hybridMultilevel"/>
    <w:tmpl w:val="18E46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97E1D"/>
    <w:multiLevelType w:val="hybridMultilevel"/>
    <w:tmpl w:val="0526EFF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37"/>
    <w:lvlOverride w:ilvl="0">
      <w:startOverride w:val="1"/>
    </w:lvlOverride>
  </w:num>
  <w:num w:numId="4">
    <w:abstractNumId w:val="33"/>
  </w:num>
  <w:num w:numId="5">
    <w:abstractNumId w:val="37"/>
    <w:lvlOverride w:ilvl="0">
      <w:startOverride w:val="1"/>
    </w:lvlOverride>
  </w:num>
  <w:num w:numId="6">
    <w:abstractNumId w:val="22"/>
  </w:num>
  <w:num w:numId="7">
    <w:abstractNumId w:val="1"/>
  </w:num>
  <w:num w:numId="8">
    <w:abstractNumId w:val="7"/>
  </w:num>
  <w:num w:numId="9">
    <w:abstractNumId w:val="29"/>
  </w:num>
  <w:num w:numId="10">
    <w:abstractNumId w:val="4"/>
  </w:num>
  <w:num w:numId="11">
    <w:abstractNumId w:val="38"/>
  </w:num>
  <w:num w:numId="12">
    <w:abstractNumId w:val="9"/>
  </w:num>
  <w:num w:numId="13">
    <w:abstractNumId w:val="14"/>
  </w:num>
  <w:num w:numId="14">
    <w:abstractNumId w:val="20"/>
  </w:num>
  <w:num w:numId="15">
    <w:abstractNumId w:val="42"/>
  </w:num>
  <w:num w:numId="16">
    <w:abstractNumId w:val="11"/>
  </w:num>
  <w:num w:numId="17">
    <w:abstractNumId w:val="40"/>
  </w:num>
  <w:num w:numId="18">
    <w:abstractNumId w:val="26"/>
  </w:num>
  <w:num w:numId="19">
    <w:abstractNumId w:val="30"/>
  </w:num>
  <w:num w:numId="20">
    <w:abstractNumId w:val="8"/>
  </w:num>
  <w:num w:numId="21">
    <w:abstractNumId w:val="35"/>
  </w:num>
  <w:num w:numId="22">
    <w:abstractNumId w:val="15"/>
  </w:num>
  <w:num w:numId="23">
    <w:abstractNumId w:val="13"/>
  </w:num>
  <w:num w:numId="24">
    <w:abstractNumId w:val="19"/>
  </w:num>
  <w:num w:numId="25">
    <w:abstractNumId w:val="36"/>
  </w:num>
  <w:num w:numId="26">
    <w:abstractNumId w:val="3"/>
  </w:num>
  <w:num w:numId="27">
    <w:abstractNumId w:val="32"/>
  </w:num>
  <w:num w:numId="28">
    <w:abstractNumId w:val="23"/>
  </w:num>
  <w:num w:numId="29">
    <w:abstractNumId w:val="21"/>
  </w:num>
  <w:num w:numId="30">
    <w:abstractNumId w:val="6"/>
  </w:num>
  <w:num w:numId="31">
    <w:abstractNumId w:val="16"/>
  </w:num>
  <w:num w:numId="32">
    <w:abstractNumId w:val="5"/>
  </w:num>
  <w:num w:numId="33">
    <w:abstractNumId w:val="41"/>
  </w:num>
  <w:num w:numId="34">
    <w:abstractNumId w:val="39"/>
  </w:num>
  <w:num w:numId="35">
    <w:abstractNumId w:val="34"/>
  </w:num>
  <w:num w:numId="36">
    <w:abstractNumId w:val="28"/>
  </w:num>
  <w:num w:numId="37">
    <w:abstractNumId w:val="27"/>
  </w:num>
  <w:num w:numId="38">
    <w:abstractNumId w:val="31"/>
  </w:num>
  <w:num w:numId="39">
    <w:abstractNumId w:val="10"/>
  </w:num>
  <w:num w:numId="40">
    <w:abstractNumId w:val="24"/>
  </w:num>
  <w:num w:numId="41">
    <w:abstractNumId w:val="18"/>
  </w:num>
  <w:num w:numId="42">
    <w:abstractNumId w:val="17"/>
  </w:num>
  <w:num w:numId="43">
    <w:abstractNumId w:val="12"/>
  </w:num>
  <w:num w:numId="44">
    <w:abstractNumId w:val="0"/>
  </w:num>
  <w:num w:numId="45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6025"/>
    <w:rsid w:val="00012DC2"/>
    <w:rsid w:val="00013F5D"/>
    <w:rsid w:val="0001496E"/>
    <w:rsid w:val="00030067"/>
    <w:rsid w:val="00040867"/>
    <w:rsid w:val="00044D4B"/>
    <w:rsid w:val="00046B06"/>
    <w:rsid w:val="000478D5"/>
    <w:rsid w:val="00047F68"/>
    <w:rsid w:val="00055D70"/>
    <w:rsid w:val="00061EA7"/>
    <w:rsid w:val="000677A8"/>
    <w:rsid w:val="00077F8E"/>
    <w:rsid w:val="000A2931"/>
    <w:rsid w:val="000C3C7E"/>
    <w:rsid w:val="000E121B"/>
    <w:rsid w:val="00101D24"/>
    <w:rsid w:val="00105C47"/>
    <w:rsid w:val="001113AD"/>
    <w:rsid w:val="00126F59"/>
    <w:rsid w:val="00136695"/>
    <w:rsid w:val="001450AB"/>
    <w:rsid w:val="001507AF"/>
    <w:rsid w:val="00161D53"/>
    <w:rsid w:val="001743A8"/>
    <w:rsid w:val="00176E65"/>
    <w:rsid w:val="0018662F"/>
    <w:rsid w:val="00187B9D"/>
    <w:rsid w:val="001A2456"/>
    <w:rsid w:val="001B1256"/>
    <w:rsid w:val="001B4EF8"/>
    <w:rsid w:val="001D1EC1"/>
    <w:rsid w:val="001E0D8A"/>
    <w:rsid w:val="001F68B0"/>
    <w:rsid w:val="001F79C8"/>
    <w:rsid w:val="002002E6"/>
    <w:rsid w:val="00204CA6"/>
    <w:rsid w:val="002135F9"/>
    <w:rsid w:val="0022241B"/>
    <w:rsid w:val="00224606"/>
    <w:rsid w:val="00226702"/>
    <w:rsid w:val="0023222D"/>
    <w:rsid w:val="0024083A"/>
    <w:rsid w:val="00265CE9"/>
    <w:rsid w:val="00282DF3"/>
    <w:rsid w:val="002920BB"/>
    <w:rsid w:val="002B1B84"/>
    <w:rsid w:val="002B51F3"/>
    <w:rsid w:val="002D5AED"/>
    <w:rsid w:val="002D5E81"/>
    <w:rsid w:val="002E3BF6"/>
    <w:rsid w:val="002F23FD"/>
    <w:rsid w:val="00300951"/>
    <w:rsid w:val="003052A0"/>
    <w:rsid w:val="0032320B"/>
    <w:rsid w:val="0032527B"/>
    <w:rsid w:val="00334231"/>
    <w:rsid w:val="0034457C"/>
    <w:rsid w:val="00351385"/>
    <w:rsid w:val="00353551"/>
    <w:rsid w:val="00356BA6"/>
    <w:rsid w:val="003575B7"/>
    <w:rsid w:val="00360BAC"/>
    <w:rsid w:val="00363021"/>
    <w:rsid w:val="00373607"/>
    <w:rsid w:val="00380BC7"/>
    <w:rsid w:val="00383D8F"/>
    <w:rsid w:val="00397C8C"/>
    <w:rsid w:val="003A28CA"/>
    <w:rsid w:val="003B1B88"/>
    <w:rsid w:val="003B2E7F"/>
    <w:rsid w:val="003B3DDB"/>
    <w:rsid w:val="003E1F20"/>
    <w:rsid w:val="003E2476"/>
    <w:rsid w:val="003E3192"/>
    <w:rsid w:val="003E33F2"/>
    <w:rsid w:val="003E47B0"/>
    <w:rsid w:val="003E62E9"/>
    <w:rsid w:val="004005A1"/>
    <w:rsid w:val="004102A2"/>
    <w:rsid w:val="00416EFF"/>
    <w:rsid w:val="004171AA"/>
    <w:rsid w:val="00417310"/>
    <w:rsid w:val="00422458"/>
    <w:rsid w:val="00433E58"/>
    <w:rsid w:val="00434EAB"/>
    <w:rsid w:val="004472A3"/>
    <w:rsid w:val="00460685"/>
    <w:rsid w:val="00461E87"/>
    <w:rsid w:val="00472506"/>
    <w:rsid w:val="00472C52"/>
    <w:rsid w:val="00474743"/>
    <w:rsid w:val="00475C3D"/>
    <w:rsid w:val="0048526F"/>
    <w:rsid w:val="00490600"/>
    <w:rsid w:val="00491435"/>
    <w:rsid w:val="00493985"/>
    <w:rsid w:val="004A0C32"/>
    <w:rsid w:val="004A1C6C"/>
    <w:rsid w:val="004A708C"/>
    <w:rsid w:val="004B4AFF"/>
    <w:rsid w:val="004B79E8"/>
    <w:rsid w:val="004C3FEF"/>
    <w:rsid w:val="004D0927"/>
    <w:rsid w:val="004F19ED"/>
    <w:rsid w:val="004F3C22"/>
    <w:rsid w:val="004F792A"/>
    <w:rsid w:val="00501119"/>
    <w:rsid w:val="00501E6D"/>
    <w:rsid w:val="00502298"/>
    <w:rsid w:val="00505232"/>
    <w:rsid w:val="00514D47"/>
    <w:rsid w:val="00554108"/>
    <w:rsid w:val="00563D19"/>
    <w:rsid w:val="00577D4E"/>
    <w:rsid w:val="00582C80"/>
    <w:rsid w:val="005854BC"/>
    <w:rsid w:val="00586EBC"/>
    <w:rsid w:val="005B1D94"/>
    <w:rsid w:val="005D79DD"/>
    <w:rsid w:val="005F58EA"/>
    <w:rsid w:val="005F76C5"/>
    <w:rsid w:val="00601B8F"/>
    <w:rsid w:val="0061055B"/>
    <w:rsid w:val="006110C6"/>
    <w:rsid w:val="00630D33"/>
    <w:rsid w:val="00636B12"/>
    <w:rsid w:val="006524D6"/>
    <w:rsid w:val="00653980"/>
    <w:rsid w:val="0065570C"/>
    <w:rsid w:val="0065610B"/>
    <w:rsid w:val="006706AE"/>
    <w:rsid w:val="006720BC"/>
    <w:rsid w:val="00685DB8"/>
    <w:rsid w:val="006874EB"/>
    <w:rsid w:val="00691B35"/>
    <w:rsid w:val="00695CC3"/>
    <w:rsid w:val="006963E0"/>
    <w:rsid w:val="006A5382"/>
    <w:rsid w:val="006B526C"/>
    <w:rsid w:val="006B5AF9"/>
    <w:rsid w:val="006C2875"/>
    <w:rsid w:val="006C6257"/>
    <w:rsid w:val="006F4559"/>
    <w:rsid w:val="00724DDB"/>
    <w:rsid w:val="007278B2"/>
    <w:rsid w:val="00731ADB"/>
    <w:rsid w:val="007403F5"/>
    <w:rsid w:val="007409DD"/>
    <w:rsid w:val="00740D0D"/>
    <w:rsid w:val="00754F54"/>
    <w:rsid w:val="007578F0"/>
    <w:rsid w:val="00773367"/>
    <w:rsid w:val="00773D41"/>
    <w:rsid w:val="007765B7"/>
    <w:rsid w:val="00796734"/>
    <w:rsid w:val="007B11BD"/>
    <w:rsid w:val="007B7120"/>
    <w:rsid w:val="007E6909"/>
    <w:rsid w:val="007F028C"/>
    <w:rsid w:val="007F140B"/>
    <w:rsid w:val="008022DF"/>
    <w:rsid w:val="008500A3"/>
    <w:rsid w:val="00852AEC"/>
    <w:rsid w:val="00870B00"/>
    <w:rsid w:val="008901DD"/>
    <w:rsid w:val="0089215C"/>
    <w:rsid w:val="008A08AC"/>
    <w:rsid w:val="008A2501"/>
    <w:rsid w:val="008C078F"/>
    <w:rsid w:val="008C0B5E"/>
    <w:rsid w:val="008C39CA"/>
    <w:rsid w:val="008E01BD"/>
    <w:rsid w:val="008E72E9"/>
    <w:rsid w:val="00900A37"/>
    <w:rsid w:val="009038CF"/>
    <w:rsid w:val="00915624"/>
    <w:rsid w:val="009314C5"/>
    <w:rsid w:val="009368B2"/>
    <w:rsid w:val="00943F67"/>
    <w:rsid w:val="00946B2C"/>
    <w:rsid w:val="00952334"/>
    <w:rsid w:val="00952868"/>
    <w:rsid w:val="009540BB"/>
    <w:rsid w:val="0095537D"/>
    <w:rsid w:val="00960696"/>
    <w:rsid w:val="00961F48"/>
    <w:rsid w:val="00964656"/>
    <w:rsid w:val="0097221C"/>
    <w:rsid w:val="00973212"/>
    <w:rsid w:val="0098233B"/>
    <w:rsid w:val="00983FAC"/>
    <w:rsid w:val="009870A2"/>
    <w:rsid w:val="0099016D"/>
    <w:rsid w:val="009A0412"/>
    <w:rsid w:val="009A3157"/>
    <w:rsid w:val="009A503C"/>
    <w:rsid w:val="009A5ACF"/>
    <w:rsid w:val="009D4F93"/>
    <w:rsid w:val="009F2E77"/>
    <w:rsid w:val="009F65FE"/>
    <w:rsid w:val="00A0484F"/>
    <w:rsid w:val="00A0772F"/>
    <w:rsid w:val="00A1141A"/>
    <w:rsid w:val="00A2244E"/>
    <w:rsid w:val="00A2392A"/>
    <w:rsid w:val="00A24C9D"/>
    <w:rsid w:val="00A32693"/>
    <w:rsid w:val="00A41332"/>
    <w:rsid w:val="00A43598"/>
    <w:rsid w:val="00A4626D"/>
    <w:rsid w:val="00A46452"/>
    <w:rsid w:val="00A55D37"/>
    <w:rsid w:val="00A86417"/>
    <w:rsid w:val="00A96F78"/>
    <w:rsid w:val="00A97FC5"/>
    <w:rsid w:val="00AA366E"/>
    <w:rsid w:val="00AB1529"/>
    <w:rsid w:val="00AB1678"/>
    <w:rsid w:val="00AD5B42"/>
    <w:rsid w:val="00AE722E"/>
    <w:rsid w:val="00AE784F"/>
    <w:rsid w:val="00B12707"/>
    <w:rsid w:val="00B137A3"/>
    <w:rsid w:val="00B16969"/>
    <w:rsid w:val="00B27907"/>
    <w:rsid w:val="00B43872"/>
    <w:rsid w:val="00B44CFB"/>
    <w:rsid w:val="00B617AC"/>
    <w:rsid w:val="00B635EB"/>
    <w:rsid w:val="00B66438"/>
    <w:rsid w:val="00B67728"/>
    <w:rsid w:val="00B81217"/>
    <w:rsid w:val="00B82E97"/>
    <w:rsid w:val="00B87E66"/>
    <w:rsid w:val="00B95CFD"/>
    <w:rsid w:val="00B9722A"/>
    <w:rsid w:val="00BB6E6D"/>
    <w:rsid w:val="00BC26BF"/>
    <w:rsid w:val="00BC4EC7"/>
    <w:rsid w:val="00BE3F6E"/>
    <w:rsid w:val="00BE6DCA"/>
    <w:rsid w:val="00BF2C33"/>
    <w:rsid w:val="00BF331E"/>
    <w:rsid w:val="00BF4E8F"/>
    <w:rsid w:val="00BF62BC"/>
    <w:rsid w:val="00C253CB"/>
    <w:rsid w:val="00C27D0D"/>
    <w:rsid w:val="00C32D06"/>
    <w:rsid w:val="00C33586"/>
    <w:rsid w:val="00C4066E"/>
    <w:rsid w:val="00C417D3"/>
    <w:rsid w:val="00C464D9"/>
    <w:rsid w:val="00C5333A"/>
    <w:rsid w:val="00C67641"/>
    <w:rsid w:val="00C749DD"/>
    <w:rsid w:val="00C7707F"/>
    <w:rsid w:val="00C82008"/>
    <w:rsid w:val="00CA3C42"/>
    <w:rsid w:val="00CB0E3B"/>
    <w:rsid w:val="00CB4D66"/>
    <w:rsid w:val="00CC2736"/>
    <w:rsid w:val="00CC7FD2"/>
    <w:rsid w:val="00CE7529"/>
    <w:rsid w:val="00CF59F5"/>
    <w:rsid w:val="00D25BA0"/>
    <w:rsid w:val="00D470E1"/>
    <w:rsid w:val="00D477F0"/>
    <w:rsid w:val="00D53D4D"/>
    <w:rsid w:val="00D5476E"/>
    <w:rsid w:val="00D55035"/>
    <w:rsid w:val="00D6367F"/>
    <w:rsid w:val="00DC0D5C"/>
    <w:rsid w:val="00DE0F3F"/>
    <w:rsid w:val="00DE3B31"/>
    <w:rsid w:val="00DE4527"/>
    <w:rsid w:val="00DE52C9"/>
    <w:rsid w:val="00DE6D0B"/>
    <w:rsid w:val="00E01E97"/>
    <w:rsid w:val="00E061EE"/>
    <w:rsid w:val="00E16814"/>
    <w:rsid w:val="00E42D2D"/>
    <w:rsid w:val="00E44E82"/>
    <w:rsid w:val="00E5542B"/>
    <w:rsid w:val="00E60120"/>
    <w:rsid w:val="00E73AC0"/>
    <w:rsid w:val="00E80CC1"/>
    <w:rsid w:val="00E8470D"/>
    <w:rsid w:val="00E93020"/>
    <w:rsid w:val="00E951A1"/>
    <w:rsid w:val="00EB7425"/>
    <w:rsid w:val="00ED21D6"/>
    <w:rsid w:val="00EE3D16"/>
    <w:rsid w:val="00EE7348"/>
    <w:rsid w:val="00EE7F46"/>
    <w:rsid w:val="00F01A8C"/>
    <w:rsid w:val="00F304AD"/>
    <w:rsid w:val="00F401F1"/>
    <w:rsid w:val="00F413FE"/>
    <w:rsid w:val="00F475F6"/>
    <w:rsid w:val="00F50300"/>
    <w:rsid w:val="00F52419"/>
    <w:rsid w:val="00F5472A"/>
    <w:rsid w:val="00F62803"/>
    <w:rsid w:val="00F92A4E"/>
    <w:rsid w:val="00FA66B0"/>
    <w:rsid w:val="00FB6827"/>
    <w:rsid w:val="00FE07AA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582C80"/>
    <w:pPr>
      <w:widowControl/>
      <w:autoSpaceDE/>
      <w:autoSpaceDN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B279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2931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653980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EAE6-B5F4-4700-8ADF-4518B0A7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2947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Agnieszka Malinowska</cp:lastModifiedBy>
  <cp:revision>16</cp:revision>
  <cp:lastPrinted>2023-07-12T08:57:00Z</cp:lastPrinted>
  <dcterms:created xsi:type="dcterms:W3CDTF">2023-07-07T08:18:00Z</dcterms:created>
  <dcterms:modified xsi:type="dcterms:W3CDTF">2023-11-09T08:21:00Z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