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3"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9408272"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7785410D" w:rsidR="0005142E" w:rsidRPr="00073703" w:rsidRDefault="0005142E" w:rsidP="00783008">
            <w:pPr>
              <w:jc w:val="center"/>
              <w:outlineLvl w:val="0"/>
              <w:rPr>
                <w:rFonts w:ascii="Calibri" w:hAnsi="Calibri" w:cs="Calibri"/>
                <w:b/>
              </w:rPr>
            </w:pPr>
            <w:r w:rsidRPr="00271168">
              <w:rPr>
                <w:rFonts w:ascii="Cambria" w:hAnsi="Cambria"/>
                <w:b/>
                <w:bCs/>
                <w:i/>
                <w:iCs/>
                <w:szCs w:val="24"/>
              </w:rPr>
              <w:t>„</w:t>
            </w:r>
            <w:r w:rsidRPr="00271168">
              <w:rPr>
                <w:rFonts w:ascii="Verdana" w:hAnsi="Verdana" w:cs="Verdana"/>
                <w:b/>
                <w:bCs/>
                <w:i/>
                <w:iCs/>
                <w:szCs w:val="24"/>
              </w:rPr>
              <w:t xml:space="preserve">Rozbudowa drogi powiatowej </w:t>
            </w:r>
            <w:r w:rsidR="005C72C6" w:rsidRPr="00271168">
              <w:rPr>
                <w:rFonts w:ascii="Verdana" w:hAnsi="Verdana" w:cs="Verdana"/>
                <w:b/>
                <w:bCs/>
                <w:i/>
                <w:iCs/>
                <w:szCs w:val="24"/>
              </w:rPr>
              <w:t xml:space="preserve">nr </w:t>
            </w:r>
            <w:r w:rsidRPr="00271168">
              <w:rPr>
                <w:rFonts w:ascii="Verdana" w:hAnsi="Verdana" w:cs="Verdana"/>
                <w:b/>
                <w:bCs/>
                <w:i/>
                <w:iCs/>
                <w:szCs w:val="24"/>
              </w:rPr>
              <w:t xml:space="preserve">2424P w m. Kiekrz na odcinku </w:t>
            </w:r>
            <w:r w:rsidR="00A75023">
              <w:rPr>
                <w:rFonts w:ascii="Verdana" w:hAnsi="Verdana" w:cs="Verdana"/>
                <w:b/>
                <w:bCs/>
                <w:i/>
                <w:iCs/>
                <w:szCs w:val="24"/>
              </w:rPr>
              <w:br/>
            </w:r>
            <w:r w:rsidR="005C72C6" w:rsidRPr="00271168">
              <w:rPr>
                <w:rFonts w:ascii="Verdana" w:hAnsi="Verdana" w:cs="Verdana"/>
                <w:b/>
                <w:bCs/>
                <w:i/>
                <w:iCs/>
                <w:szCs w:val="24"/>
              </w:rPr>
              <w:t xml:space="preserve">ul. </w:t>
            </w:r>
            <w:proofErr w:type="spellStart"/>
            <w:r w:rsidR="005C72C6" w:rsidRPr="00271168">
              <w:rPr>
                <w:rFonts w:ascii="Verdana" w:hAnsi="Verdana" w:cs="Verdana"/>
                <w:b/>
                <w:bCs/>
                <w:i/>
                <w:iCs/>
                <w:szCs w:val="24"/>
              </w:rPr>
              <w:t>Kierskiej</w:t>
            </w:r>
            <w:proofErr w:type="spellEnd"/>
            <w:r w:rsidR="005C72C6" w:rsidRPr="00271168">
              <w:rPr>
                <w:rFonts w:ascii="Verdana" w:hAnsi="Verdana" w:cs="Verdana"/>
                <w:b/>
                <w:bCs/>
                <w:i/>
                <w:iCs/>
                <w:szCs w:val="24"/>
              </w:rPr>
              <w:t xml:space="preserve"> </w:t>
            </w:r>
            <w:r w:rsidRPr="00271168">
              <w:rPr>
                <w:rFonts w:ascii="Verdana" w:hAnsi="Verdana" w:cs="Verdana"/>
                <w:b/>
                <w:bCs/>
                <w:i/>
                <w:iCs/>
                <w:szCs w:val="24"/>
              </w:rPr>
              <w:t>od S11 do ul</w:t>
            </w:r>
            <w:r w:rsidR="005C72C6" w:rsidRPr="00271168">
              <w:rPr>
                <w:rFonts w:ascii="Verdana" w:hAnsi="Verdana" w:cs="Verdana"/>
                <w:b/>
                <w:bCs/>
                <w:i/>
                <w:iCs/>
                <w:szCs w:val="24"/>
              </w:rPr>
              <w:t>.</w:t>
            </w:r>
            <w:r w:rsidRPr="00271168">
              <w:rPr>
                <w:rFonts w:ascii="Verdana" w:hAnsi="Verdana" w:cs="Verdana"/>
                <w:b/>
                <w:bCs/>
                <w:i/>
                <w:iCs/>
                <w:szCs w:val="24"/>
              </w:rPr>
              <w:t xml:space="preserve"> Leśnej</w:t>
            </w:r>
            <w:r w:rsidRPr="00452564">
              <w:rPr>
                <w:rFonts w:ascii="Cambria" w:hAnsi="Cambria"/>
                <w:b/>
                <w:szCs w:val="24"/>
              </w:rPr>
              <w:t>”</w:t>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0FA56AE8"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675BE7">
        <w:rPr>
          <w:rFonts w:asciiTheme="majorHAnsi" w:hAnsiTheme="majorHAnsi" w:cstheme="majorHAnsi"/>
          <w:b/>
          <w:bCs/>
        </w:rPr>
        <w:t>1</w:t>
      </w:r>
      <w:r w:rsidR="00635A36">
        <w:rPr>
          <w:rFonts w:asciiTheme="majorHAnsi" w:hAnsiTheme="majorHAnsi" w:cstheme="majorHAnsi"/>
          <w:b/>
          <w:bCs/>
        </w:rPr>
        <w:t>5</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766F2AEE"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2021.</w:t>
      </w:r>
      <w:r w:rsidR="0005142E">
        <w:rPr>
          <w:rFonts w:asciiTheme="majorHAnsi" w:eastAsia="Times New Roman" w:hAnsiTheme="majorHAnsi" w:cstheme="majorHAnsi"/>
          <w:b/>
          <w:bCs/>
        </w:rPr>
        <w:t>12</w:t>
      </w:r>
      <w:r w:rsidR="00ED1EB5">
        <w:rPr>
          <w:rFonts w:asciiTheme="majorHAnsi" w:eastAsia="Times New Roman" w:hAnsiTheme="majorHAnsi" w:cstheme="majorHAnsi"/>
          <w:b/>
          <w:bCs/>
        </w:rPr>
        <w:t>.</w:t>
      </w:r>
      <w:r w:rsidR="000903E2">
        <w:rPr>
          <w:rFonts w:asciiTheme="majorHAnsi" w:eastAsia="Times New Roman" w:hAnsiTheme="majorHAnsi" w:cstheme="majorHAnsi"/>
          <w:b/>
          <w:bCs/>
        </w:rPr>
        <w:t>3</w:t>
      </w:r>
      <w:r w:rsidR="0005142E">
        <w:rPr>
          <w:rFonts w:asciiTheme="majorHAnsi" w:eastAsia="Times New Roman" w:hAnsiTheme="majorHAnsi" w:cstheme="majorHAnsi"/>
          <w:b/>
          <w:bCs/>
        </w:rPr>
        <w:t>0</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1A9F0315"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29513EA" w:rsidR="003A3FBD" w:rsidRPr="00A258D6" w:rsidRDefault="00CD76EA">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3E3E62A8" w:rsidR="003A3FBD" w:rsidRPr="00A258D6" w:rsidRDefault="00CD76EA">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26827058" w:rsidR="003A3FBD" w:rsidRPr="00A258D6" w:rsidRDefault="00CD76EA"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6628B8E0" w:rsidR="003A3FBD" w:rsidRPr="00A258D6" w:rsidRDefault="00CD76EA">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6ECC4DD2" w:rsidR="003A3FBD" w:rsidRPr="00A258D6" w:rsidRDefault="00CD76EA">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6AFAAAE" w:rsidR="003A3FBD" w:rsidRPr="00A258D6" w:rsidRDefault="00CD76EA">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56E62AD9" w:rsidR="003A3FBD" w:rsidRPr="00A258D6" w:rsidRDefault="00CD76EA">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37933286" w:rsidR="003A3FBD" w:rsidRPr="00A258D6" w:rsidRDefault="00CD76EA">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0616FF37" w14:textId="7457E9F6" w:rsidR="003A3FBD" w:rsidRPr="00A258D6" w:rsidRDefault="00CD76EA">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79A31229" w:rsidR="003A3FBD" w:rsidRPr="00A258D6" w:rsidRDefault="00CD76EA">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1163B795" w14:textId="1A71B3DE" w:rsidR="003A3FBD" w:rsidRPr="00A258D6" w:rsidRDefault="00CD76EA">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9869629" w14:textId="11D59FB6" w:rsidR="003A3FBD" w:rsidRPr="00A258D6" w:rsidRDefault="00CD76EA">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3F432A53" w:rsidR="003A3FBD" w:rsidRPr="00A258D6" w:rsidRDefault="00CD76EA">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4916820D" w:rsidR="003A3FBD" w:rsidRPr="00A258D6" w:rsidRDefault="00CD76EA">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233F33A8" w:rsidR="003A3FBD" w:rsidRPr="00A258D6" w:rsidRDefault="00CD76EA">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0929F4B" w14:textId="7A2C2F1A" w:rsidR="003A3FBD" w:rsidRPr="00A258D6" w:rsidRDefault="00CD76EA">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33F5BCDD" w14:textId="0CD91F01" w:rsidR="003A3FBD" w:rsidRPr="00A258D6" w:rsidRDefault="00CD76EA">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755B4219" w14:textId="5DB46FE2" w:rsidR="003A3FBD" w:rsidRPr="00A258D6" w:rsidRDefault="00CD76EA">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4903B4CA" w14:textId="06E59AAE" w:rsidR="003A3FBD" w:rsidRPr="00A258D6" w:rsidRDefault="00CD76EA">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E3B7F07" w14:textId="09E728A7" w:rsidR="003A3FBD" w:rsidRPr="00A258D6" w:rsidRDefault="00CD76EA">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B84FA9F" w14:textId="5716265F" w:rsidR="003A3FBD" w:rsidRPr="00A258D6" w:rsidRDefault="00CD76EA">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78F7FBF" w14:textId="11787666" w:rsidR="003A3FBD" w:rsidRPr="00A258D6" w:rsidRDefault="00CD76EA">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4F12864C" w:rsidR="003A3FBD" w:rsidRPr="00A258D6" w:rsidRDefault="00CD76EA">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9274292" w14:textId="4AE05084" w:rsidR="003A3FBD" w:rsidRPr="00A258D6" w:rsidRDefault="00CD76EA">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CD76EA" w:rsidP="00096CC1">
          <w:pPr>
            <w:tabs>
              <w:tab w:val="right" w:pos="9025"/>
            </w:tabs>
            <w:spacing w:line="319" w:lineRule="auto"/>
            <w:rPr>
              <w:rFonts w:asciiTheme="majorHAnsi" w:hAnsiTheme="majorHAnsi" w:cstheme="majorHAnsi"/>
              <w:b/>
              <w:color w:val="000000"/>
            </w:rPr>
          </w:pPr>
        </w:p>
      </w:sdtContent>
    </w:sdt>
    <w:bookmarkStart w:id="2" w:name="_Toc65495843" w:displacedByCustomXml="prev"/>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9"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C8B4DAD" w14:textId="77777777" w:rsidR="00BD4AC0" w:rsidRPr="00A258D6" w:rsidRDefault="00BD4AC0" w:rsidP="00BD4AC0">
      <w:pPr>
        <w:spacing w:line="319" w:lineRule="auto"/>
        <w:jc w:val="both"/>
        <w:rPr>
          <w:rFonts w:asciiTheme="majorHAnsi" w:hAnsiTheme="majorHAnsi" w:cstheme="majorHAnsi"/>
        </w:rPr>
      </w:pPr>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prawo do przenoszenia danych osobowych, o którym mowa w art. 20 RODO;</w:t>
      </w:r>
    </w:p>
    <w:p w14:paraId="00000060" w14:textId="77777777" w:rsidR="001C5D72" w:rsidRPr="00A258D6" w:rsidRDefault="00FC4AB9" w:rsidP="001904E0">
      <w:pPr>
        <w:numPr>
          <w:ilvl w:val="0"/>
          <w:numId w:val="16"/>
        </w:numPr>
        <w:spacing w:line="319" w:lineRule="auto"/>
        <w:ind w:left="709" w:hanging="283"/>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5A4CF63E"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450C8E" w:rsidRPr="00A43881">
        <w:rPr>
          <w:rFonts w:asciiTheme="majorHAnsi" w:hAnsiTheme="majorHAnsi" w:cstheme="majorHAnsi"/>
        </w:rPr>
        <w:t>.</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00BF0242" w14:textId="77777777"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0F550DEB" w14:textId="21CEDEE1" w:rsidR="00F9411D" w:rsidRDefault="00EB2D86" w:rsidP="00675BE7">
      <w:pPr>
        <w:spacing w:line="360" w:lineRule="auto"/>
        <w:rPr>
          <w:rFonts w:asciiTheme="majorHAnsi" w:hAnsiTheme="majorHAnsi" w:cstheme="majorHAnsi"/>
          <w:b/>
          <w:bCs/>
          <w:sz w:val="24"/>
          <w:szCs w:val="24"/>
        </w:rPr>
      </w:pPr>
      <w:r>
        <w:rPr>
          <w:rFonts w:asciiTheme="majorHAnsi" w:hAnsiTheme="majorHAnsi" w:cstheme="majorHAnsi"/>
          <w:b/>
          <w:bCs/>
          <w:sz w:val="24"/>
          <w:szCs w:val="24"/>
        </w:rPr>
        <w:br/>
        <w:t xml:space="preserve">Przedmiotem zamówienia jest </w:t>
      </w:r>
    </w:p>
    <w:p w14:paraId="7D0C7049" w14:textId="77777777" w:rsidR="0005142E" w:rsidRPr="00271168" w:rsidRDefault="0005142E" w:rsidP="0005142E">
      <w:pPr>
        <w:jc w:val="both"/>
        <w:rPr>
          <w:rFonts w:asciiTheme="majorHAnsi" w:hAnsiTheme="majorHAnsi" w:cstheme="majorHAnsi"/>
          <w:color w:val="FF0000"/>
        </w:rPr>
      </w:pPr>
      <w:r w:rsidRPr="00271168">
        <w:rPr>
          <w:rFonts w:asciiTheme="majorHAnsi" w:hAnsiTheme="majorHAnsi" w:cstheme="majorHAnsi"/>
        </w:rPr>
        <w:t xml:space="preserve">Przedmiotem zamówienia jest rozbudowa drogi powiatowej 2424P polegająca na budowie chodnika na odcinku ok 557m w ciągu drogi gminnej, ul. </w:t>
      </w:r>
      <w:proofErr w:type="spellStart"/>
      <w:r w:rsidRPr="00271168">
        <w:rPr>
          <w:rFonts w:asciiTheme="majorHAnsi" w:hAnsiTheme="majorHAnsi" w:cstheme="majorHAnsi"/>
        </w:rPr>
        <w:t>Kierska</w:t>
      </w:r>
      <w:proofErr w:type="spellEnd"/>
      <w:r w:rsidRPr="00271168">
        <w:rPr>
          <w:rFonts w:asciiTheme="majorHAnsi" w:hAnsiTheme="majorHAnsi" w:cstheme="majorHAnsi"/>
        </w:rPr>
        <w:t xml:space="preserve"> w Kiekrzu. </w:t>
      </w:r>
    </w:p>
    <w:p w14:paraId="613C8E70" w14:textId="77777777" w:rsidR="0005142E" w:rsidRDefault="0005142E" w:rsidP="0005142E">
      <w:pPr>
        <w:jc w:val="both"/>
        <w:rPr>
          <w:rFonts w:ascii="Calibri" w:hAnsi="Calibri"/>
        </w:rPr>
      </w:pPr>
      <w:r w:rsidRPr="00987D2B">
        <w:rPr>
          <w:rFonts w:ascii="Calibri" w:hAnsi="Calibri"/>
        </w:rPr>
        <w:lastRenderedPageBreak/>
        <w:t xml:space="preserve">W ramach inwestycji przewidziano wybudowanie </w:t>
      </w:r>
      <w:r>
        <w:rPr>
          <w:rFonts w:ascii="Calibri" w:hAnsi="Calibri"/>
        </w:rPr>
        <w:t>chodnika</w:t>
      </w:r>
      <w:r w:rsidRPr="00987D2B">
        <w:rPr>
          <w:rFonts w:ascii="Calibri" w:hAnsi="Calibri"/>
        </w:rPr>
        <w:t xml:space="preserve"> o nawierzchni </w:t>
      </w:r>
      <w:r>
        <w:rPr>
          <w:rFonts w:ascii="Calibri" w:hAnsi="Calibri"/>
        </w:rPr>
        <w:t xml:space="preserve">bitumicznej wraz przebudową i budową, zjazdów indywidualnych i publicznych z betonowej kostki brukowej. </w:t>
      </w:r>
    </w:p>
    <w:p w14:paraId="6B314A82" w14:textId="77777777" w:rsidR="0005142E" w:rsidRPr="00987D2B" w:rsidRDefault="0005142E" w:rsidP="0005142E">
      <w:pPr>
        <w:rPr>
          <w:rFonts w:ascii="Calibri" w:hAnsi="Calibri"/>
        </w:rPr>
      </w:pPr>
      <w:r w:rsidRPr="00987D2B">
        <w:rPr>
          <w:rFonts w:ascii="Calibri" w:hAnsi="Calibri"/>
        </w:rPr>
        <w:t>Zamówienie obejmuje m.in.:</w:t>
      </w:r>
    </w:p>
    <w:p w14:paraId="5D0445AD" w14:textId="356C9247" w:rsidR="0005142E" w:rsidRPr="00271168" w:rsidRDefault="00271168" w:rsidP="0005142E">
      <w:pPr>
        <w:rPr>
          <w:rFonts w:asciiTheme="majorHAnsi" w:hAnsiTheme="majorHAnsi" w:cstheme="majorHAnsi"/>
          <w:u w:val="single"/>
        </w:rPr>
      </w:pPr>
      <w:r>
        <w:rPr>
          <w:rFonts w:asciiTheme="majorHAnsi" w:hAnsiTheme="majorHAnsi" w:cstheme="majorHAnsi"/>
          <w:u w:val="single"/>
        </w:rPr>
        <w:br/>
      </w:r>
      <w:r w:rsidR="0005142E" w:rsidRPr="00271168">
        <w:rPr>
          <w:rFonts w:asciiTheme="majorHAnsi" w:hAnsiTheme="majorHAnsi" w:cstheme="majorHAnsi"/>
          <w:u w:val="single"/>
        </w:rPr>
        <w:t xml:space="preserve">I Branża drogowa </w:t>
      </w:r>
    </w:p>
    <w:p w14:paraId="07F1DFC8"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Przebudowa - zabezpieczenie infrastruktury technicznej podziemnej zgodnie z wymaganiami gestorów sieci- wraz z regulacją studni</w:t>
      </w:r>
    </w:p>
    <w:p w14:paraId="6522BEA4"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Roboty przygotowawcze</w:t>
      </w:r>
    </w:p>
    <w:p w14:paraId="00F88242"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 xml:space="preserve">Usunięcie 87szt drzew </w:t>
      </w:r>
    </w:p>
    <w:p w14:paraId="58A9C7EF"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Wykopy - 349 m</w:t>
      </w:r>
      <w:r w:rsidRPr="00271168">
        <w:rPr>
          <w:rFonts w:asciiTheme="majorHAnsi" w:hAnsiTheme="majorHAnsi" w:cstheme="majorHAnsi"/>
          <w:vertAlign w:val="superscript"/>
        </w:rPr>
        <w:t>3</w:t>
      </w:r>
    </w:p>
    <w:p w14:paraId="0468113E"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Nasypy</w:t>
      </w:r>
      <w:r w:rsidRPr="00271168">
        <w:rPr>
          <w:rFonts w:asciiTheme="majorHAnsi" w:hAnsiTheme="majorHAnsi" w:cstheme="majorHAnsi"/>
        </w:rPr>
        <w:tab/>
        <w:t>- 397 m</w:t>
      </w:r>
      <w:r w:rsidRPr="00271168">
        <w:rPr>
          <w:rFonts w:asciiTheme="majorHAnsi" w:hAnsiTheme="majorHAnsi" w:cstheme="majorHAnsi"/>
          <w:vertAlign w:val="superscript"/>
        </w:rPr>
        <w:t>3</w:t>
      </w:r>
    </w:p>
    <w:p w14:paraId="276A284E"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Podbudowa z mieszanki związanej  cementem – 5842m</w:t>
      </w:r>
      <w:r w:rsidRPr="00271168">
        <w:rPr>
          <w:rFonts w:asciiTheme="majorHAnsi" w:hAnsiTheme="majorHAnsi" w:cstheme="majorHAnsi"/>
          <w:vertAlign w:val="superscript"/>
        </w:rPr>
        <w:t>2</w:t>
      </w:r>
    </w:p>
    <w:p w14:paraId="2E98F554"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Podbudowa z kruszywa łamanego stabilizowanego mechanicznie – 2080m</w:t>
      </w:r>
      <w:r w:rsidRPr="00271168">
        <w:rPr>
          <w:rFonts w:asciiTheme="majorHAnsi" w:hAnsiTheme="majorHAnsi" w:cstheme="majorHAnsi"/>
          <w:vertAlign w:val="superscript"/>
        </w:rPr>
        <w:t>2</w:t>
      </w:r>
    </w:p>
    <w:p w14:paraId="3D086BCF"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Nawierzchnia z betonowej kostki brukowej -1745 m</w:t>
      </w:r>
      <w:r w:rsidRPr="00271168">
        <w:rPr>
          <w:rFonts w:asciiTheme="majorHAnsi" w:hAnsiTheme="majorHAnsi" w:cstheme="majorHAnsi"/>
          <w:vertAlign w:val="superscript"/>
        </w:rPr>
        <w:t>2</w:t>
      </w:r>
    </w:p>
    <w:p w14:paraId="071CCB4E"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Nawierzchnia z betonu asfaltowego -1579 m</w:t>
      </w:r>
      <w:r w:rsidRPr="00271168">
        <w:rPr>
          <w:rFonts w:asciiTheme="majorHAnsi" w:hAnsiTheme="majorHAnsi" w:cstheme="majorHAnsi"/>
          <w:vertAlign w:val="superscript"/>
        </w:rPr>
        <w:t>2</w:t>
      </w:r>
    </w:p>
    <w:p w14:paraId="76B02069"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Nawierzchnia z mastyksu grysowego SMA 8 - 3911 m</w:t>
      </w:r>
      <w:r w:rsidRPr="00271168">
        <w:rPr>
          <w:rFonts w:asciiTheme="majorHAnsi" w:hAnsiTheme="majorHAnsi" w:cstheme="majorHAnsi"/>
          <w:vertAlign w:val="superscript"/>
        </w:rPr>
        <w:t>2</w:t>
      </w:r>
    </w:p>
    <w:p w14:paraId="5DD85B5F"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 xml:space="preserve">Krawężnik (20x30, ,) na ławie betonowej C12/15 z oporem -łącznie 873 </w:t>
      </w:r>
      <w:proofErr w:type="spellStart"/>
      <w:r w:rsidRPr="00271168">
        <w:rPr>
          <w:rFonts w:asciiTheme="majorHAnsi" w:hAnsiTheme="majorHAnsi" w:cstheme="majorHAnsi"/>
        </w:rPr>
        <w:t>mb</w:t>
      </w:r>
      <w:proofErr w:type="spellEnd"/>
    </w:p>
    <w:p w14:paraId="503635D6"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 xml:space="preserve">Krawężnik (20x22 ,) na ławie betonowej C12/15 z oporem -łącznie 319 </w:t>
      </w:r>
      <w:proofErr w:type="spellStart"/>
      <w:r w:rsidRPr="00271168">
        <w:rPr>
          <w:rFonts w:asciiTheme="majorHAnsi" w:hAnsiTheme="majorHAnsi" w:cstheme="majorHAnsi"/>
        </w:rPr>
        <w:t>mb</w:t>
      </w:r>
      <w:proofErr w:type="spellEnd"/>
    </w:p>
    <w:p w14:paraId="4ABC22EA"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Opornik betonowy (12x25cm ) na ławie betonowej C12/15 z oporem – 251mb</w:t>
      </w:r>
    </w:p>
    <w:p w14:paraId="2E94527C"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Obrzeże betonowe (8x30cm) na ławie betonowej C12/15 z oporem – 1847mb</w:t>
      </w:r>
    </w:p>
    <w:p w14:paraId="0B2D32F8"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 xml:space="preserve">Ściek uliczny z kostki betonowej układanej w 2 rzędach - </w:t>
      </w:r>
      <w:r w:rsidRPr="00271168">
        <w:rPr>
          <w:rFonts w:asciiTheme="majorHAnsi" w:hAnsiTheme="majorHAnsi" w:cstheme="majorHAnsi"/>
        </w:rPr>
        <w:tab/>
        <w:t>1130mb</w:t>
      </w:r>
    </w:p>
    <w:p w14:paraId="6009185A"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Roboty wykończeniowe, plantowanie i humusowanie skarp z obsianiem trawą - 2913m</w:t>
      </w:r>
      <w:r w:rsidRPr="00271168">
        <w:rPr>
          <w:rFonts w:asciiTheme="majorHAnsi" w:hAnsiTheme="majorHAnsi" w:cstheme="majorHAnsi"/>
          <w:vertAlign w:val="superscript"/>
        </w:rPr>
        <w:t>2</w:t>
      </w:r>
    </w:p>
    <w:p w14:paraId="57F820BE" w14:textId="77777777" w:rsidR="0005142E" w:rsidRPr="00271168" w:rsidRDefault="0005142E" w:rsidP="0005142E">
      <w:pPr>
        <w:pStyle w:val="Akapitzlist"/>
        <w:numPr>
          <w:ilvl w:val="0"/>
          <w:numId w:val="37"/>
        </w:numPr>
        <w:suppressAutoHyphens/>
        <w:spacing w:after="0" w:line="240" w:lineRule="auto"/>
        <w:rPr>
          <w:rFonts w:asciiTheme="majorHAnsi" w:hAnsiTheme="majorHAnsi" w:cstheme="majorHAnsi"/>
        </w:rPr>
      </w:pPr>
      <w:r w:rsidRPr="00271168">
        <w:rPr>
          <w:rFonts w:asciiTheme="majorHAnsi" w:hAnsiTheme="majorHAnsi" w:cstheme="majorHAnsi"/>
        </w:rPr>
        <w:t>Oznakowanie poziome i pionowe – zgodnie z projektem org. ruchu</w:t>
      </w:r>
    </w:p>
    <w:p w14:paraId="650CF003" w14:textId="6BE46E69" w:rsidR="0005142E" w:rsidRPr="00271168" w:rsidRDefault="00271168" w:rsidP="0005142E">
      <w:pPr>
        <w:pStyle w:val="Akapitzlist"/>
        <w:ind w:left="0"/>
        <w:rPr>
          <w:rFonts w:asciiTheme="majorHAnsi" w:hAnsiTheme="majorHAnsi" w:cstheme="majorHAnsi"/>
          <w:u w:val="single"/>
        </w:rPr>
      </w:pPr>
      <w:r>
        <w:rPr>
          <w:rFonts w:asciiTheme="majorHAnsi" w:hAnsiTheme="majorHAnsi" w:cstheme="majorHAnsi"/>
          <w:u w:val="single"/>
        </w:rPr>
        <w:br/>
      </w:r>
      <w:r w:rsidR="0005142E" w:rsidRPr="00271168">
        <w:rPr>
          <w:rFonts w:asciiTheme="majorHAnsi" w:hAnsiTheme="majorHAnsi" w:cstheme="majorHAnsi"/>
          <w:u w:val="single"/>
        </w:rPr>
        <w:t>II Branża kanalizacyjna</w:t>
      </w:r>
    </w:p>
    <w:p w14:paraId="3C609EDF" w14:textId="77777777" w:rsidR="0005142E" w:rsidRPr="00271168" w:rsidRDefault="0005142E" w:rsidP="0005142E">
      <w:pPr>
        <w:pStyle w:val="Akapitzlist"/>
        <w:numPr>
          <w:ilvl w:val="0"/>
          <w:numId w:val="38"/>
        </w:numPr>
        <w:autoSpaceDE w:val="0"/>
        <w:autoSpaceDN w:val="0"/>
        <w:adjustRightInd w:val="0"/>
        <w:spacing w:after="0" w:line="240" w:lineRule="auto"/>
        <w:rPr>
          <w:rFonts w:asciiTheme="majorHAnsi" w:hAnsiTheme="majorHAnsi" w:cstheme="majorHAnsi"/>
        </w:rPr>
      </w:pPr>
      <w:r w:rsidRPr="00271168">
        <w:rPr>
          <w:rFonts w:asciiTheme="majorHAnsi" w:hAnsiTheme="majorHAnsi" w:cstheme="majorHAnsi"/>
        </w:rPr>
        <w:t>Kanały z rur PVC Ø315 mm – 552m</w:t>
      </w:r>
    </w:p>
    <w:p w14:paraId="61BBAD8C" w14:textId="77777777" w:rsidR="0005142E" w:rsidRPr="00271168" w:rsidRDefault="0005142E" w:rsidP="0005142E">
      <w:pPr>
        <w:pStyle w:val="Akapitzlist"/>
        <w:numPr>
          <w:ilvl w:val="0"/>
          <w:numId w:val="38"/>
        </w:numPr>
        <w:autoSpaceDE w:val="0"/>
        <w:autoSpaceDN w:val="0"/>
        <w:adjustRightInd w:val="0"/>
        <w:spacing w:after="0" w:line="240" w:lineRule="auto"/>
        <w:rPr>
          <w:rFonts w:asciiTheme="majorHAnsi" w:hAnsiTheme="majorHAnsi" w:cstheme="majorHAnsi"/>
        </w:rPr>
      </w:pPr>
      <w:proofErr w:type="spellStart"/>
      <w:r w:rsidRPr="00271168">
        <w:rPr>
          <w:rFonts w:asciiTheme="majorHAnsi" w:hAnsiTheme="majorHAnsi" w:cstheme="majorHAnsi"/>
        </w:rPr>
        <w:t>Przykanaliki</w:t>
      </w:r>
      <w:proofErr w:type="spellEnd"/>
      <w:r w:rsidRPr="00271168">
        <w:rPr>
          <w:rFonts w:asciiTheme="majorHAnsi" w:hAnsiTheme="majorHAnsi" w:cstheme="majorHAnsi"/>
        </w:rPr>
        <w:t xml:space="preserve"> z rur PVC Ø200 mm –131m</w:t>
      </w:r>
    </w:p>
    <w:p w14:paraId="77FDBA35" w14:textId="77777777" w:rsidR="0005142E" w:rsidRPr="00271168" w:rsidRDefault="0005142E" w:rsidP="0005142E">
      <w:pPr>
        <w:pStyle w:val="Akapitzlist"/>
        <w:numPr>
          <w:ilvl w:val="0"/>
          <w:numId w:val="38"/>
        </w:numPr>
        <w:autoSpaceDE w:val="0"/>
        <w:autoSpaceDN w:val="0"/>
        <w:adjustRightInd w:val="0"/>
        <w:spacing w:after="0" w:line="240" w:lineRule="auto"/>
        <w:rPr>
          <w:rFonts w:asciiTheme="majorHAnsi" w:hAnsiTheme="majorHAnsi" w:cstheme="majorHAnsi"/>
        </w:rPr>
      </w:pPr>
      <w:r w:rsidRPr="00271168">
        <w:rPr>
          <w:rFonts w:asciiTheme="majorHAnsi" w:hAnsiTheme="majorHAnsi" w:cstheme="majorHAnsi"/>
        </w:rPr>
        <w:t>Studnie rewizyjne Ø1000 mm – 24szt</w:t>
      </w:r>
    </w:p>
    <w:p w14:paraId="5BDD881A" w14:textId="77777777" w:rsidR="0005142E" w:rsidRPr="00271168" w:rsidRDefault="0005142E" w:rsidP="0005142E">
      <w:pPr>
        <w:pStyle w:val="Akapitzlist"/>
        <w:numPr>
          <w:ilvl w:val="0"/>
          <w:numId w:val="38"/>
        </w:numPr>
        <w:autoSpaceDE w:val="0"/>
        <w:autoSpaceDN w:val="0"/>
        <w:adjustRightInd w:val="0"/>
        <w:spacing w:after="0" w:line="240" w:lineRule="auto"/>
        <w:rPr>
          <w:rFonts w:asciiTheme="majorHAnsi" w:hAnsiTheme="majorHAnsi" w:cstheme="majorHAnsi"/>
        </w:rPr>
      </w:pPr>
      <w:r w:rsidRPr="00271168">
        <w:rPr>
          <w:rFonts w:asciiTheme="majorHAnsi" w:hAnsiTheme="majorHAnsi" w:cstheme="majorHAnsi"/>
        </w:rPr>
        <w:t>Studnia wpustowa z osadnikiem –19 szt.</w:t>
      </w:r>
    </w:p>
    <w:p w14:paraId="1329A9D5" w14:textId="77777777" w:rsidR="0005142E" w:rsidRPr="00271168" w:rsidRDefault="0005142E" w:rsidP="0005142E">
      <w:pPr>
        <w:jc w:val="both"/>
        <w:rPr>
          <w:rFonts w:asciiTheme="minorHAnsi" w:hAnsiTheme="minorHAnsi"/>
        </w:rPr>
      </w:pPr>
      <w:r w:rsidRPr="00271168">
        <w:rPr>
          <w:rFonts w:asciiTheme="minorHAnsi" w:hAnsiTheme="minorHAnsi"/>
        </w:rPr>
        <w:t>Uwaga:</w:t>
      </w:r>
    </w:p>
    <w:p w14:paraId="40650B59" w14:textId="77777777" w:rsidR="0005142E" w:rsidRPr="00271168" w:rsidRDefault="0005142E" w:rsidP="0005142E">
      <w:pPr>
        <w:jc w:val="both"/>
        <w:rPr>
          <w:rFonts w:asciiTheme="minorHAnsi" w:hAnsiTheme="minorHAnsi"/>
        </w:rPr>
      </w:pPr>
      <w:r w:rsidRPr="00271168">
        <w:rPr>
          <w:rFonts w:asciiTheme="minorHAnsi" w:hAnsiTheme="minorHAnsi"/>
        </w:rPr>
        <w:t>Istniejące studnie kanalizacyjne w pasie jezdni należy wyposażyć w zestawy naprawcze</w:t>
      </w:r>
    </w:p>
    <w:p w14:paraId="7F712D4B" w14:textId="77777777" w:rsidR="0005142E" w:rsidRPr="00271168" w:rsidRDefault="0005142E" w:rsidP="0005142E">
      <w:pPr>
        <w:jc w:val="both"/>
        <w:rPr>
          <w:rFonts w:asciiTheme="minorHAnsi" w:hAnsiTheme="minorHAnsi"/>
        </w:rPr>
      </w:pPr>
    </w:p>
    <w:p w14:paraId="3E79BB3B" w14:textId="77777777" w:rsidR="0005142E" w:rsidRPr="00452564" w:rsidRDefault="0005142E" w:rsidP="0005142E">
      <w:pPr>
        <w:pStyle w:val="Akapitzlist"/>
        <w:ind w:left="0"/>
        <w:rPr>
          <w:rFonts w:cs="Tahoma"/>
          <w:u w:val="single"/>
        </w:rPr>
      </w:pPr>
      <w:r w:rsidRPr="00452564">
        <w:rPr>
          <w:rFonts w:cs="Tahoma"/>
          <w:u w:val="single"/>
        </w:rPr>
        <w:t>III Branża oświetleniowa</w:t>
      </w:r>
    </w:p>
    <w:p w14:paraId="5F109242" w14:textId="77777777" w:rsidR="0005142E" w:rsidRPr="00452564" w:rsidRDefault="0005142E" w:rsidP="0005142E">
      <w:pPr>
        <w:pStyle w:val="Akapitzlist"/>
        <w:numPr>
          <w:ilvl w:val="0"/>
          <w:numId w:val="39"/>
        </w:numPr>
        <w:autoSpaceDE w:val="0"/>
        <w:autoSpaceDN w:val="0"/>
        <w:adjustRightInd w:val="0"/>
        <w:spacing w:after="0" w:line="240" w:lineRule="auto"/>
      </w:pPr>
      <w:r w:rsidRPr="00452564">
        <w:t>Ułożenie kabli oświetleniowych –712 m</w:t>
      </w:r>
    </w:p>
    <w:p w14:paraId="19C7E74A" w14:textId="77777777" w:rsidR="0005142E" w:rsidRPr="00452564" w:rsidRDefault="0005142E" w:rsidP="0005142E">
      <w:pPr>
        <w:pStyle w:val="Akapitzlist"/>
        <w:numPr>
          <w:ilvl w:val="0"/>
          <w:numId w:val="39"/>
        </w:numPr>
        <w:autoSpaceDE w:val="0"/>
        <w:autoSpaceDN w:val="0"/>
        <w:adjustRightInd w:val="0"/>
        <w:spacing w:after="0" w:line="240" w:lineRule="auto"/>
      </w:pPr>
      <w:r w:rsidRPr="00452564">
        <w:t xml:space="preserve">Montaż słupów oświetleniowych okrągłych h=10m – kolor aluminium – 17 </w:t>
      </w:r>
      <w:proofErr w:type="spellStart"/>
      <w:r w:rsidRPr="00452564">
        <w:t>szt</w:t>
      </w:r>
      <w:proofErr w:type="spellEnd"/>
    </w:p>
    <w:p w14:paraId="2500B848" w14:textId="77777777" w:rsidR="0005142E" w:rsidRPr="00452564" w:rsidRDefault="0005142E" w:rsidP="0005142E">
      <w:pPr>
        <w:pStyle w:val="Akapitzlist"/>
        <w:autoSpaceDE w:val="0"/>
        <w:autoSpaceDN w:val="0"/>
        <w:adjustRightInd w:val="0"/>
      </w:pPr>
    </w:p>
    <w:p w14:paraId="51A5FFD8" w14:textId="77777777" w:rsidR="0005142E" w:rsidRPr="00A75023" w:rsidRDefault="0005142E" w:rsidP="0005142E">
      <w:pPr>
        <w:jc w:val="both"/>
        <w:rPr>
          <w:rFonts w:asciiTheme="majorHAnsi" w:hAnsiTheme="majorHAnsi" w:cstheme="majorHAnsi"/>
          <w:u w:val="single"/>
        </w:rPr>
      </w:pPr>
      <w:r w:rsidRPr="00A75023">
        <w:rPr>
          <w:rFonts w:asciiTheme="majorHAnsi" w:hAnsiTheme="majorHAnsi" w:cstheme="majorHAnsi"/>
          <w:u w:val="single"/>
        </w:rPr>
        <w:t>IV Do obowiązku i na koszt Wykonawcy należy także:</w:t>
      </w:r>
    </w:p>
    <w:p w14:paraId="6854DE4E" w14:textId="77777777" w:rsidR="0005142E" w:rsidRPr="00064A34" w:rsidRDefault="0005142E" w:rsidP="0005142E">
      <w:pPr>
        <w:pStyle w:val="Akapitzlist"/>
        <w:numPr>
          <w:ilvl w:val="0"/>
          <w:numId w:val="36"/>
        </w:numPr>
        <w:suppressAutoHyphens/>
        <w:spacing w:after="0" w:line="240" w:lineRule="auto"/>
        <w:jc w:val="both"/>
      </w:pPr>
      <w:r w:rsidRPr="00064A34">
        <w:t>badania zagęszczenia gruntu, dostosowane do wymogów projektu technicznego i klasy drogi,</w:t>
      </w:r>
    </w:p>
    <w:p w14:paraId="1AE13233" w14:textId="77777777" w:rsidR="0005142E" w:rsidRPr="00064A34" w:rsidRDefault="0005142E" w:rsidP="0005142E">
      <w:pPr>
        <w:pStyle w:val="Akapitzlist"/>
        <w:numPr>
          <w:ilvl w:val="0"/>
          <w:numId w:val="36"/>
        </w:numPr>
        <w:suppressAutoHyphens/>
        <w:spacing w:after="0" w:line="240" w:lineRule="auto"/>
        <w:jc w:val="both"/>
      </w:pPr>
      <w:r w:rsidRPr="00064A34">
        <w:t xml:space="preserve">opłaty </w:t>
      </w:r>
      <w:proofErr w:type="spellStart"/>
      <w:r w:rsidRPr="00064A34">
        <w:t>składowiskowe</w:t>
      </w:r>
      <w:proofErr w:type="spellEnd"/>
      <w:r w:rsidRPr="00064A34">
        <w:t>, związane z wywozem gruntu i nadmiaru urobku,</w:t>
      </w:r>
    </w:p>
    <w:p w14:paraId="4C4F9C87" w14:textId="77777777" w:rsidR="0005142E" w:rsidRDefault="0005142E" w:rsidP="0005142E">
      <w:pPr>
        <w:pStyle w:val="Akapitzlist"/>
        <w:numPr>
          <w:ilvl w:val="0"/>
          <w:numId w:val="36"/>
        </w:numPr>
        <w:suppressAutoHyphens/>
        <w:spacing w:after="0" w:line="240" w:lineRule="auto"/>
        <w:jc w:val="both"/>
      </w:pPr>
      <w:r w:rsidRPr="00064A34">
        <w:t>opłaty za czasowe składowiska urobku,</w:t>
      </w:r>
    </w:p>
    <w:p w14:paraId="2534C441" w14:textId="77777777" w:rsidR="0005142E" w:rsidRPr="00064A34" w:rsidRDefault="0005142E" w:rsidP="0005142E">
      <w:pPr>
        <w:pStyle w:val="Akapitzlist"/>
        <w:numPr>
          <w:ilvl w:val="0"/>
          <w:numId w:val="36"/>
        </w:numPr>
        <w:suppressAutoHyphens/>
        <w:spacing w:after="0" w:line="240" w:lineRule="auto"/>
        <w:jc w:val="both"/>
      </w:pPr>
      <w:r>
        <w:t>usunięcie kolizji z mediami zgodnie z dokumentacją oraz regulacja istniejącej infrastruktury,</w:t>
      </w:r>
    </w:p>
    <w:p w14:paraId="7459C9F3" w14:textId="77777777" w:rsidR="0005142E" w:rsidRPr="00064A34" w:rsidRDefault="0005142E" w:rsidP="0005142E">
      <w:pPr>
        <w:pStyle w:val="Akapitzlist"/>
        <w:numPr>
          <w:ilvl w:val="0"/>
          <w:numId w:val="36"/>
        </w:numPr>
        <w:suppressAutoHyphens/>
        <w:spacing w:after="0" w:line="240" w:lineRule="auto"/>
        <w:jc w:val="both"/>
      </w:pPr>
      <w:r w:rsidRPr="00064A34">
        <w:t>napraw</w:t>
      </w:r>
      <w:r>
        <w:t>a</w:t>
      </w:r>
      <w:r w:rsidRPr="00064A34">
        <w:t xml:space="preserve"> dróg i ulic zniszczonych w czasie trwania robót przez środki transportu i maszyny budowlane zatrudnione na budowie, oraz pojazdy korzystające z objazdów,</w:t>
      </w:r>
    </w:p>
    <w:p w14:paraId="33A57566" w14:textId="77777777" w:rsidR="0005142E" w:rsidRPr="00064A34" w:rsidRDefault="0005142E" w:rsidP="0005142E">
      <w:pPr>
        <w:pStyle w:val="Akapitzlist"/>
        <w:numPr>
          <w:ilvl w:val="0"/>
          <w:numId w:val="36"/>
        </w:numPr>
        <w:suppressAutoHyphens/>
        <w:spacing w:after="0" w:line="240" w:lineRule="auto"/>
        <w:jc w:val="both"/>
      </w:pPr>
      <w:r w:rsidRPr="00064A34">
        <w:t xml:space="preserve">likwidacja skutków oddziaływania procesu budowlanego na otoczenie budowy, </w:t>
      </w:r>
    </w:p>
    <w:p w14:paraId="6D95A949" w14:textId="77777777" w:rsidR="0005142E" w:rsidRPr="00064A34" w:rsidRDefault="0005142E" w:rsidP="0005142E">
      <w:pPr>
        <w:pStyle w:val="Akapitzlist"/>
        <w:numPr>
          <w:ilvl w:val="0"/>
          <w:numId w:val="36"/>
        </w:numPr>
        <w:suppressAutoHyphens/>
        <w:spacing w:after="0" w:line="240" w:lineRule="auto"/>
        <w:jc w:val="both"/>
      </w:pPr>
      <w:r w:rsidRPr="00064A34">
        <w:t>koszty wycięcia drzew i krzewów,</w:t>
      </w:r>
    </w:p>
    <w:p w14:paraId="218C508E" w14:textId="77777777" w:rsidR="0005142E" w:rsidRPr="00064A34" w:rsidRDefault="0005142E" w:rsidP="0005142E">
      <w:pPr>
        <w:pStyle w:val="Akapitzlist"/>
        <w:numPr>
          <w:ilvl w:val="0"/>
          <w:numId w:val="36"/>
        </w:numPr>
        <w:suppressAutoHyphens/>
        <w:spacing w:after="0" w:line="240" w:lineRule="auto"/>
        <w:jc w:val="both"/>
      </w:pPr>
      <w:r w:rsidRPr="00064A34">
        <w:t>organizacja i zabezpieczenie zaplecza budowy,</w:t>
      </w:r>
    </w:p>
    <w:p w14:paraId="1EFB14F4" w14:textId="77777777" w:rsidR="0005142E" w:rsidRPr="00064A34" w:rsidRDefault="0005142E" w:rsidP="0005142E">
      <w:pPr>
        <w:pStyle w:val="Akapitzlist"/>
        <w:numPr>
          <w:ilvl w:val="0"/>
          <w:numId w:val="36"/>
        </w:numPr>
        <w:suppressAutoHyphens/>
        <w:spacing w:after="0" w:line="240" w:lineRule="auto"/>
        <w:jc w:val="both"/>
      </w:pPr>
      <w:r w:rsidRPr="00064A34">
        <w:t>odszkodowania za zniszczenie upraw i zieleni,</w:t>
      </w:r>
    </w:p>
    <w:p w14:paraId="215FA56A" w14:textId="77777777" w:rsidR="0005142E" w:rsidRPr="00064A34" w:rsidRDefault="0005142E" w:rsidP="0005142E">
      <w:pPr>
        <w:pStyle w:val="Akapitzlist"/>
        <w:numPr>
          <w:ilvl w:val="0"/>
          <w:numId w:val="36"/>
        </w:numPr>
        <w:suppressAutoHyphens/>
        <w:spacing w:after="0" w:line="240" w:lineRule="auto"/>
        <w:jc w:val="both"/>
      </w:pPr>
      <w:r w:rsidRPr="00064A34">
        <w:t>obsługa geodezyjna wraz z inwentaryzacją powykonawczą,</w:t>
      </w:r>
    </w:p>
    <w:p w14:paraId="6D59A600" w14:textId="77777777" w:rsidR="0005142E" w:rsidRPr="00064A34" w:rsidRDefault="0005142E" w:rsidP="0005142E">
      <w:pPr>
        <w:pStyle w:val="Akapitzlist"/>
        <w:numPr>
          <w:ilvl w:val="0"/>
          <w:numId w:val="36"/>
        </w:numPr>
        <w:suppressAutoHyphens/>
        <w:spacing w:after="0" w:line="240" w:lineRule="auto"/>
        <w:jc w:val="both"/>
      </w:pPr>
      <w:r w:rsidRPr="00064A34">
        <w:t>opracowanie i wdrożenie projektu organizacji ruchu drogowego na czas trwania robót,</w:t>
      </w:r>
    </w:p>
    <w:p w14:paraId="23424DAE" w14:textId="77777777" w:rsidR="0005142E" w:rsidRPr="00A75023" w:rsidRDefault="0005142E" w:rsidP="0005142E">
      <w:pPr>
        <w:pStyle w:val="Akapitzlist"/>
        <w:numPr>
          <w:ilvl w:val="0"/>
          <w:numId w:val="36"/>
        </w:numPr>
        <w:suppressAutoHyphens/>
        <w:spacing w:after="0" w:line="240" w:lineRule="auto"/>
        <w:jc w:val="both"/>
        <w:rPr>
          <w:bCs/>
        </w:rPr>
      </w:pPr>
      <w:r w:rsidRPr="00A75023">
        <w:rPr>
          <w:bCs/>
        </w:rPr>
        <w:lastRenderedPageBreak/>
        <w:t>przygotowanie kompletu dokumentów, niezbędnych do zgłoszenia zakończenia budowy w Powiatowym Inspektoracie Nadzoru Budowlanego (atesty i certyfikaty na zastosowane materiały, protokoły odbiorów i inne)</w:t>
      </w:r>
    </w:p>
    <w:p w14:paraId="41AAD378" w14:textId="77777777" w:rsidR="0005142E" w:rsidRPr="00064A34" w:rsidRDefault="0005142E" w:rsidP="0005142E">
      <w:pPr>
        <w:rPr>
          <w:color w:val="FF0000"/>
        </w:rPr>
      </w:pPr>
    </w:p>
    <w:p w14:paraId="517F7277" w14:textId="77777777" w:rsidR="0005142E" w:rsidRPr="0028744D" w:rsidRDefault="0005142E" w:rsidP="0005142E">
      <w:pPr>
        <w:spacing w:after="200"/>
        <w:jc w:val="both"/>
        <w:rPr>
          <w:rFonts w:ascii="Calibri" w:eastAsia="Calibri" w:hAnsi="Calibri"/>
          <w:lang w:eastAsia="en-US"/>
        </w:rPr>
      </w:pPr>
      <w:r w:rsidRPr="0028744D">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21573133" w14:textId="77777777" w:rsidR="0005142E" w:rsidRPr="0028744D" w:rsidRDefault="0005142E" w:rsidP="0005142E">
      <w:pPr>
        <w:spacing w:after="200"/>
        <w:jc w:val="both"/>
        <w:rPr>
          <w:rFonts w:ascii="Calibri" w:eastAsia="Calibri" w:hAnsi="Calibri"/>
          <w:lang w:eastAsia="en-US"/>
        </w:rPr>
      </w:pPr>
      <w:r w:rsidRPr="0028744D">
        <w:rPr>
          <w:rFonts w:ascii="Calibri" w:eastAsia="Calibri" w:hAnsi="Calibri"/>
          <w:lang w:eastAsia="en-US"/>
        </w:rPr>
        <w:t>Wykonawca sporządzi dokumentację powykonawczą.</w:t>
      </w:r>
    </w:p>
    <w:p w14:paraId="1868942D" w14:textId="77777777" w:rsidR="00A75023" w:rsidRDefault="00D012B4" w:rsidP="00A75023">
      <w:pPr>
        <w:spacing w:line="319" w:lineRule="auto"/>
        <w:ind w:left="434"/>
        <w:jc w:val="both"/>
        <w:rPr>
          <w:rFonts w:asciiTheme="majorHAnsi" w:hAnsiTheme="majorHAnsi" w:cstheme="majorHAnsi"/>
        </w:rPr>
      </w:pPr>
      <w:r w:rsidRPr="0085770A">
        <w:rPr>
          <w:rFonts w:asciiTheme="majorHAnsi" w:hAnsiTheme="majorHAnsi" w:cstheme="majorHAnsi"/>
        </w:rPr>
        <w:t xml:space="preserve">Wspólny Słownik Zamówień (CPV):  </w:t>
      </w:r>
    </w:p>
    <w:p w14:paraId="0337B81D" w14:textId="37C4B7D5" w:rsidR="00A75023" w:rsidRPr="00915904" w:rsidRDefault="00A75023" w:rsidP="00A75023">
      <w:pPr>
        <w:spacing w:line="319" w:lineRule="auto"/>
        <w:ind w:left="434"/>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8A3C74">
        <w:rPr>
          <w:rFonts w:asciiTheme="majorHAnsi" w:eastAsia="Times New Roman" w:hAnsiTheme="majorHAnsi" w:cstheme="majorHAnsi"/>
          <w:bCs/>
        </w:rPr>
        <w:t>.</w:t>
      </w:r>
      <w:r w:rsidRPr="00915904">
        <w:rPr>
          <w:rFonts w:asciiTheme="majorHAnsi" w:eastAsia="Times New Roman" w:hAnsiTheme="majorHAnsi" w:cstheme="majorHAnsi"/>
          <w:bCs/>
        </w:rPr>
        <w:t>11</w:t>
      </w:r>
      <w:r w:rsidR="008A3C74">
        <w:rPr>
          <w:rFonts w:asciiTheme="majorHAnsi" w:eastAsia="Times New Roman" w:hAnsiTheme="majorHAnsi" w:cstheme="majorHAnsi"/>
          <w:bCs/>
        </w:rPr>
        <w:t>.</w:t>
      </w:r>
      <w:r w:rsidRPr="00915904">
        <w:rPr>
          <w:rFonts w:asciiTheme="majorHAnsi" w:eastAsia="Times New Roman" w:hAnsiTheme="majorHAnsi" w:cstheme="majorHAnsi"/>
          <w:bCs/>
        </w:rPr>
        <w:t>12</w:t>
      </w:r>
      <w:r w:rsidR="008A3C74">
        <w:rPr>
          <w:rFonts w:asciiTheme="majorHAnsi" w:eastAsia="Times New Roman" w:hAnsiTheme="majorHAnsi" w:cstheme="majorHAnsi"/>
          <w:bCs/>
        </w:rPr>
        <w:t>.</w:t>
      </w:r>
      <w:r w:rsidRPr="00915904">
        <w:rPr>
          <w:rFonts w:asciiTheme="majorHAnsi" w:eastAsia="Times New Roman" w:hAnsiTheme="majorHAnsi" w:cstheme="majorHAnsi"/>
          <w:bCs/>
        </w:rPr>
        <w:t>00</w:t>
      </w:r>
      <w:r>
        <w:rPr>
          <w:rFonts w:asciiTheme="majorHAnsi" w:eastAsia="Times New Roman" w:hAnsiTheme="majorHAnsi" w:cstheme="majorHAnsi"/>
          <w:bCs/>
        </w:rPr>
        <w:t xml:space="preserve"> </w:t>
      </w:r>
      <w:r w:rsidR="008A3C74">
        <w:rPr>
          <w:rFonts w:asciiTheme="majorHAnsi" w:eastAsia="Times New Roman" w:hAnsiTheme="majorHAnsi" w:cstheme="majorHAnsi"/>
          <w:bCs/>
        </w:rPr>
        <w:t xml:space="preserve"> </w:t>
      </w:r>
      <w:r w:rsidRPr="00915904">
        <w:rPr>
          <w:rFonts w:asciiTheme="majorHAnsi" w:eastAsia="Times New Roman" w:hAnsiTheme="majorHAnsi" w:cstheme="majorHAnsi"/>
          <w:bCs/>
        </w:rPr>
        <w:t>-</w:t>
      </w:r>
      <w:r>
        <w:rPr>
          <w:rFonts w:asciiTheme="majorHAnsi" w:eastAsia="Times New Roman" w:hAnsiTheme="majorHAnsi" w:cstheme="majorHAnsi"/>
          <w:bCs/>
        </w:rPr>
        <w:t xml:space="preserve"> </w:t>
      </w:r>
      <w:r w:rsidR="008A3C74">
        <w:rPr>
          <w:rFonts w:asciiTheme="majorHAnsi" w:eastAsia="Times New Roman" w:hAnsiTheme="majorHAnsi" w:cstheme="majorHAnsi"/>
          <w:bCs/>
        </w:rPr>
        <w:t xml:space="preserve"> </w:t>
      </w:r>
      <w:r w:rsidRPr="00915904">
        <w:rPr>
          <w:rFonts w:asciiTheme="majorHAnsi" w:eastAsia="Times New Roman" w:hAnsiTheme="majorHAnsi" w:cstheme="majorHAnsi"/>
          <w:bCs/>
        </w:rPr>
        <w:t>0 Roboty w zakresie przygotowywania terenu pod budowę i roboty ziemne</w:t>
      </w:r>
    </w:p>
    <w:p w14:paraId="0B9EE909" w14:textId="2EFCCF5C" w:rsidR="00A75023" w:rsidRPr="00915904" w:rsidRDefault="00A75023" w:rsidP="00A75023">
      <w:pPr>
        <w:spacing w:line="319" w:lineRule="auto"/>
        <w:ind w:left="434"/>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8A3C74">
        <w:rPr>
          <w:rFonts w:asciiTheme="majorHAnsi" w:eastAsia="Times New Roman" w:hAnsiTheme="majorHAnsi" w:cstheme="majorHAnsi"/>
          <w:bCs/>
        </w:rPr>
        <w:t>.</w:t>
      </w:r>
      <w:r w:rsidRPr="00915904">
        <w:rPr>
          <w:rFonts w:asciiTheme="majorHAnsi" w:eastAsia="Times New Roman" w:hAnsiTheme="majorHAnsi" w:cstheme="majorHAnsi"/>
          <w:bCs/>
        </w:rPr>
        <w:t>23</w:t>
      </w:r>
      <w:r w:rsidR="008A3C74">
        <w:rPr>
          <w:rFonts w:asciiTheme="majorHAnsi" w:eastAsia="Times New Roman" w:hAnsiTheme="majorHAnsi" w:cstheme="majorHAnsi"/>
          <w:bCs/>
        </w:rPr>
        <w:t>.</w:t>
      </w:r>
      <w:r w:rsidRPr="00915904">
        <w:rPr>
          <w:rFonts w:asciiTheme="majorHAnsi" w:eastAsia="Times New Roman" w:hAnsiTheme="majorHAnsi" w:cstheme="majorHAnsi"/>
          <w:bCs/>
        </w:rPr>
        <w:t>32</w:t>
      </w:r>
      <w:r w:rsidR="008A3C74">
        <w:rPr>
          <w:rFonts w:asciiTheme="majorHAnsi" w:eastAsia="Times New Roman" w:hAnsiTheme="majorHAnsi" w:cstheme="majorHAnsi"/>
          <w:bCs/>
        </w:rPr>
        <w:t>.</w:t>
      </w:r>
      <w:r w:rsidRPr="00915904">
        <w:rPr>
          <w:rFonts w:asciiTheme="majorHAnsi" w:eastAsia="Times New Roman" w:hAnsiTheme="majorHAnsi" w:cstheme="majorHAnsi"/>
          <w:bCs/>
        </w:rPr>
        <w:t>52</w:t>
      </w:r>
      <w:r>
        <w:rPr>
          <w:rFonts w:asciiTheme="majorHAnsi" w:eastAsia="Times New Roman" w:hAnsiTheme="majorHAnsi" w:cstheme="majorHAnsi"/>
          <w:bCs/>
        </w:rPr>
        <w:t xml:space="preserve"> </w:t>
      </w:r>
      <w:r w:rsidRPr="00915904">
        <w:rPr>
          <w:rFonts w:asciiTheme="majorHAnsi" w:eastAsia="Times New Roman" w:hAnsiTheme="majorHAnsi" w:cstheme="majorHAnsi"/>
          <w:bCs/>
        </w:rPr>
        <w:t>-</w:t>
      </w:r>
      <w:r>
        <w:rPr>
          <w:rFonts w:asciiTheme="majorHAnsi" w:eastAsia="Times New Roman" w:hAnsiTheme="majorHAnsi" w:cstheme="majorHAnsi"/>
          <w:bCs/>
        </w:rPr>
        <w:t xml:space="preserve"> </w:t>
      </w:r>
      <w:r w:rsidR="008A3C74">
        <w:rPr>
          <w:rFonts w:asciiTheme="majorHAnsi" w:eastAsia="Times New Roman" w:hAnsiTheme="majorHAnsi" w:cstheme="majorHAnsi"/>
          <w:bCs/>
        </w:rPr>
        <w:t xml:space="preserve"> </w:t>
      </w:r>
      <w:r w:rsidRPr="00915904">
        <w:rPr>
          <w:rFonts w:asciiTheme="majorHAnsi" w:eastAsia="Times New Roman" w:hAnsiTheme="majorHAnsi" w:cstheme="majorHAnsi"/>
          <w:bCs/>
        </w:rPr>
        <w:t>0 Roboty w zakresie nawierzchni ulic</w:t>
      </w:r>
    </w:p>
    <w:p w14:paraId="00020DA4" w14:textId="0FA2A685" w:rsidR="0085770A" w:rsidRPr="008A3C74" w:rsidRDefault="00A75023" w:rsidP="008A3C74">
      <w:pPr>
        <w:pStyle w:val="Akapitzlist"/>
        <w:numPr>
          <w:ilvl w:val="3"/>
          <w:numId w:val="41"/>
        </w:numPr>
        <w:tabs>
          <w:tab w:val="left" w:pos="284"/>
        </w:tabs>
        <w:ind w:left="404" w:firstLine="22"/>
        <w:rPr>
          <w:lang w:eastAsia="ar-SA"/>
        </w:rPr>
      </w:pPr>
      <w:r w:rsidRPr="008A3C74">
        <w:rPr>
          <w:rFonts w:asciiTheme="majorHAnsi" w:eastAsia="Times New Roman" w:hAnsiTheme="majorHAnsi" w:cstheme="majorHAnsi"/>
          <w:bCs/>
        </w:rPr>
        <w:t>7 Roboty w zakresie nawierzchni dróg dla pieszych</w:t>
      </w:r>
      <w:r w:rsidR="008A3C74">
        <w:rPr>
          <w:rFonts w:asciiTheme="majorHAnsi" w:eastAsia="Times New Roman" w:hAnsiTheme="majorHAnsi" w:cstheme="majorHAnsi"/>
          <w:bCs/>
        </w:rPr>
        <w:br/>
      </w:r>
      <w:r w:rsidR="008A3C74" w:rsidRPr="008A3C74">
        <w:rPr>
          <w:lang w:eastAsia="ar-SA"/>
        </w:rPr>
        <w:t xml:space="preserve">45.23.14.00 - 9 Roboty budowlane w zakresie budowy linii energetycznych  </w:t>
      </w:r>
    </w:p>
    <w:p w14:paraId="4F5C1042" w14:textId="733C4849" w:rsidR="0045658C" w:rsidRPr="00C71C19" w:rsidRDefault="0069492E" w:rsidP="0069492E">
      <w:pPr>
        <w:spacing w:line="319" w:lineRule="auto"/>
        <w:jc w:val="both"/>
        <w:rPr>
          <w:rFonts w:asciiTheme="majorHAnsi" w:hAnsiTheme="majorHAnsi" w:cstheme="majorHAnsi"/>
        </w:rPr>
      </w:pPr>
      <w:bookmarkStart w:id="8" w:name="_Hlk66442564"/>
      <w:r w:rsidRPr="00C71C19">
        <w:rPr>
          <w:rFonts w:asciiTheme="majorHAnsi" w:hAnsiTheme="majorHAnsi" w:cstheme="majorHAnsi"/>
        </w:rPr>
        <w:t>3.</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2F6E2DAD"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44E88950" w14:textId="77777777" w:rsidR="00471433" w:rsidRPr="00326F74" w:rsidRDefault="00471433" w:rsidP="001904E0">
      <w:pPr>
        <w:pStyle w:val="Akapitzlist"/>
        <w:numPr>
          <w:ilvl w:val="0"/>
          <w:numId w:val="26"/>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Rozwiązania równoważne.</w:t>
      </w:r>
    </w:p>
    <w:p w14:paraId="04990C83" w14:textId="77777777" w:rsidR="00EF76F4" w:rsidRDefault="003C331F" w:rsidP="00326F74">
      <w:pPr>
        <w:pStyle w:val="Akapitzlist"/>
        <w:tabs>
          <w:tab w:val="left" w:pos="426"/>
        </w:tabs>
        <w:spacing w:after="0" w:line="360" w:lineRule="auto"/>
        <w:ind w:left="0"/>
        <w:jc w:val="both"/>
        <w:rPr>
          <w:rFonts w:asciiTheme="majorHAnsi" w:hAnsiTheme="majorHAnsi" w:cstheme="majorHAnsi"/>
          <w:lang w:eastAsia="zh-CN"/>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w:t>
      </w:r>
      <w:r w:rsidRPr="00326F74">
        <w:rPr>
          <w:rFonts w:asciiTheme="majorHAnsi" w:hAnsiTheme="majorHAnsi" w:cstheme="majorHAnsi"/>
          <w:lang w:eastAsia="zh-CN"/>
        </w:rPr>
        <w:lastRenderedPageBreak/>
        <w:t xml:space="preserve">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2222EA">
      <w:pPr>
        <w:pStyle w:val="Akapitzlist"/>
        <w:numPr>
          <w:ilvl w:val="0"/>
          <w:numId w:val="6"/>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7D53D0">
      <w:pPr>
        <w:pStyle w:val="Akapitzlist"/>
        <w:spacing w:after="0" w:line="240" w:lineRule="auto"/>
        <w:ind w:left="453"/>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00000080" w14:textId="03AEC8F6" w:rsidR="001C5D72" w:rsidRPr="00C71C19" w:rsidRDefault="00EF76F4" w:rsidP="007D53D0">
      <w:pPr>
        <w:pStyle w:val="Akapitzlist"/>
        <w:spacing w:after="0" w:line="240" w:lineRule="auto"/>
        <w:ind w:left="453"/>
        <w:jc w:val="both"/>
        <w:rPr>
          <w:rFonts w:asciiTheme="majorHAnsi" w:hAnsiTheme="majorHAnsi" w:cstheme="majorHAnsi"/>
          <w:sz w:val="24"/>
          <w:szCs w:val="24"/>
        </w:rPr>
      </w:pPr>
      <w:r w:rsidRPr="007D53D0">
        <w:rPr>
          <w:rFonts w:asciiTheme="majorHAnsi" w:hAnsiTheme="majorHAnsi" w:cstheme="majorHAnsi"/>
          <w:b/>
          <w:bCs/>
          <w:sz w:val="24"/>
          <w:szCs w:val="24"/>
        </w:rPr>
        <w:br/>
      </w:r>
      <w:r w:rsidR="007D53D0" w:rsidRPr="00C71C19">
        <w:rPr>
          <w:rFonts w:asciiTheme="majorHAnsi" w:hAnsiTheme="majorHAnsi" w:cstheme="majorHAnsi"/>
          <w:sz w:val="24"/>
          <w:szCs w:val="24"/>
        </w:rPr>
        <w:t>6</w:t>
      </w:r>
      <w:r w:rsidR="0005142E" w:rsidRPr="00C71C19">
        <w:rPr>
          <w:rFonts w:asciiTheme="majorHAnsi" w:hAnsiTheme="majorHAnsi" w:cstheme="majorHAnsi"/>
          <w:sz w:val="24"/>
          <w:szCs w:val="24"/>
        </w:rPr>
        <w:t xml:space="preserve"> m-</w:t>
      </w:r>
      <w:proofErr w:type="spellStart"/>
      <w:r w:rsidR="0005142E" w:rsidRPr="00C71C19">
        <w:rPr>
          <w:rFonts w:asciiTheme="majorHAnsi" w:hAnsiTheme="majorHAnsi" w:cstheme="majorHAnsi"/>
          <w:sz w:val="24"/>
          <w:szCs w:val="24"/>
        </w:rPr>
        <w:t>cy</w:t>
      </w:r>
      <w:proofErr w:type="spellEnd"/>
      <w:r w:rsidR="0005142E" w:rsidRPr="00C71C19">
        <w:rPr>
          <w:rFonts w:asciiTheme="majorHAnsi" w:hAnsiTheme="majorHAnsi" w:cstheme="majorHAnsi"/>
          <w:sz w:val="24"/>
          <w:szCs w:val="24"/>
        </w:rPr>
        <w:t xml:space="preserve"> </w:t>
      </w:r>
      <w:r w:rsidR="006B6890" w:rsidRPr="00C71C19">
        <w:rPr>
          <w:rFonts w:asciiTheme="majorHAnsi" w:eastAsia="Times New Roman" w:hAnsiTheme="majorHAnsi" w:cstheme="majorHAnsi"/>
          <w:sz w:val="24"/>
          <w:szCs w:val="24"/>
        </w:rPr>
        <w:t xml:space="preserve"> od daty podpisania umowy</w:t>
      </w:r>
      <w:r w:rsidR="00FD5FF7" w:rsidRPr="00C71C19">
        <w:rPr>
          <w:rFonts w:asciiTheme="majorHAnsi" w:eastAsia="Times New Roman" w:hAnsiTheme="majorHAnsi" w:cstheme="majorHAnsi"/>
          <w:sz w:val="24"/>
          <w:szCs w:val="24"/>
        </w:rPr>
        <w:t>.</w:t>
      </w:r>
    </w:p>
    <w:p w14:paraId="7A7E3610" w14:textId="77777777" w:rsidR="007D53D0" w:rsidRDefault="007D53D0" w:rsidP="00C27275">
      <w:pPr>
        <w:keepNext/>
        <w:keepLines/>
        <w:tabs>
          <w:tab w:val="left" w:pos="0"/>
        </w:tabs>
        <w:rPr>
          <w:rFonts w:ascii="Calibri" w:eastAsia="Calibri" w:hAnsi="Calibri" w:cs="Calibri"/>
          <w:sz w:val="24"/>
        </w:rPr>
      </w:pPr>
      <w:bookmarkStart w:id="12" w:name="_Toc65495853"/>
      <w:r>
        <w:rPr>
          <w:rFonts w:asciiTheme="majorHAnsi" w:hAnsiTheme="majorHAnsi" w:cstheme="majorHAnsi"/>
          <w:b/>
          <w:bCs/>
          <w:sz w:val="24"/>
          <w:szCs w:val="24"/>
        </w:rPr>
        <w:br/>
      </w:r>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C27275">
      <w:pPr>
        <w:numPr>
          <w:ilvl w:val="0"/>
          <w:numId w:val="33"/>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lastRenderedPageBreak/>
        <w:t>Zamawiający nie określa warunku w powyższym zakresie.</w:t>
      </w:r>
    </w:p>
    <w:p w14:paraId="5544A09E" w14:textId="77777777" w:rsidR="00C27275" w:rsidRDefault="00C27275" w:rsidP="00C27275">
      <w:pPr>
        <w:numPr>
          <w:ilvl w:val="0"/>
          <w:numId w:val="34"/>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C27275">
      <w:pPr>
        <w:numPr>
          <w:ilvl w:val="0"/>
          <w:numId w:val="35"/>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7505557D" w:rsidR="00C27275" w:rsidRDefault="007D53D0" w:rsidP="00C27275">
      <w:pPr>
        <w:numPr>
          <w:ilvl w:val="0"/>
          <w:numId w:val="35"/>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77777777" w:rsidR="00C27275" w:rsidRDefault="00C27275" w:rsidP="00C27275">
      <w:pPr>
        <w:ind w:right="20"/>
        <w:jc w:val="both"/>
        <w:rPr>
          <w:rFonts w:ascii="Calibri" w:eastAsia="Calibri" w:hAnsi="Calibri" w:cs="Calibri"/>
          <w:sz w:val="24"/>
        </w:rPr>
      </w:pPr>
      <w:r>
        <w:rPr>
          <w:rFonts w:ascii="Calibri" w:eastAsia="Calibri" w:hAnsi="Calibri" w:cs="Calibri"/>
          <w:b/>
          <w:sz w:val="24"/>
        </w:rPr>
        <w:t xml:space="preserve">       4)</w:t>
      </w:r>
      <w:r>
        <w:rPr>
          <w:rFonts w:ascii="Calibri" w:eastAsia="Calibri" w:hAnsi="Calibri" w:cs="Calibri"/>
          <w:sz w:val="24"/>
        </w:rPr>
        <w:t xml:space="preserve"> </w:t>
      </w:r>
      <w:r>
        <w:rPr>
          <w:rFonts w:ascii="Calibri" w:eastAsia="Calibri" w:hAnsi="Calibri" w:cs="Calibri"/>
          <w:b/>
          <w:sz w:val="24"/>
        </w:rPr>
        <w:t>zdolności technicznej lub zawodowej:</w:t>
      </w:r>
    </w:p>
    <w:p w14:paraId="58693DDB" w14:textId="631606FF" w:rsidR="00C27275" w:rsidRDefault="00C27275" w:rsidP="00C27275">
      <w:pPr>
        <w:spacing w:line="360" w:lineRule="auto"/>
        <w:ind w:left="786"/>
        <w:jc w:val="both"/>
        <w:rPr>
          <w:rFonts w:ascii="Calibri" w:eastAsia="Calibri" w:hAnsi="Calibri" w:cs="Calibri"/>
          <w:color w:val="000000"/>
        </w:rPr>
      </w:pPr>
      <w:r>
        <w:rPr>
          <w:rFonts w:ascii="Calibri" w:eastAsia="Calibri" w:hAnsi="Calibri" w:cs="Calibri"/>
          <w:b/>
          <w:sz w:val="24"/>
        </w:rPr>
        <w:t xml:space="preserve">a) Warunek dotyczący zdolności technicznej </w:t>
      </w:r>
      <w:r w:rsidR="00F62D2F">
        <w:rPr>
          <w:rFonts w:ascii="Calibri" w:eastAsia="Calibri" w:hAnsi="Calibri" w:cs="Calibri"/>
          <w:b/>
          <w:sz w:val="24"/>
        </w:rPr>
        <w:t>i zawodowej  z</w:t>
      </w:r>
      <w:r>
        <w:rPr>
          <w:rFonts w:ascii="Calibri" w:eastAsia="Calibri" w:hAnsi="Calibri" w:cs="Calibri"/>
          <w:sz w:val="24"/>
        </w:rPr>
        <w:t xml:space="preserve">ostanie spełniony, jeżeli Wykonawca wykaże, że  wykonał  w sposób należyty oraz zgodnie z zasadami sztuki budowlanej i prawidłowo ukończone w okresie ostatnich pięciu lat przed upływem terminu składania ofert, a jeżeli okres prowadzenia działalności jest krótszy – w tym okresie co najmniej 1 robotę budowlaną </w:t>
      </w:r>
      <w:r w:rsidR="009123F7">
        <w:rPr>
          <w:rFonts w:ascii="Calibri" w:eastAsia="Calibri" w:hAnsi="Calibri" w:cs="Calibri"/>
          <w:sz w:val="24"/>
        </w:rPr>
        <w:t>polegającą na budowie, przebudowie, rozbudowie drogi, chodnika</w:t>
      </w:r>
      <w:r w:rsidR="00C71C19">
        <w:rPr>
          <w:rFonts w:ascii="Calibri" w:eastAsia="Calibri" w:hAnsi="Calibri" w:cs="Calibri"/>
          <w:sz w:val="24"/>
        </w:rPr>
        <w:t xml:space="preserve"> wartości co najmniej </w:t>
      </w:r>
      <w:r w:rsidR="009123F7">
        <w:rPr>
          <w:rFonts w:ascii="Calibri" w:eastAsia="Calibri" w:hAnsi="Calibri" w:cs="Calibri"/>
          <w:sz w:val="24"/>
        </w:rPr>
        <w:t>800</w:t>
      </w:r>
      <w:r w:rsidR="00C71C19">
        <w:rPr>
          <w:rFonts w:ascii="Calibri" w:eastAsia="Calibri" w:hAnsi="Calibri" w:cs="Calibri"/>
          <w:sz w:val="24"/>
        </w:rPr>
        <w:t>.000,00 zł brutto.</w:t>
      </w:r>
      <w:r w:rsidR="009123F7">
        <w:rPr>
          <w:rFonts w:ascii="Calibri" w:eastAsia="Calibri" w:hAnsi="Calibri" w:cs="Calibri"/>
          <w:sz w:val="24"/>
        </w:rPr>
        <w:br/>
      </w:r>
    </w:p>
    <w:p w14:paraId="0000008F" w14:textId="5569493F"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4" w:name="_Toc65495854"/>
      <w:r w:rsidRPr="0039496C">
        <w:rPr>
          <w:rFonts w:asciiTheme="majorHAnsi" w:hAnsiTheme="majorHAnsi" w:cstheme="majorHAnsi"/>
          <w:b/>
          <w:bCs/>
          <w:sz w:val="24"/>
          <w:szCs w:val="24"/>
        </w:rPr>
        <w:t>IX. PODSTAWY WYKLUCZENIA Z POSTĘPOWANIA</w:t>
      </w:r>
      <w:bookmarkEnd w:id="14"/>
    </w:p>
    <w:p w14:paraId="00000090" w14:textId="1E876929"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r w:rsidR="009123F7">
        <w:rPr>
          <w:rFonts w:asciiTheme="majorHAnsi" w:hAnsiTheme="majorHAnsi" w:cstheme="majorHAnsi"/>
        </w:rPr>
        <w:t xml:space="preserve"> w</w:t>
      </w:r>
      <w:r w:rsidRPr="00A258D6">
        <w:rPr>
          <w:rFonts w:asciiTheme="majorHAnsi" w:hAnsiTheme="majorHAnsi" w:cstheme="majorHAnsi"/>
        </w:rPr>
        <w:t>:</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3"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0F580EC5"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4"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5"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8"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06F026D0" w:rsidR="001C5D72" w:rsidRPr="00A258D6" w:rsidRDefault="00102D43" w:rsidP="001904E0">
      <w:pPr>
        <w:numPr>
          <w:ilvl w:val="0"/>
          <w:numId w:val="1"/>
        </w:numPr>
        <w:spacing w:line="319" w:lineRule="auto"/>
        <w:ind w:left="426"/>
        <w:jc w:val="both"/>
        <w:rPr>
          <w:rFonts w:asciiTheme="majorHAnsi" w:hAnsiTheme="majorHAnsi" w:cstheme="majorHAnsi"/>
        </w:rPr>
      </w:pPr>
      <w:r>
        <w:rPr>
          <w:rFonts w:asciiTheme="majorHAnsi" w:hAnsiTheme="majorHAnsi" w:cstheme="majorHAnsi"/>
        </w:rPr>
        <w:t>Zamawiający nie przewiduje fakultatywnych przesłanek wykluczenia z udziału w postepowaniu.</w:t>
      </w:r>
      <w:r>
        <w:rPr>
          <w:rFonts w:asciiTheme="majorHAnsi" w:hAnsiTheme="majorHAnsi" w:cstheme="majorHAnsi"/>
        </w:rPr>
        <w:br/>
      </w:r>
      <w:r w:rsidR="00FC4AB9"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1904E0">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7A53EB">
      <w:pPr>
        <w:pStyle w:val="Akapitzlist"/>
        <w:numPr>
          <w:ilvl w:val="3"/>
          <w:numId w:val="1"/>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34CB637" w14:textId="6B4C56AA" w:rsidR="00C27275" w:rsidRPr="00597488" w:rsidRDefault="00C71C19" w:rsidP="007A53EB">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oświadczenie o spełnianiu warunków udziału w postępowaniu</w:t>
      </w:r>
      <w:r w:rsidR="00D24CD4">
        <w:rPr>
          <w:rFonts w:asciiTheme="majorHAnsi" w:hAnsiTheme="majorHAnsi" w:cstheme="majorHAnsi"/>
          <w:color w:val="000000"/>
          <w:sz w:val="24"/>
        </w:rPr>
        <w:t xml:space="preserve"> </w:t>
      </w:r>
      <w:bookmarkStart w:id="16"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16"/>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r w:rsidR="009A6C15" w:rsidRPr="009A6C15">
        <w:rPr>
          <w:rFonts w:asciiTheme="majorHAnsi" w:hAnsiTheme="majorHAnsi" w:cstheme="majorHAnsi"/>
          <w:i/>
          <w:iCs/>
          <w:sz w:val="24"/>
          <w:szCs w:val="24"/>
        </w:rPr>
        <w:t>Załącznik nr 3 do SWZ</w:t>
      </w:r>
      <w:r w:rsidR="00597488">
        <w:br/>
      </w:r>
      <w:r w:rsidR="00597488" w:rsidRPr="00597488">
        <w:rPr>
          <w:rFonts w:asciiTheme="majorHAnsi" w:hAnsiTheme="majorHAnsi" w:cstheme="majorHAnsi"/>
          <w:color w:val="000000"/>
          <w:sz w:val="24"/>
        </w:rPr>
        <w:t xml:space="preserve">Wykonawca, który zamierza powierzyć wykonanie części zamówienia podwykonawcom, w celu wykazania braku istnienia wobec nich podstaw wykluczenia z udziału w postępowaniu </w:t>
      </w:r>
      <w:r w:rsidR="00597488" w:rsidRPr="00597488">
        <w:rPr>
          <w:rFonts w:asciiTheme="majorHAnsi" w:hAnsiTheme="majorHAnsi" w:cstheme="majorHAnsi"/>
          <w:color w:val="000000"/>
          <w:sz w:val="24"/>
        </w:rPr>
        <w:lastRenderedPageBreak/>
        <w:t>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00597488"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sidR="00597488">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7A53EB">
        <w:rPr>
          <w:rFonts w:cs="Calibri"/>
          <w:color w:val="000000"/>
          <w:sz w:val="24"/>
        </w:rPr>
        <w:t xml:space="preserve">2.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38562FA" w:rsidR="00C27275" w:rsidRPr="00D03EEF" w:rsidRDefault="00D03EEF" w:rsidP="00D03EEF">
      <w:pPr>
        <w:spacing w:line="360" w:lineRule="auto"/>
        <w:jc w:val="both"/>
        <w:rPr>
          <w:rFonts w:asciiTheme="majorHAnsi" w:hAnsiTheme="majorHAnsi" w:cstheme="majorHAnsi"/>
          <w:color w:val="000000"/>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03EEF">
        <w:rPr>
          <w:rFonts w:asciiTheme="majorHAnsi" w:hAnsiTheme="majorHAnsi" w:cstheme="majorHAnsi"/>
          <w:i/>
          <w:color w:val="000000"/>
        </w:rPr>
        <w:t xml:space="preserve">załącznik nr </w:t>
      </w:r>
      <w:r>
        <w:rPr>
          <w:rFonts w:asciiTheme="majorHAnsi" w:hAnsiTheme="majorHAnsi" w:cstheme="majorHAnsi"/>
          <w:i/>
          <w:color w:val="000000"/>
        </w:rPr>
        <w:t>4</w:t>
      </w:r>
      <w:r w:rsidR="00C27275" w:rsidRPr="00D03EEF">
        <w:rPr>
          <w:rFonts w:asciiTheme="majorHAnsi" w:hAnsiTheme="majorHAnsi" w:cstheme="majorHAnsi"/>
          <w:i/>
          <w:color w:val="000000"/>
        </w:rPr>
        <w:t xml:space="preserve"> do SWZ</w:t>
      </w:r>
    </w:p>
    <w:p w14:paraId="7DECA4D4" w14:textId="10D9F835" w:rsidR="00C27275" w:rsidRPr="00673D68"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1904E0">
      <w:pPr>
        <w:numPr>
          <w:ilvl w:val="3"/>
          <w:numId w:val="27"/>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19"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52EDB1C"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6C7710EC"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0" w:name="_Hlk63772459"/>
      <w:r w:rsidRPr="00A258D6">
        <w:rPr>
          <w:rFonts w:asciiTheme="majorHAnsi" w:hAnsiTheme="majorHAnsi" w:cstheme="majorHAnsi"/>
        </w:rPr>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F75B4">
        <w:rPr>
          <w:rFonts w:asciiTheme="majorHAnsi" w:hAnsiTheme="majorHAnsi" w:cstheme="majorHAnsi"/>
          <w:i/>
          <w:iCs/>
        </w:rPr>
        <w:t>załącznik nr</w:t>
      </w:r>
      <w:r w:rsidR="00793A18" w:rsidRPr="00EF75B4">
        <w:rPr>
          <w:rFonts w:asciiTheme="majorHAnsi" w:hAnsiTheme="majorHAnsi" w:cstheme="majorHAnsi"/>
          <w:i/>
          <w:iCs/>
        </w:rPr>
        <w:t xml:space="preserve"> </w:t>
      </w:r>
      <w:r w:rsidR="00EF75B4" w:rsidRPr="00EF75B4">
        <w:rPr>
          <w:rFonts w:asciiTheme="majorHAnsi" w:hAnsiTheme="majorHAnsi" w:cstheme="majorHAnsi"/>
          <w:i/>
          <w:iCs/>
        </w:rPr>
        <w:t>6</w:t>
      </w:r>
      <w:r w:rsidR="00793A18" w:rsidRPr="00EF75B4">
        <w:rPr>
          <w:rFonts w:asciiTheme="majorHAnsi" w:hAnsiTheme="majorHAnsi" w:cstheme="majorHAnsi"/>
          <w:i/>
          <w:iCs/>
        </w:rPr>
        <w:t xml:space="preserve"> </w:t>
      </w:r>
      <w:r w:rsidR="00C35BEF" w:rsidRPr="00EF75B4">
        <w:rPr>
          <w:rFonts w:asciiTheme="majorHAnsi" w:hAnsiTheme="majorHAnsi" w:cstheme="majorHAnsi"/>
          <w:i/>
          <w:iCs/>
        </w:rPr>
        <w:t xml:space="preserve"> do SWZ.</w:t>
      </w:r>
    </w:p>
    <w:bookmarkEnd w:id="20"/>
    <w:bookmarkEnd w:id="21"/>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227D3E84" w14:textId="6C29D7CD"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4032FF86" w:rsidR="00963D1E" w:rsidRPr="00963D1E" w:rsidRDefault="00102D43"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Leopold Wiorek</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hyperlink r:id="rId26" w:history="1">
        <w:r w:rsidR="001F1189" w:rsidRPr="00E72CAD">
          <w:rPr>
            <w:rStyle w:val="Hipercze"/>
            <w:rFonts w:asciiTheme="majorHAnsi" w:hAnsiTheme="majorHAnsi" w:cstheme="majorHAnsi"/>
            <w:b/>
            <w:bCs/>
            <w:lang w:val="pl-PL"/>
          </w:rPr>
          <w:t>Leopold.wiorek@rokietnica.pl</w:t>
        </w:r>
      </w:hyperlink>
      <w:r w:rsidR="001F1189">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32AC44A5"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7"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5"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komunikację  za pośrednictwem poczty elektronicznej. Adres poczty elektronicznej osoby uprawnionej do kontaktu z Wykonawcami:</w:t>
      </w:r>
      <w:r w:rsidR="00CC4F47">
        <w:rPr>
          <w:rFonts w:asciiTheme="majorHAnsi" w:hAnsiTheme="majorHAnsi" w:cstheme="majorHAnsi"/>
        </w:rPr>
        <w:t xml:space="preserve"> halina.wroniecka@rokietnica.pl</w:t>
      </w:r>
      <w:r w:rsidR="00CC4F47" w:rsidRPr="00A258D6">
        <w:rPr>
          <w:rFonts w:asciiTheme="majorHAnsi" w:hAnsiTheme="majorHAnsi" w:cstheme="majorHAnsi"/>
        </w:rPr>
        <w:t xml:space="preserve"> </w:t>
      </w:r>
    </w:p>
    <w:bookmarkEnd w:id="25"/>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9">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0">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6"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 xml:space="preserve">z platformazakupowa.pl z informacją na temat złożonej oferty. Uwaga! W przypadku składania kolejnej oferty i wycofaniu poprzedniej, jeżeli użytkownik nie jest zalogowany to do jego </w:t>
      </w:r>
      <w:r w:rsidRPr="00A258D6">
        <w:rPr>
          <w:rFonts w:asciiTheme="majorHAnsi" w:hAnsiTheme="majorHAnsi" w:cstheme="majorHAnsi"/>
        </w:rPr>
        <w:lastRenderedPageBreak/>
        <w:t>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6"/>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 xml:space="preserve">z dnia 9 listopada 2017 r. w sprawie ogłoszenia jednolitego tekstu rozporządzenia Rady Ministrów w sprawie Krajowych Ram Interoperacyjności, minimalnych </w:t>
      </w:r>
      <w:r w:rsidRPr="00A258D6">
        <w:rPr>
          <w:rFonts w:asciiTheme="majorHAnsi" w:hAnsiTheme="majorHAnsi" w:cstheme="majorHAnsi"/>
        </w:rPr>
        <w:lastRenderedPageBreak/>
        <w:t>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7"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7"/>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897FAC">
        <w:rPr>
          <w:rFonts w:asciiTheme="majorHAnsi" w:hAnsiTheme="majorHAnsi" w:cstheme="majorHAnsi"/>
          <w:b/>
          <w:bCs/>
          <w:sz w:val="24"/>
          <w:szCs w:val="24"/>
        </w:rPr>
        <w:lastRenderedPageBreak/>
        <w:t>XIV. OPIS SPOSOBU PRZYGOTOWANIA OFERT ORAZ DOKUMENTÓW WYMAGANYCH PRZEZ ZAMAWIAJĄCEGO W SWZ</w:t>
      </w:r>
      <w:bookmarkEnd w:id="28"/>
    </w:p>
    <w:p w14:paraId="1D595F67" w14:textId="77777777" w:rsidR="00897FAC" w:rsidRPr="00897FAC" w:rsidRDefault="00897FAC" w:rsidP="00897FAC"/>
    <w:p w14:paraId="000000C9" w14:textId="7F075952" w:rsidR="001C5D72" w:rsidRPr="00A258D6" w:rsidRDefault="00E32059" w:rsidP="001904E0">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0A341941" w14:textId="097FCB55" w:rsidR="00E32059" w:rsidRPr="00A258D6" w:rsidRDefault="002409D3" w:rsidP="001904E0">
      <w:pPr>
        <w:pStyle w:val="Akapitzlist"/>
        <w:numPr>
          <w:ilvl w:val="1"/>
          <w:numId w:val="2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E9545A">
        <w:rPr>
          <w:rFonts w:asciiTheme="majorHAnsi" w:hAnsiTheme="majorHAnsi" w:cstheme="majorHAnsi"/>
          <w:i/>
          <w:iCs/>
        </w:rPr>
        <w:t xml:space="preserve">nr </w:t>
      </w:r>
      <w:r w:rsidR="00897FAC" w:rsidRPr="00E9545A">
        <w:rPr>
          <w:rFonts w:asciiTheme="majorHAnsi" w:hAnsiTheme="majorHAnsi" w:cstheme="majorHAnsi"/>
          <w:i/>
          <w:iCs/>
        </w:rPr>
        <w:t>1</w:t>
      </w:r>
      <w:r w:rsidRPr="00E9545A">
        <w:rPr>
          <w:rFonts w:asciiTheme="majorHAnsi" w:hAnsiTheme="majorHAnsi" w:cstheme="majorHAnsi"/>
          <w:i/>
          <w:iCs/>
        </w:rPr>
        <w:t xml:space="preserve"> do SWZ</w:t>
      </w:r>
      <w:r w:rsidRPr="001F1189">
        <w:rPr>
          <w:rFonts w:asciiTheme="majorHAnsi" w:hAnsiTheme="majorHAnsi" w:cstheme="majorHAnsi"/>
          <w:i/>
          <w:iCs/>
          <w:color w:val="C00000"/>
        </w:rPr>
        <w:t xml:space="preserve">, </w:t>
      </w:r>
      <w:r w:rsidRPr="00244DE0">
        <w:rPr>
          <w:rFonts w:asciiTheme="majorHAnsi" w:hAnsiTheme="majorHAnsi" w:cstheme="majorHAnsi"/>
          <w:i/>
          <w:iCs/>
        </w:rPr>
        <w:t>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13605FF4" w:rsidR="001F6FA3" w:rsidRPr="00244DE0" w:rsidRDefault="002F286A" w:rsidP="001904E0">
      <w:pPr>
        <w:pStyle w:val="Akapitzlist"/>
        <w:numPr>
          <w:ilvl w:val="2"/>
          <w:numId w:val="21"/>
        </w:numPr>
        <w:spacing w:after="0" w:line="319" w:lineRule="auto"/>
        <w:ind w:left="0" w:firstLine="0"/>
        <w:jc w:val="both"/>
        <w:rPr>
          <w:rFonts w:asciiTheme="majorHAnsi" w:hAnsiTheme="majorHAnsi" w:cstheme="majorHAnsi"/>
          <w:i/>
          <w:iCs/>
        </w:rPr>
      </w:pPr>
      <w:bookmarkStart w:id="30" w:name="_Hlk89775553"/>
      <w:r w:rsidRPr="008C666D">
        <w:rPr>
          <w:rFonts w:asciiTheme="majorHAnsi" w:hAnsiTheme="majorHAnsi" w:cstheme="majorHAnsi"/>
          <w:b/>
          <w:bCs/>
        </w:rPr>
        <w:t>Oświadczenie</w:t>
      </w:r>
      <w:r w:rsidR="00857D03" w:rsidRPr="008C666D">
        <w:rPr>
          <w:rFonts w:asciiTheme="majorHAnsi" w:hAnsiTheme="majorHAnsi" w:cstheme="majorHAnsi"/>
          <w:b/>
          <w:bCs/>
        </w:rPr>
        <w:t xml:space="preserve"> Wykonawcy </w:t>
      </w:r>
      <w:r w:rsidRPr="008C666D">
        <w:rPr>
          <w:rFonts w:asciiTheme="majorHAnsi" w:hAnsiTheme="majorHAnsi" w:cstheme="majorHAnsi"/>
          <w:b/>
          <w:bCs/>
        </w:rPr>
        <w:t>o</w:t>
      </w:r>
      <w:r w:rsidR="00857D03" w:rsidRPr="008C666D">
        <w:rPr>
          <w:rFonts w:asciiTheme="majorHAnsi" w:hAnsiTheme="majorHAnsi" w:cstheme="majorHAnsi"/>
          <w:b/>
          <w:bCs/>
        </w:rPr>
        <w:t xml:space="preserve"> niepodleganiu wykluczeniu z postępowania</w:t>
      </w:r>
      <w:r w:rsidR="00857D03" w:rsidRPr="00A258D6">
        <w:rPr>
          <w:rFonts w:asciiTheme="majorHAnsi" w:hAnsiTheme="majorHAnsi" w:cstheme="majorHAnsi"/>
        </w:rPr>
        <w:t xml:space="preserve"> – </w:t>
      </w:r>
      <w:bookmarkStart w:id="31" w:name="_Hlk89775901"/>
      <w:r w:rsidR="00857D03" w:rsidRPr="00A258D6">
        <w:rPr>
          <w:rFonts w:asciiTheme="majorHAnsi" w:hAnsiTheme="majorHAnsi" w:cstheme="majorHAnsi"/>
        </w:rPr>
        <w:t xml:space="preserve">wzór </w:t>
      </w:r>
      <w:r w:rsidRPr="00A258D6">
        <w:rPr>
          <w:rFonts w:asciiTheme="majorHAnsi" w:hAnsiTheme="majorHAnsi" w:cstheme="majorHAnsi"/>
        </w:rPr>
        <w:t>oświadczenia</w:t>
      </w:r>
      <w:r w:rsidR="00857D03" w:rsidRPr="00A258D6">
        <w:rPr>
          <w:rFonts w:asciiTheme="majorHAnsi" w:hAnsiTheme="majorHAnsi" w:cstheme="majorHAnsi"/>
        </w:rPr>
        <w:t xml:space="preserve"> stanowi </w:t>
      </w:r>
      <w:r w:rsidR="00857D03" w:rsidRPr="00244DE0">
        <w:rPr>
          <w:rFonts w:asciiTheme="majorHAnsi" w:hAnsiTheme="majorHAnsi" w:cstheme="majorHAnsi"/>
          <w:i/>
          <w:iCs/>
        </w:rPr>
        <w:t xml:space="preserve">załącznik nr </w:t>
      </w:r>
      <w:r w:rsidR="00694CFC">
        <w:rPr>
          <w:rFonts w:asciiTheme="majorHAnsi" w:hAnsiTheme="majorHAnsi" w:cstheme="majorHAnsi"/>
          <w:i/>
          <w:iCs/>
        </w:rPr>
        <w:t>3</w:t>
      </w:r>
      <w:r w:rsidR="00857D03" w:rsidRPr="00244DE0">
        <w:rPr>
          <w:rFonts w:asciiTheme="majorHAnsi" w:hAnsiTheme="majorHAnsi" w:cstheme="majorHAnsi"/>
          <w:i/>
          <w:iCs/>
        </w:rPr>
        <w:t xml:space="preserve"> do SWZ. </w:t>
      </w:r>
    </w:p>
    <w:bookmarkEnd w:id="30"/>
    <w:bookmarkEnd w:id="31"/>
    <w:p w14:paraId="4D529765" w14:textId="4E4C6509" w:rsidR="00857D03" w:rsidRPr="00A258D6"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2" w:name="_Hlk65238743"/>
      <w:r w:rsidR="002F286A" w:rsidRPr="00A258D6">
        <w:rPr>
          <w:rFonts w:asciiTheme="majorHAnsi" w:hAnsiTheme="majorHAnsi" w:cstheme="majorHAnsi"/>
        </w:rPr>
        <w:t xml:space="preserve">oświadczenie o niepodleganiu wykluczeniu składa </w:t>
      </w:r>
      <w:bookmarkEnd w:id="32"/>
      <w:r w:rsidR="002F286A" w:rsidRPr="00A258D6">
        <w:rPr>
          <w:rFonts w:asciiTheme="majorHAnsi" w:hAnsiTheme="majorHAnsi" w:cstheme="majorHAnsi"/>
        </w:rPr>
        <w:t>każdy Wykonawca.</w:t>
      </w:r>
      <w:r w:rsidR="001F1189">
        <w:rPr>
          <w:rFonts w:asciiTheme="majorHAnsi" w:hAnsiTheme="majorHAnsi" w:cstheme="majorHAnsi"/>
        </w:rPr>
        <w:br/>
        <w:t xml:space="preserve">1.1.2. Oświadczenie Wykonawcy o spełnieniu warunków udziału w postępowaniu </w:t>
      </w:r>
      <w:r w:rsidR="00B315CB">
        <w:rPr>
          <w:rFonts w:asciiTheme="majorHAnsi" w:hAnsiTheme="majorHAnsi" w:cstheme="majorHAnsi"/>
        </w:rPr>
        <w:t xml:space="preserve">– wzór oświadczenia stanowi </w:t>
      </w:r>
      <w:r w:rsidR="00B315CB" w:rsidRPr="00E9545A">
        <w:rPr>
          <w:rFonts w:asciiTheme="majorHAnsi" w:hAnsiTheme="majorHAnsi" w:cstheme="majorHAnsi"/>
          <w:i/>
          <w:iCs/>
        </w:rPr>
        <w:t xml:space="preserve">załącznik nr do </w:t>
      </w:r>
      <w:r w:rsidR="00E9545A" w:rsidRPr="00E9545A">
        <w:rPr>
          <w:rFonts w:asciiTheme="majorHAnsi" w:hAnsiTheme="majorHAnsi" w:cstheme="majorHAnsi"/>
          <w:i/>
          <w:iCs/>
        </w:rPr>
        <w:t xml:space="preserve">2 do </w:t>
      </w:r>
      <w:r w:rsidR="00B315CB" w:rsidRPr="00E9545A">
        <w:rPr>
          <w:rFonts w:asciiTheme="majorHAnsi" w:hAnsiTheme="majorHAnsi" w:cstheme="majorHAnsi"/>
          <w:i/>
          <w:iCs/>
        </w:rPr>
        <w:t xml:space="preserve"> SWZ</w:t>
      </w:r>
    </w:p>
    <w:p w14:paraId="35E7C83D" w14:textId="7C28C945" w:rsidR="002F286A" w:rsidRPr="00A258D6" w:rsidRDefault="00E93BFA" w:rsidP="001904E0">
      <w:pPr>
        <w:pStyle w:val="Akapitzlist"/>
        <w:numPr>
          <w:ilvl w:val="1"/>
          <w:numId w:val="2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5E97C362" w14:textId="24AAB601" w:rsidR="00897FAC" w:rsidRPr="0057778E" w:rsidRDefault="00DE36D5" w:rsidP="001904E0">
      <w:pPr>
        <w:pStyle w:val="Akapitzlist"/>
        <w:numPr>
          <w:ilvl w:val="1"/>
          <w:numId w:val="2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 xml:space="preserve">Pełnomocnictwo </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44857C5C" w14:textId="69B157D9" w:rsidR="00D82F07" w:rsidRPr="00A258D6" w:rsidRDefault="00D82F07" w:rsidP="001904E0">
      <w:pPr>
        <w:pStyle w:val="NormalnyWeb"/>
        <w:numPr>
          <w:ilvl w:val="0"/>
          <w:numId w:val="21"/>
        </w:numPr>
        <w:ind w:left="0" w:firstLine="0"/>
        <w:jc w:val="both"/>
        <w:textAlignment w:val="baseline"/>
        <w:rPr>
          <w:rFonts w:asciiTheme="majorHAnsi" w:hAnsiTheme="majorHAnsi" w:cstheme="majorHAnsi"/>
          <w:sz w:val="22"/>
          <w:szCs w:val="22"/>
        </w:rPr>
      </w:pPr>
      <w:bookmarkStart w:id="33"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9"/>
      <w:bookmarkEnd w:id="33"/>
      <w:r w:rsidR="001B6804"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001B6804"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1904E0">
      <w:pPr>
        <w:pStyle w:val="Akapitzlist"/>
        <w:numPr>
          <w:ilvl w:val="0"/>
          <w:numId w:val="21"/>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4">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1904E0">
      <w:pPr>
        <w:numPr>
          <w:ilvl w:val="0"/>
          <w:numId w:val="2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1904E0">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1904E0">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1904E0">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CD76EA"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1904E0">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1904E0">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4" w:name="_Toc65495860"/>
      <w:bookmarkEnd w:id="23"/>
      <w:r w:rsidRPr="000A6F80">
        <w:rPr>
          <w:rFonts w:asciiTheme="majorHAnsi" w:hAnsiTheme="majorHAnsi" w:cstheme="majorHAnsi"/>
          <w:b/>
          <w:bCs/>
          <w:sz w:val="24"/>
          <w:szCs w:val="24"/>
        </w:rPr>
        <w:lastRenderedPageBreak/>
        <w:t>XV. SPOSÓB OBLICZANIA CENY OFERTY</w:t>
      </w:r>
      <w:bookmarkEnd w:id="34"/>
      <w:r w:rsidR="00587234">
        <w:rPr>
          <w:rFonts w:asciiTheme="majorHAnsi" w:hAnsiTheme="majorHAnsi" w:cstheme="majorHAnsi"/>
          <w:b/>
          <w:bCs/>
          <w:sz w:val="24"/>
          <w:szCs w:val="24"/>
        </w:rPr>
        <w:br/>
      </w:r>
    </w:p>
    <w:p w14:paraId="435A3BB1" w14:textId="76760FE9" w:rsidR="0013799C" w:rsidRPr="0013799C"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1904E0">
      <w:pPr>
        <w:numPr>
          <w:ilvl w:val="1"/>
          <w:numId w:val="2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16C8AB3"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35"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6"/>
    </w:p>
    <w:bookmarkEnd w:id="35"/>
    <w:p w14:paraId="000000DC" w14:textId="5D20BDD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lastRenderedPageBreak/>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1"/>
      <w:r w:rsidRPr="00273251">
        <w:rPr>
          <w:rFonts w:asciiTheme="majorHAnsi" w:hAnsiTheme="majorHAnsi" w:cstheme="majorHAnsi"/>
          <w:b/>
          <w:bCs/>
          <w:sz w:val="24"/>
          <w:szCs w:val="24"/>
        </w:rPr>
        <w:t>XVI. WYMAGANIA DOTYCZĄCE WADIUM</w:t>
      </w:r>
      <w:bookmarkEnd w:id="37"/>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73697A0" w:rsidR="001C5D72" w:rsidRPr="00273251" w:rsidRDefault="0067071F" w:rsidP="00881111">
      <w:pPr>
        <w:pStyle w:val="Nagwek2"/>
        <w:spacing w:before="0" w:after="0" w:line="319" w:lineRule="auto"/>
        <w:rPr>
          <w:rFonts w:asciiTheme="majorHAnsi" w:hAnsiTheme="majorHAnsi" w:cstheme="majorHAnsi"/>
          <w:b/>
          <w:bCs/>
          <w:sz w:val="24"/>
          <w:szCs w:val="24"/>
        </w:rPr>
      </w:pPr>
      <w:bookmarkStart w:id="38"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8"/>
      <w:r w:rsidR="00587234">
        <w:rPr>
          <w:rFonts w:asciiTheme="majorHAnsi" w:hAnsiTheme="majorHAnsi" w:cstheme="majorHAnsi"/>
          <w:b/>
          <w:bCs/>
          <w:sz w:val="24"/>
          <w:szCs w:val="24"/>
        </w:rPr>
        <w:br/>
      </w:r>
    </w:p>
    <w:p w14:paraId="000000FB" w14:textId="4C24DE86"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C23CFA" w:rsidRPr="0067071F">
        <w:rPr>
          <w:rFonts w:asciiTheme="majorHAnsi" w:hAnsiTheme="majorHAnsi" w:cstheme="majorHAnsi"/>
          <w:bCs/>
        </w:rPr>
        <w:t>2</w:t>
      </w:r>
      <w:r w:rsidR="0067071F" w:rsidRPr="0067071F">
        <w:rPr>
          <w:rFonts w:asciiTheme="majorHAnsi" w:hAnsiTheme="majorHAnsi" w:cstheme="majorHAnsi"/>
          <w:bCs/>
        </w:rPr>
        <w:t>3.02.</w:t>
      </w:r>
      <w:r w:rsidR="00C23CFA" w:rsidRPr="0067071F">
        <w:rPr>
          <w:rFonts w:asciiTheme="majorHAnsi" w:hAnsiTheme="majorHAnsi" w:cstheme="majorHAnsi"/>
          <w:bCs/>
        </w:rPr>
        <w:t>202</w:t>
      </w:r>
      <w:r w:rsidR="0067071F" w:rsidRPr="0067071F">
        <w:rPr>
          <w:rFonts w:asciiTheme="majorHAnsi" w:hAnsiTheme="majorHAnsi" w:cstheme="majorHAnsi"/>
          <w:bCs/>
        </w:rPr>
        <w:t>2r.</w:t>
      </w:r>
      <w:r w:rsidR="00446EB5" w:rsidRPr="00FA2868">
        <w:rPr>
          <w:rFonts w:asciiTheme="majorHAnsi" w:hAnsiTheme="majorHAnsi" w:cstheme="majorHAnsi"/>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9"/>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577211D" w:rsidR="001C5D72" w:rsidRPr="005A1A1D"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2"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3E7184" w:rsidRPr="005A1A1D">
        <w:rPr>
          <w:rFonts w:asciiTheme="majorHAnsi" w:hAnsiTheme="majorHAnsi" w:cstheme="majorHAnsi"/>
        </w:rPr>
        <w:t>2</w:t>
      </w:r>
      <w:r w:rsidR="005A1A1D" w:rsidRPr="005A1A1D">
        <w:rPr>
          <w:rFonts w:asciiTheme="majorHAnsi" w:hAnsiTheme="majorHAnsi" w:cstheme="majorHAnsi"/>
        </w:rPr>
        <w:t>5.01</w:t>
      </w:r>
      <w:r w:rsidR="005A1A1D">
        <w:rPr>
          <w:rFonts w:asciiTheme="majorHAnsi" w:hAnsiTheme="majorHAnsi" w:cstheme="majorHAnsi"/>
        </w:rPr>
        <w:t>.</w:t>
      </w:r>
      <w:r w:rsidR="00090D8B" w:rsidRPr="005A1A1D">
        <w:rPr>
          <w:rFonts w:asciiTheme="majorHAnsi" w:hAnsiTheme="majorHAnsi" w:cstheme="majorHAnsi"/>
        </w:rPr>
        <w:t>202</w:t>
      </w:r>
      <w:r w:rsidR="005A1A1D" w:rsidRPr="005A1A1D">
        <w:rPr>
          <w:rFonts w:asciiTheme="majorHAnsi" w:hAnsiTheme="majorHAnsi" w:cstheme="majorHAnsi"/>
        </w:rPr>
        <w:t>2</w:t>
      </w:r>
      <w:r w:rsidR="00B22953" w:rsidRPr="005A1A1D">
        <w:rPr>
          <w:rFonts w:asciiTheme="majorHAnsi" w:hAnsiTheme="majorHAnsi" w:cstheme="majorHAnsi"/>
        </w:rPr>
        <w:t xml:space="preserve">r. </w:t>
      </w:r>
      <w:r w:rsidRPr="005A1A1D">
        <w:rPr>
          <w:rFonts w:asciiTheme="majorHAnsi" w:hAnsiTheme="majorHAnsi" w:cstheme="majorHAnsi"/>
        </w:rPr>
        <w:t xml:space="preserve">do godziny </w:t>
      </w:r>
      <w:r w:rsidR="008C428C" w:rsidRPr="005A1A1D">
        <w:rPr>
          <w:rFonts w:asciiTheme="majorHAnsi" w:hAnsiTheme="majorHAnsi" w:cstheme="majorHAnsi"/>
        </w:rPr>
        <w:t>08</w:t>
      </w:r>
      <w:r w:rsidR="005E6EF7" w:rsidRPr="005A1A1D">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w:t>
      </w:r>
      <w:r w:rsidRPr="00A258D6">
        <w:rPr>
          <w:rFonts w:asciiTheme="majorHAnsi" w:hAnsiTheme="majorHAnsi" w:cstheme="majorHAnsi"/>
        </w:rPr>
        <w:lastRenderedPageBreak/>
        <w:t xml:space="preserve">na dokumentach przesłanych za pośrednictwem </w:t>
      </w:r>
      <w:hyperlink r:id="rId44">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5">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0"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0"/>
    </w:p>
    <w:p w14:paraId="00000106" w14:textId="3EFF3FA2" w:rsidR="001C5D72" w:rsidRPr="002209E9" w:rsidRDefault="00FC4AB9" w:rsidP="001904E0">
      <w:pPr>
        <w:numPr>
          <w:ilvl w:val="0"/>
          <w:numId w:val="2"/>
        </w:numPr>
        <w:spacing w:line="319" w:lineRule="auto"/>
        <w:jc w:val="both"/>
        <w:rPr>
          <w:rFonts w:asciiTheme="majorHAnsi" w:hAnsiTheme="majorHAnsi" w:cstheme="majorHAnsi"/>
          <w:color w:val="C0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3E7184" w:rsidRPr="00C23CFA">
        <w:rPr>
          <w:rFonts w:asciiTheme="majorHAnsi" w:hAnsiTheme="majorHAnsi" w:cstheme="majorHAnsi"/>
        </w:rPr>
        <w:t xml:space="preserve"> </w:t>
      </w:r>
      <w:r w:rsidR="003E7184" w:rsidRPr="005A1A1D">
        <w:rPr>
          <w:rFonts w:asciiTheme="majorHAnsi" w:hAnsiTheme="majorHAnsi" w:cstheme="majorHAnsi"/>
        </w:rPr>
        <w:t>2</w:t>
      </w:r>
      <w:r w:rsidR="005A1A1D" w:rsidRPr="005A1A1D">
        <w:rPr>
          <w:rFonts w:asciiTheme="majorHAnsi" w:hAnsiTheme="majorHAnsi" w:cstheme="majorHAnsi"/>
        </w:rPr>
        <w:t>5</w:t>
      </w:r>
      <w:r w:rsidR="003E7184" w:rsidRPr="005A1A1D">
        <w:rPr>
          <w:rFonts w:asciiTheme="majorHAnsi" w:hAnsiTheme="majorHAnsi" w:cstheme="majorHAnsi"/>
        </w:rPr>
        <w:t>.</w:t>
      </w:r>
      <w:r w:rsidR="00F47394" w:rsidRPr="005A1A1D">
        <w:rPr>
          <w:rFonts w:asciiTheme="majorHAnsi" w:hAnsiTheme="majorHAnsi" w:cstheme="majorHAnsi"/>
        </w:rPr>
        <w:t>0</w:t>
      </w:r>
      <w:r w:rsidR="005A1A1D" w:rsidRPr="005A1A1D">
        <w:rPr>
          <w:rFonts w:asciiTheme="majorHAnsi" w:hAnsiTheme="majorHAnsi" w:cstheme="majorHAnsi"/>
        </w:rPr>
        <w:t>1</w:t>
      </w:r>
      <w:r w:rsidR="00F47394" w:rsidRPr="005A1A1D">
        <w:rPr>
          <w:rFonts w:asciiTheme="majorHAnsi" w:hAnsiTheme="majorHAnsi" w:cstheme="majorHAnsi"/>
        </w:rPr>
        <w:t>.202</w:t>
      </w:r>
      <w:r w:rsidR="005A1A1D" w:rsidRPr="005A1A1D">
        <w:rPr>
          <w:rFonts w:asciiTheme="majorHAnsi" w:hAnsiTheme="majorHAnsi" w:cstheme="majorHAnsi"/>
        </w:rPr>
        <w:t>2</w:t>
      </w:r>
      <w:r w:rsidR="00F47394" w:rsidRPr="005A1A1D">
        <w:rPr>
          <w:rFonts w:asciiTheme="majorHAnsi" w:hAnsiTheme="majorHAnsi" w:cstheme="majorHAnsi"/>
        </w:rPr>
        <w:t xml:space="preserve"> roku o godz.</w:t>
      </w:r>
      <w:r w:rsidR="008C428C" w:rsidRPr="005A1A1D">
        <w:rPr>
          <w:rFonts w:asciiTheme="majorHAnsi" w:hAnsiTheme="majorHAnsi" w:cstheme="majorHAnsi"/>
        </w:rPr>
        <w:t>08</w:t>
      </w:r>
      <w:r w:rsidR="00C23CFA" w:rsidRPr="005A1A1D">
        <w:rPr>
          <w:rFonts w:asciiTheme="majorHAnsi" w:hAnsiTheme="majorHAnsi" w:cstheme="majorHAnsi"/>
        </w:rPr>
        <w:t>:05</w:t>
      </w:r>
      <w:r w:rsidR="008A7CB3" w:rsidRPr="005A1A1D">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1" w:name="_Toc65495865"/>
      <w:r w:rsidRPr="00B8688E">
        <w:rPr>
          <w:rFonts w:asciiTheme="majorHAnsi" w:hAnsiTheme="majorHAnsi" w:cstheme="majorHAnsi"/>
          <w:b/>
          <w:bCs/>
          <w:sz w:val="24"/>
          <w:szCs w:val="24"/>
        </w:rPr>
        <w:t>XX. OPIS KRYTERIÓW OCENY OFERT WRAZ Z PODANIEM WAG TYCH KRYTERIÓW I SPOSOBU OCENY OFERT</w:t>
      </w:r>
      <w:bookmarkEnd w:id="41"/>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2" w:name="_Hlk66451350"/>
      <w:r w:rsidRPr="00B8688E">
        <w:rPr>
          <w:rFonts w:asciiTheme="majorHAnsi" w:eastAsia="Times New Roman" w:hAnsiTheme="majorHAnsi" w:cstheme="majorHAnsi"/>
        </w:rPr>
        <w:lastRenderedPageBreak/>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295FC242"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00FB2495">
        <w:rPr>
          <w:rFonts w:asciiTheme="majorHAnsi" w:eastAsia="Times New Roman" w:hAnsiTheme="majorHAnsi" w:cstheme="majorHAnsi"/>
          <w:b/>
        </w:rPr>
        <w:t xml:space="preserve"> - </w:t>
      </w:r>
      <w:proofErr w:type="spellStart"/>
      <w:r w:rsidR="00FB2495">
        <w:rPr>
          <w:rFonts w:asciiTheme="majorHAnsi" w:eastAsia="Times New Roman" w:hAnsiTheme="majorHAnsi" w:cstheme="majorHAnsi"/>
          <w:b/>
        </w:rPr>
        <w:t>Gx</w:t>
      </w:r>
      <w:proofErr w:type="spellEnd"/>
      <w:r w:rsidR="00FB2495">
        <w:rPr>
          <w:rFonts w:asciiTheme="majorHAnsi" w:eastAsia="Times New Roman" w:hAnsiTheme="majorHAnsi" w:cstheme="majorHAnsi"/>
          <w:b/>
        </w:rPr>
        <w:t xml:space="preserve">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0845CE2E" w14:textId="192ADC89" w:rsidR="00FB2495" w:rsidRDefault="00B8688E" w:rsidP="00FB2495">
      <w:pPr>
        <w:pStyle w:val="1"/>
        <w:tabs>
          <w:tab w:val="left" w:pos="12170"/>
        </w:tabs>
        <w:spacing w:line="276" w:lineRule="auto"/>
        <w:ind w:left="0" w:firstLine="0"/>
      </w:pPr>
      <w:r w:rsidRPr="00B8688E">
        <w:rPr>
          <w:rFonts w:asciiTheme="majorHAnsi" w:hAnsiTheme="majorHAnsi" w:cstheme="majorHAnsi"/>
        </w:rPr>
        <w:t xml:space="preserve">gdzie : </w:t>
      </w:r>
      <w:r w:rsidR="00FB2495">
        <w:rPr>
          <w:rFonts w:asciiTheme="majorHAnsi" w:hAnsiTheme="majorHAnsi" w:cstheme="majorHAnsi"/>
        </w:rPr>
        <w:br/>
      </w:r>
      <w:r w:rsidR="00FB2495">
        <w:rPr>
          <w:rFonts w:ascii="Calibri" w:hAnsi="Calibri" w:cs="Calibri"/>
          <w:sz w:val="22"/>
          <w:szCs w:val="22"/>
        </w:rPr>
        <w:t>Okres gwarancji  - 36 miesięcy –     0 punktów.</w:t>
      </w:r>
    </w:p>
    <w:p w14:paraId="790377D9" w14:textId="77777777" w:rsidR="00FB2495" w:rsidRDefault="00FB2495" w:rsidP="00FB2495">
      <w:pPr>
        <w:pStyle w:val="1"/>
        <w:tabs>
          <w:tab w:val="left" w:pos="12170"/>
        </w:tabs>
        <w:spacing w:line="276" w:lineRule="auto"/>
        <w:ind w:left="0" w:firstLine="0"/>
      </w:pPr>
      <w:r>
        <w:rPr>
          <w:rFonts w:ascii="Calibri" w:hAnsi="Calibri" w:cs="Calibri"/>
          <w:sz w:val="22"/>
          <w:szCs w:val="22"/>
        </w:rPr>
        <w:t>Okres gwarancji  - 48 miesięcy –   20 punktów.</w:t>
      </w:r>
    </w:p>
    <w:p w14:paraId="48CC707A" w14:textId="1519C86E" w:rsidR="00B8688E" w:rsidRPr="00B8688E" w:rsidRDefault="00FB2495" w:rsidP="00FB2495">
      <w:pPr>
        <w:spacing w:line="240" w:lineRule="auto"/>
        <w:rPr>
          <w:rFonts w:asciiTheme="majorHAnsi" w:eastAsia="Times New Roman" w:hAnsiTheme="majorHAnsi" w:cstheme="majorHAnsi"/>
        </w:rPr>
      </w:pPr>
      <w:r>
        <w:rPr>
          <w:rFonts w:ascii="Calibri" w:hAnsi="Calibri" w:cs="Calibri"/>
        </w:rPr>
        <w:t>Okres gwarancji -  60 miesięcy -   40  punktów.</w:t>
      </w:r>
    </w:p>
    <w:p w14:paraId="2DCE7AE1" w14:textId="0BED9787" w:rsidR="00656A3D" w:rsidRDefault="00656A3D" w:rsidP="00656A3D">
      <w:pPr>
        <w:pStyle w:val="1"/>
        <w:tabs>
          <w:tab w:val="left" w:pos="12170"/>
        </w:tabs>
        <w:spacing w:line="240" w:lineRule="auto"/>
        <w:ind w:left="0" w:firstLine="0"/>
        <w:rPr>
          <w:rFonts w:ascii="Calibri" w:hAnsi="Calibri"/>
          <w:sz w:val="22"/>
          <w:szCs w:val="22"/>
        </w:rPr>
      </w:pPr>
      <w:r>
        <w:rPr>
          <w:rFonts w:ascii="Calibri" w:hAnsi="Calibri"/>
          <w:b/>
          <w:bCs/>
          <w:sz w:val="22"/>
          <w:szCs w:val="22"/>
        </w:rPr>
        <w:br/>
      </w:r>
      <w:r w:rsidRPr="0055381C">
        <w:rPr>
          <w:rFonts w:ascii="Calibri" w:hAnsi="Calibri"/>
          <w:b/>
          <w:bCs/>
          <w:sz w:val="22"/>
          <w:szCs w:val="22"/>
        </w:rPr>
        <w:t xml:space="preserve">15.3. </w:t>
      </w:r>
      <w:r w:rsidRPr="0055381C">
        <w:rPr>
          <w:rFonts w:ascii="Calibri" w:hAnsi="Calibri"/>
          <w:b/>
          <w:bCs/>
          <w:iCs/>
          <w:sz w:val="22"/>
          <w:szCs w:val="22"/>
        </w:rPr>
        <w:t>Kryterium</w:t>
      </w:r>
      <w:r w:rsidRPr="00CC151B">
        <w:rPr>
          <w:rFonts w:ascii="Calibri" w:hAnsi="Calibri"/>
          <w:sz w:val="22"/>
          <w:szCs w:val="22"/>
        </w:rPr>
        <w:t xml:space="preserve"> </w:t>
      </w:r>
      <w:r>
        <w:rPr>
          <w:rFonts w:ascii="Calibri" w:hAnsi="Calibri"/>
          <w:sz w:val="22"/>
          <w:szCs w:val="22"/>
        </w:rPr>
        <w:t>okres gwarancji:</w:t>
      </w:r>
    </w:p>
    <w:p w14:paraId="654CD50A" w14:textId="00465BD0"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Minimalny okres gwarancji </w:t>
      </w:r>
      <w:r>
        <w:rPr>
          <w:rFonts w:ascii="Calibri" w:hAnsi="Calibri"/>
          <w:sz w:val="22"/>
          <w:szCs w:val="22"/>
        </w:rPr>
        <w:t xml:space="preserve"> </w:t>
      </w:r>
      <w:r w:rsidRPr="003B34AB">
        <w:rPr>
          <w:rFonts w:ascii="Calibri" w:hAnsi="Calibri"/>
          <w:sz w:val="22"/>
          <w:szCs w:val="22"/>
        </w:rPr>
        <w:t>wymagany przez Zamawiającego wynosi</w:t>
      </w:r>
      <w:r>
        <w:rPr>
          <w:rFonts w:ascii="Calibri" w:hAnsi="Calibri"/>
          <w:sz w:val="22"/>
          <w:szCs w:val="22"/>
        </w:rPr>
        <w:t xml:space="preserve"> </w:t>
      </w:r>
      <w:r w:rsidR="0027689C">
        <w:rPr>
          <w:rFonts w:ascii="Calibri" w:hAnsi="Calibri"/>
          <w:sz w:val="22"/>
          <w:szCs w:val="22"/>
        </w:rPr>
        <w:t>36</w:t>
      </w:r>
      <w:r w:rsidRPr="003B34AB">
        <w:rPr>
          <w:rFonts w:ascii="Calibri" w:hAnsi="Calibri"/>
          <w:sz w:val="22"/>
          <w:szCs w:val="22"/>
        </w:rPr>
        <w:t xml:space="preserve"> miesięcy.</w:t>
      </w:r>
    </w:p>
    <w:p w14:paraId="4F95CF87" w14:textId="2CE3C66D" w:rsidR="00656A3D" w:rsidRPr="003B34AB" w:rsidRDefault="00656A3D" w:rsidP="00656A3D">
      <w:pPr>
        <w:pStyle w:val="1"/>
        <w:tabs>
          <w:tab w:val="left" w:pos="12170"/>
        </w:tabs>
        <w:spacing w:line="276" w:lineRule="auto"/>
        <w:ind w:left="0" w:firstLine="0"/>
        <w:jc w:val="left"/>
        <w:rPr>
          <w:rFonts w:ascii="Calibri" w:hAnsi="Calibri"/>
          <w:sz w:val="22"/>
          <w:szCs w:val="22"/>
        </w:rPr>
      </w:pPr>
      <w:r w:rsidRPr="003B34AB">
        <w:rPr>
          <w:rFonts w:ascii="Calibri" w:hAnsi="Calibri"/>
          <w:sz w:val="22"/>
          <w:szCs w:val="22"/>
        </w:rPr>
        <w:t xml:space="preserve">Okres gwarancji </w:t>
      </w:r>
      <w:r>
        <w:rPr>
          <w:rFonts w:ascii="Calibri" w:hAnsi="Calibri"/>
          <w:sz w:val="22"/>
          <w:szCs w:val="22"/>
        </w:rPr>
        <w:t xml:space="preserve"> </w:t>
      </w:r>
      <w:r w:rsidR="0027689C">
        <w:rPr>
          <w:rFonts w:ascii="Calibri" w:hAnsi="Calibri"/>
          <w:sz w:val="22"/>
          <w:szCs w:val="22"/>
        </w:rPr>
        <w:t>36</w:t>
      </w:r>
      <w:r w:rsidRPr="003B34AB">
        <w:rPr>
          <w:rFonts w:ascii="Calibri" w:hAnsi="Calibri"/>
          <w:sz w:val="22"/>
          <w:szCs w:val="22"/>
        </w:rPr>
        <w:t xml:space="preserve"> miesięcy (gwarancja</w:t>
      </w:r>
      <w:r>
        <w:rPr>
          <w:rFonts w:ascii="Calibri" w:hAnsi="Calibri"/>
          <w:sz w:val="22"/>
          <w:szCs w:val="22"/>
        </w:rPr>
        <w:t xml:space="preserve"> </w:t>
      </w:r>
      <w:r w:rsidRPr="003B34AB">
        <w:rPr>
          <w:rFonts w:ascii="Calibri" w:hAnsi="Calibri"/>
          <w:sz w:val="22"/>
          <w:szCs w:val="22"/>
        </w:rPr>
        <w:t xml:space="preserve"> wymagana)</w:t>
      </w:r>
      <w:r>
        <w:rPr>
          <w:rFonts w:ascii="Calibri" w:hAnsi="Calibri"/>
          <w:sz w:val="22"/>
          <w:szCs w:val="22"/>
        </w:rPr>
        <w:t xml:space="preserve"> liczona od dnia odbioru przedmiotu zamówienia </w:t>
      </w:r>
      <w:r w:rsidRPr="003B34AB">
        <w:rPr>
          <w:rFonts w:ascii="Calibri" w:hAnsi="Calibri"/>
          <w:sz w:val="22"/>
          <w:szCs w:val="22"/>
        </w:rPr>
        <w:t xml:space="preserve"> nie podlega ocenie przez Zamawiającego –</w:t>
      </w:r>
      <w:r>
        <w:rPr>
          <w:rFonts w:ascii="Calibri" w:hAnsi="Calibri"/>
          <w:sz w:val="22"/>
          <w:szCs w:val="22"/>
        </w:rPr>
        <w:t xml:space="preserve"> </w:t>
      </w:r>
      <w:r w:rsidRPr="003B34AB">
        <w:rPr>
          <w:rFonts w:ascii="Calibri" w:hAnsi="Calibri"/>
          <w:sz w:val="22"/>
          <w:szCs w:val="22"/>
        </w:rPr>
        <w:t>0 punktów.</w:t>
      </w:r>
    </w:p>
    <w:p w14:paraId="3EA849FE" w14:textId="77777777" w:rsidR="00956FEC" w:rsidRDefault="00656A3D" w:rsidP="00956FEC">
      <w:pPr>
        <w:pStyle w:val="1"/>
        <w:tabs>
          <w:tab w:val="left" w:pos="12170"/>
        </w:tabs>
        <w:spacing w:line="276" w:lineRule="auto"/>
        <w:ind w:left="0" w:firstLine="0"/>
        <w:rPr>
          <w:rFonts w:ascii="Calibri" w:hAnsi="Calibri"/>
          <w:sz w:val="22"/>
          <w:szCs w:val="22"/>
        </w:rPr>
      </w:pPr>
      <w:r>
        <w:rPr>
          <w:rFonts w:ascii="Calibri" w:hAnsi="Calibri"/>
          <w:sz w:val="22"/>
          <w:szCs w:val="22"/>
        </w:rPr>
        <w:t xml:space="preserve">Zamawiający odrzuci ofertę Wykonawcy, który zadeklaruje okres gwarancji krótszy niż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27689C">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dla potrzeb obliczania punktacji będzie traktowany jak </w:t>
      </w:r>
      <w:r w:rsidR="00012DAB">
        <w:rPr>
          <w:rFonts w:ascii="Calibri" w:hAnsi="Calibri"/>
          <w:sz w:val="22"/>
          <w:szCs w:val="22"/>
        </w:rPr>
        <w:t xml:space="preserve"> </w:t>
      </w:r>
      <w:r w:rsidR="0027689C">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p>
    <w:p w14:paraId="5413950C" w14:textId="592B7A5A" w:rsidR="00956FEC" w:rsidRDefault="00656A3D" w:rsidP="00956FEC">
      <w:pPr>
        <w:pStyle w:val="1"/>
        <w:tabs>
          <w:tab w:val="left" w:pos="12170"/>
        </w:tabs>
        <w:spacing w:line="276" w:lineRule="auto"/>
        <w:ind w:left="0" w:firstLine="0"/>
        <w:rPr>
          <w:rFonts w:ascii="Calibri" w:hAnsi="Calibri"/>
          <w:sz w:val="22"/>
          <w:szCs w:val="22"/>
        </w:rPr>
      </w:pPr>
      <w:r>
        <w:rPr>
          <w:rFonts w:ascii="Calibri" w:hAnsi="Calibri"/>
          <w:sz w:val="22"/>
          <w:szCs w:val="22"/>
        </w:rPr>
        <w:t xml:space="preserve">W przypadku, gdy Wykonawca nie zadeklaruje okresu gwarancji Zamawiający uzna, że został zaproponowany najkrótszy okres gwarancji wymagany przez Zamawiającego -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i Wykonawca uzyska 0 pkt.</w:t>
      </w:r>
    </w:p>
    <w:p w14:paraId="01C4A12D"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40</w:t>
      </w:r>
      <w:r w:rsidRPr="003B34AB">
        <w:rPr>
          <w:rFonts w:ascii="Calibri" w:hAnsi="Calibri"/>
          <w:sz w:val="22"/>
          <w:szCs w:val="22"/>
        </w:rPr>
        <w:t xml:space="preserve"> </w:t>
      </w:r>
    </w:p>
    <w:p w14:paraId="6F67E3BB" w14:textId="1C5B2C91" w:rsidR="00656A3D" w:rsidRDefault="00FB2495" w:rsidP="00656A3D">
      <w:pPr>
        <w:pStyle w:val="1"/>
        <w:tabs>
          <w:tab w:val="left" w:pos="12170"/>
        </w:tabs>
        <w:spacing w:line="276" w:lineRule="auto"/>
        <w:ind w:left="0" w:firstLine="0"/>
        <w:rPr>
          <w:rFonts w:ascii="Calibri" w:hAnsi="Calibri"/>
          <w:sz w:val="22"/>
          <w:szCs w:val="22"/>
        </w:rPr>
      </w:pPr>
      <w:r>
        <w:rPr>
          <w:rFonts w:ascii="Calibri" w:hAnsi="Calibri"/>
          <w:sz w:val="22"/>
          <w:szCs w:val="22"/>
        </w:rPr>
        <w:br/>
      </w:r>
      <w:r w:rsidR="00656A3D" w:rsidRPr="003B34AB">
        <w:rPr>
          <w:rFonts w:ascii="Calibri" w:hAnsi="Calibri"/>
          <w:sz w:val="22"/>
          <w:szCs w:val="22"/>
        </w:rPr>
        <w:t>Łączna ocena ofert:</w:t>
      </w:r>
    </w:p>
    <w:p w14:paraId="7F987977"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bookmarkStart w:id="43" w:name="_Hlk13210433"/>
      <w:r w:rsidRPr="003B34AB">
        <w:rPr>
          <w:rFonts w:ascii="Calibri" w:hAnsi="Calibri"/>
          <w:sz w:val="22"/>
          <w:szCs w:val="22"/>
        </w:rPr>
        <w:t>G</w:t>
      </w:r>
      <w:r w:rsidRPr="003B34AB">
        <w:rPr>
          <w:rFonts w:ascii="Calibri" w:hAnsi="Calibri"/>
          <w:sz w:val="22"/>
          <w:szCs w:val="22"/>
          <w:vertAlign w:val="subscript"/>
        </w:rPr>
        <w:t>(x)</w:t>
      </w:r>
      <w:bookmarkEnd w:id="43"/>
    </w:p>
    <w:p w14:paraId="1778B6CE"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0D09B7F5"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lastRenderedPageBreak/>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48E2F18B" w14:textId="77777777" w:rsidR="00656A3D" w:rsidRPr="008E3E4E"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60881A43" w14:textId="0A422109" w:rsidR="00556783" w:rsidRPr="00A258D6" w:rsidRDefault="00656A3D" w:rsidP="00CD76EA">
      <w:pPr>
        <w:pStyle w:val="Akapitzlist"/>
        <w:numPr>
          <w:ilvl w:val="3"/>
          <w:numId w:val="42"/>
        </w:numPr>
        <w:spacing w:after="0" w:line="319" w:lineRule="auto"/>
        <w:ind w:left="0" w:firstLine="0"/>
        <w:jc w:val="both"/>
        <w:rPr>
          <w:rFonts w:asciiTheme="majorHAnsi" w:hAnsiTheme="majorHAnsi" w:cstheme="majorHAnsi"/>
        </w:rPr>
      </w:pPr>
      <w:r w:rsidRPr="003B34AB">
        <w:t xml:space="preserve">Jeżeli nie można wybrać oferty najkorzystniejszej z uwagi na to, że dwie lub więcej ofert przedstawi taki sam wskaźnik oceny ofert, Zamawiający spośród tych ofert wybiera ofertę z niższą ceną. </w:t>
      </w:r>
      <w:r w:rsidR="00956FEC">
        <w:br/>
      </w:r>
      <w:r w:rsidRPr="003B34AB">
        <w:t xml:space="preserve">    </w:t>
      </w:r>
      <w:r w:rsidR="006A34D1">
        <w:rPr>
          <w:rFonts w:cs="Calibri"/>
        </w:rPr>
        <w:br/>
      </w:r>
      <w:bookmarkStart w:id="44" w:name="_Toc65495866"/>
      <w:bookmarkEnd w:id="42"/>
      <w:r w:rsidR="00273251" w:rsidRPr="00273251">
        <w:rPr>
          <w:rFonts w:asciiTheme="majorHAnsi" w:hAnsiTheme="majorHAnsi" w:cstheme="majorHAnsi"/>
          <w:b/>
          <w:bCs/>
          <w:sz w:val="24"/>
          <w:szCs w:val="24"/>
        </w:rPr>
        <w:t>XXI. WYMAGANIA DOTYCZĄCE ZABEZPIECZENIA NALEŻYTEGO WYKONANIA UMOWY.</w:t>
      </w:r>
      <w:bookmarkEnd w:id="44"/>
      <w:r w:rsidR="00556783">
        <w:rPr>
          <w:rFonts w:asciiTheme="majorHAnsi" w:hAnsiTheme="majorHAnsi" w:cstheme="majorHAnsi"/>
          <w:b/>
          <w:bCs/>
          <w:sz w:val="24"/>
          <w:szCs w:val="24"/>
        </w:rPr>
        <w:br/>
      </w:r>
      <w:r w:rsidR="00F01CAD">
        <w:rPr>
          <w:rFonts w:asciiTheme="majorHAnsi" w:hAnsiTheme="majorHAnsi" w:cstheme="majorHAnsi"/>
          <w:b/>
          <w:bCs/>
          <w:sz w:val="24"/>
          <w:szCs w:val="24"/>
        </w:rPr>
        <w:br/>
      </w:r>
      <w:r w:rsidR="00556783">
        <w:rPr>
          <w:rFonts w:asciiTheme="majorHAnsi" w:hAnsiTheme="majorHAnsi" w:cstheme="majorHAnsi"/>
        </w:rPr>
        <w:t xml:space="preserve">1. </w:t>
      </w:r>
      <w:r w:rsidR="00556783" w:rsidRPr="00A258D6">
        <w:rPr>
          <w:rFonts w:asciiTheme="majorHAnsi" w:hAnsiTheme="majorHAnsi" w:cstheme="majorHAnsi"/>
        </w:rPr>
        <w:t xml:space="preserve">Wykonawca zobowiązany jest do wniesienia zabezpieczenia należytego wykonania umowy na kwotę stanowiącą </w:t>
      </w:r>
      <w:r w:rsidR="00556783">
        <w:rPr>
          <w:rFonts w:asciiTheme="majorHAnsi" w:hAnsiTheme="majorHAnsi" w:cstheme="majorHAnsi"/>
        </w:rPr>
        <w:t>3</w:t>
      </w:r>
      <w:r w:rsidR="00556783" w:rsidRPr="00A258D6">
        <w:rPr>
          <w:rFonts w:asciiTheme="majorHAnsi" w:hAnsiTheme="majorHAnsi" w:cstheme="majorHAnsi"/>
          <w:b/>
          <w:bCs/>
        </w:rPr>
        <w:t xml:space="preserve"> % ceny całkowitej brutto</w:t>
      </w:r>
      <w:r w:rsidR="00556783" w:rsidRPr="00A258D6">
        <w:rPr>
          <w:rFonts w:asciiTheme="majorHAnsi" w:hAnsiTheme="majorHAnsi" w:cstheme="majorHAnsi"/>
        </w:rPr>
        <w:t xml:space="preserve"> podanej w ofercie, w formach określonych w art. 450 ust. 1 ustawy </w:t>
      </w:r>
      <w:proofErr w:type="spellStart"/>
      <w:r w:rsidR="00556783" w:rsidRPr="00A258D6">
        <w:rPr>
          <w:rFonts w:asciiTheme="majorHAnsi" w:hAnsiTheme="majorHAnsi" w:cstheme="majorHAnsi"/>
        </w:rPr>
        <w:t>Pzp</w:t>
      </w:r>
      <w:proofErr w:type="spellEnd"/>
      <w:r w:rsidR="00556783" w:rsidRPr="00A258D6">
        <w:rPr>
          <w:rFonts w:asciiTheme="majorHAnsi" w:hAnsiTheme="majorHAnsi" w:cstheme="majorHAnsi"/>
        </w:rPr>
        <w:t xml:space="preserve"> </w:t>
      </w:r>
      <w:r w:rsidR="00556783">
        <w:rPr>
          <w:rFonts w:asciiTheme="majorHAnsi" w:hAnsiTheme="majorHAnsi" w:cstheme="majorHAnsi"/>
        </w:rPr>
        <w:t>.</w:t>
      </w:r>
    </w:p>
    <w:p w14:paraId="60646DBE" w14:textId="77777777" w:rsidR="00556783" w:rsidRPr="00A258D6" w:rsidRDefault="00556783" w:rsidP="00556783">
      <w:pPr>
        <w:pStyle w:val="Akapitzlist"/>
        <w:numPr>
          <w:ilvl w:val="3"/>
          <w:numId w:val="42"/>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440DD3AB" w14:textId="2421F30D" w:rsidR="00556783" w:rsidRPr="00A258D6" w:rsidRDefault="00556783" w:rsidP="00556783">
      <w:pPr>
        <w:pStyle w:val="Akapitzlist"/>
        <w:numPr>
          <w:ilvl w:val="3"/>
          <w:numId w:val="4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w:t>
      </w:r>
      <w:r>
        <w:rPr>
          <w:rFonts w:asciiTheme="majorHAnsi" w:hAnsiTheme="majorHAnsi" w:cstheme="majorHAnsi"/>
        </w:rPr>
        <w:t>.</w:t>
      </w:r>
      <w:r w:rsidRPr="00A258D6">
        <w:rPr>
          <w:rFonts w:asciiTheme="majorHAnsi" w:hAnsiTheme="majorHAnsi" w:cstheme="majorHAnsi"/>
        </w:rPr>
        <w:t xml:space="preserve"> Wniesienie zabezpieczenia należytego wykonania umowy w pieniądzu będzie skuteczne z chwilą uznania rachunku bankowego Zamawiającego kwotą zabezpieczenia.</w:t>
      </w:r>
    </w:p>
    <w:p w14:paraId="617E2D52" w14:textId="77777777" w:rsidR="00556783" w:rsidRPr="00A258D6" w:rsidRDefault="00556783" w:rsidP="00556783">
      <w:pPr>
        <w:pStyle w:val="Akapitzlist"/>
        <w:numPr>
          <w:ilvl w:val="3"/>
          <w:numId w:val="42"/>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0000121" w14:textId="44BE89C2" w:rsidR="001C5D72" w:rsidRPr="00B8688E" w:rsidRDefault="0027689C" w:rsidP="00F01CAD">
      <w:pPr>
        <w:pStyle w:val="1"/>
        <w:tabs>
          <w:tab w:val="left" w:pos="12170"/>
        </w:tabs>
        <w:spacing w:line="276" w:lineRule="auto"/>
        <w:ind w:left="0" w:firstLine="0"/>
        <w:rPr>
          <w:rFonts w:asciiTheme="majorHAnsi" w:hAnsiTheme="majorHAnsi" w:cstheme="majorHAnsi"/>
          <w:b/>
          <w:bCs/>
          <w:sz w:val="24"/>
          <w:szCs w:val="24"/>
        </w:rPr>
      </w:pPr>
      <w:r w:rsidRPr="00F01CAD">
        <w:rPr>
          <w:rFonts w:asciiTheme="majorHAnsi" w:hAnsiTheme="majorHAnsi" w:cstheme="majorHAnsi"/>
        </w:rPr>
        <w:br/>
      </w:r>
      <w:bookmarkStart w:id="45" w:name="_Toc65495867"/>
      <w:r w:rsidR="00273251" w:rsidRPr="00B8688E">
        <w:rPr>
          <w:rFonts w:asciiTheme="majorHAnsi" w:hAnsiTheme="majorHAnsi" w:cstheme="majorHAnsi"/>
          <w:b/>
          <w:bCs/>
          <w:sz w:val="24"/>
          <w:szCs w:val="24"/>
        </w:rPr>
        <w:t>XXII. INFORMACJE O FORMALNOŚCIACH, JAKIE POWINNY BYĆ DOPEŁNIONE PO WYBORZE OFERTY W CELU ZAWARCIA UMOWY</w:t>
      </w:r>
      <w:bookmarkEnd w:id="45"/>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6A34D1" w:rsidRDefault="00287869" w:rsidP="001904E0">
      <w:pPr>
        <w:numPr>
          <w:ilvl w:val="0"/>
          <w:numId w:val="4"/>
        </w:numPr>
        <w:spacing w:line="319" w:lineRule="auto"/>
        <w:ind w:left="462" w:hanging="426"/>
        <w:jc w:val="both"/>
        <w:rPr>
          <w:rFonts w:asciiTheme="majorHAnsi" w:hAnsiTheme="majorHAnsi" w:cstheme="majorHAnsi"/>
          <w:bCs/>
        </w:rPr>
      </w:pPr>
      <w:r w:rsidRPr="00A258D6">
        <w:rPr>
          <w:rFonts w:asciiTheme="majorHAnsi" w:eastAsia="Times New Roman" w:hAnsiTheme="majorHAnsi" w:cstheme="majorHAnsi"/>
        </w:rPr>
        <w:t xml:space="preserve">W przypadku, gdy zabezpieczenie, będzie wnoszone w formie innej niż pieniądz, </w:t>
      </w:r>
      <w:r w:rsidRPr="006A34D1">
        <w:rPr>
          <w:rFonts w:asciiTheme="majorHAnsi" w:eastAsia="Times New Roman" w:hAnsiTheme="majorHAnsi" w:cstheme="majorHAnsi"/>
          <w:bCs/>
        </w:rPr>
        <w:t>Zamawiający zastrzega sobie prawo do akceptacji projektu tego dokumentu.</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6" w:name="_Toc65495868"/>
      <w:r w:rsidRPr="00B8688E">
        <w:rPr>
          <w:rFonts w:asciiTheme="majorHAnsi" w:hAnsiTheme="majorHAnsi" w:cstheme="majorHAnsi"/>
          <w:b/>
          <w:bCs/>
          <w:sz w:val="24"/>
          <w:szCs w:val="24"/>
        </w:rPr>
        <w:t>XXIII. INFORMACJE O TREŚCI ZAWIERANEJ UMOWY ORAZ MOŻLIWOŚCI JEJ ZMIANY</w:t>
      </w:r>
      <w:bookmarkEnd w:id="4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0C48970D"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994F56">
        <w:rPr>
          <w:rFonts w:asciiTheme="majorHAnsi" w:hAnsiTheme="majorHAnsi" w:cstheme="majorHAnsi"/>
          <w:bCs/>
          <w:i/>
          <w:iCs/>
        </w:rPr>
        <w:t>7</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7" w:name="_Toc65495869"/>
      <w:r w:rsidRPr="00273251">
        <w:rPr>
          <w:rFonts w:asciiTheme="majorHAnsi" w:hAnsiTheme="majorHAnsi" w:cstheme="majorHAnsi"/>
          <w:b/>
          <w:bCs/>
          <w:sz w:val="24"/>
          <w:szCs w:val="24"/>
        </w:rPr>
        <w:t>XXIV. POUCZENIE O ŚRODKACH OCHRONY PRAWNEJ PRZYSŁUGUJĄCYCH WYKONAWCY</w:t>
      </w:r>
      <w:bookmarkEnd w:id="47"/>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8" w:name="_uarrfy5kozla" w:colFirst="0" w:colLast="0"/>
      <w:bookmarkStart w:id="49" w:name="_Toc65495870"/>
      <w:bookmarkEnd w:id="48"/>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9"/>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55BBCA3A"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25775F1" w14:textId="55DCF6B5" w:rsidR="00994F56" w:rsidRDefault="00880A31" w:rsidP="00BC0856">
      <w:pPr>
        <w:spacing w:line="319" w:lineRule="auto"/>
        <w:rPr>
          <w:rFonts w:asciiTheme="majorHAnsi" w:hAnsiTheme="majorHAnsi" w:cstheme="majorHAnsi"/>
        </w:rPr>
      </w:pPr>
      <w:bookmarkStart w:id="50" w:name="_Hlk81224237"/>
      <w:r w:rsidRPr="00A10674">
        <w:rPr>
          <w:rFonts w:asciiTheme="majorHAnsi" w:hAnsiTheme="majorHAnsi" w:cstheme="majorHAnsi"/>
        </w:rPr>
        <w:t xml:space="preserve">Załącznik nr 3 do SWZ </w:t>
      </w:r>
      <w:bookmarkEnd w:id="50"/>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B14FFA">
        <w:rPr>
          <w:rFonts w:asciiTheme="majorHAnsi" w:hAnsiTheme="majorHAnsi" w:cstheme="majorHAnsi"/>
        </w:rPr>
        <w:t>W</w:t>
      </w:r>
      <w:r w:rsidR="00994F56">
        <w:rPr>
          <w:rFonts w:asciiTheme="majorHAnsi" w:hAnsiTheme="majorHAnsi" w:cstheme="majorHAnsi"/>
        </w:rPr>
        <w:t>ykaz robót</w:t>
      </w:r>
    </w:p>
    <w:p w14:paraId="425B0FB5" w14:textId="04A9B203" w:rsidR="008472D7" w:rsidRPr="00A258D6" w:rsidRDefault="00561FFA" w:rsidP="008472D7">
      <w:pPr>
        <w:spacing w:line="319" w:lineRule="auto"/>
        <w:rPr>
          <w:rFonts w:asciiTheme="majorHAnsi" w:hAnsiTheme="majorHAnsi" w:cstheme="majorHAnsi"/>
        </w:rPr>
      </w:pPr>
      <w:r>
        <w:rPr>
          <w:rFonts w:asciiTheme="majorHAnsi" w:hAnsiTheme="majorHAnsi" w:cstheme="majorHAnsi"/>
        </w:rPr>
        <w:t xml:space="preserve">Załącznik nr 5 do SWZ -  Wzór zobowiązania </w:t>
      </w:r>
      <w:r w:rsidR="00994F56">
        <w:rPr>
          <w:rFonts w:asciiTheme="majorHAnsi" w:hAnsiTheme="majorHAnsi" w:cstheme="majorHAnsi"/>
        </w:rPr>
        <w:t>podmiotu udostępniającego zasoby (jeżeli dotyczy)</w:t>
      </w:r>
    </w:p>
    <w:p w14:paraId="78090703" w14:textId="77777777" w:rsidR="00994F56" w:rsidRPr="00BC0856" w:rsidRDefault="00561FFA" w:rsidP="00994F56">
      <w:pPr>
        <w:spacing w:line="319" w:lineRule="auto"/>
        <w:rPr>
          <w:rFonts w:asciiTheme="majorHAnsi" w:hAnsiTheme="majorHAnsi" w:cstheme="majorHAnsi"/>
          <w:i/>
          <w:iCs/>
        </w:rPr>
      </w:pPr>
      <w:bookmarkStart w:id="51" w:name="_Hlk91670686"/>
      <w:r>
        <w:rPr>
          <w:rFonts w:asciiTheme="majorHAnsi" w:hAnsiTheme="majorHAnsi" w:cstheme="majorHAnsi"/>
        </w:rPr>
        <w:t xml:space="preserve">Załącznik nr 6 do SWZ - </w:t>
      </w:r>
      <w:bookmarkEnd w:id="51"/>
      <w:r w:rsidR="00994F56">
        <w:rPr>
          <w:rFonts w:asciiTheme="majorHAnsi" w:hAnsiTheme="majorHAnsi" w:cstheme="majorHAnsi"/>
        </w:rPr>
        <w:t xml:space="preserve">Oświadczenie </w:t>
      </w:r>
      <w:r w:rsidR="00994F56" w:rsidRPr="00A258D6">
        <w:rPr>
          <w:rFonts w:asciiTheme="majorHAnsi" w:hAnsiTheme="majorHAnsi" w:cstheme="majorHAnsi"/>
        </w:rPr>
        <w:t xml:space="preserve"> Wykonawców występujących wspólnie </w:t>
      </w:r>
      <w:r w:rsidR="00994F56" w:rsidRPr="00BC0856">
        <w:rPr>
          <w:rFonts w:asciiTheme="majorHAnsi" w:hAnsiTheme="majorHAnsi" w:cstheme="majorHAnsi"/>
          <w:i/>
          <w:iCs/>
        </w:rPr>
        <w:t>.</w:t>
      </w:r>
      <w:r w:rsidR="00994F56">
        <w:rPr>
          <w:rFonts w:asciiTheme="majorHAnsi" w:hAnsiTheme="majorHAnsi" w:cstheme="majorHAnsi"/>
          <w:i/>
          <w:iCs/>
        </w:rPr>
        <w:t xml:space="preserve">  </w:t>
      </w:r>
      <w:r w:rsidR="00994F56" w:rsidRPr="00BC0856">
        <w:rPr>
          <w:rFonts w:asciiTheme="majorHAnsi" w:hAnsiTheme="majorHAnsi" w:cstheme="majorHAnsi"/>
          <w:i/>
          <w:iCs/>
        </w:rPr>
        <w:t>(jeżeli dotyczy)</w:t>
      </w:r>
    </w:p>
    <w:p w14:paraId="00000155" w14:textId="2672B625" w:rsidR="001C5D72" w:rsidRPr="00A10674" w:rsidRDefault="00B14FFA" w:rsidP="00096031">
      <w:pPr>
        <w:spacing w:line="319" w:lineRule="auto"/>
        <w:rPr>
          <w:rFonts w:asciiTheme="majorHAnsi" w:hAnsiTheme="majorHAnsi" w:cstheme="majorHAnsi"/>
        </w:rPr>
      </w:pPr>
      <w:r>
        <w:rPr>
          <w:rFonts w:asciiTheme="majorHAnsi" w:hAnsiTheme="majorHAnsi" w:cstheme="majorHAnsi"/>
        </w:rPr>
        <w:t>Załącznik nr 7 do SWZ – Wzór umowy.</w:t>
      </w:r>
    </w:p>
    <w:sectPr w:rsidR="001C5D72" w:rsidRPr="00A10674" w:rsidSect="00A43881">
      <w:headerReference w:type="default" r:id="rId47"/>
      <w:footerReference w:type="default" r:id="rId48"/>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1E75" w14:textId="77777777" w:rsidR="00A47080" w:rsidRDefault="00A47080">
      <w:pPr>
        <w:spacing w:line="240" w:lineRule="auto"/>
      </w:pPr>
      <w:r>
        <w:separator/>
      </w:r>
    </w:p>
  </w:endnote>
  <w:endnote w:type="continuationSeparator" w:id="0">
    <w:p w14:paraId="4FF37154" w14:textId="77777777" w:rsidR="00A47080" w:rsidRDefault="00A47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A8CA" w14:textId="77777777" w:rsidR="00A47080" w:rsidRDefault="00A47080">
      <w:pPr>
        <w:spacing w:line="240" w:lineRule="auto"/>
      </w:pPr>
      <w:r>
        <w:separator/>
      </w:r>
    </w:p>
  </w:footnote>
  <w:footnote w:type="continuationSeparator" w:id="0">
    <w:p w14:paraId="344CA476" w14:textId="77777777" w:rsidR="00A47080" w:rsidRDefault="00A47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F09FB0D" w:rsidR="00A47080" w:rsidRDefault="00A47080">
    <w:pPr>
      <w:rPr>
        <w:rFonts w:ascii="Calibri" w:eastAsia="Calibri" w:hAnsi="Calibri" w:cs="Calibri"/>
        <w:color w:val="434343"/>
      </w:rPr>
    </w:pPr>
    <w:r>
      <w:rPr>
        <w:rFonts w:ascii="Calibri" w:eastAsia="Calibri" w:hAnsi="Calibri" w:cs="Calibri"/>
        <w:color w:val="434343"/>
      </w:rPr>
      <w:t>Nr postępowania: ZP.271.</w:t>
    </w:r>
    <w:r w:rsidR="00022CFC">
      <w:rPr>
        <w:rFonts w:ascii="Calibri" w:eastAsia="Calibri" w:hAnsi="Calibri" w:cs="Calibri"/>
        <w:color w:val="434343"/>
      </w:rPr>
      <w:t>15</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7"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4"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6"/>
  </w:num>
  <w:num w:numId="3">
    <w:abstractNumId w:val="41"/>
  </w:num>
  <w:num w:numId="4">
    <w:abstractNumId w:val="29"/>
  </w:num>
  <w:num w:numId="5">
    <w:abstractNumId w:val="40"/>
  </w:num>
  <w:num w:numId="6">
    <w:abstractNumId w:val="34"/>
  </w:num>
  <w:num w:numId="7">
    <w:abstractNumId w:val="11"/>
  </w:num>
  <w:num w:numId="8">
    <w:abstractNumId w:val="9"/>
  </w:num>
  <w:num w:numId="9">
    <w:abstractNumId w:val="26"/>
  </w:num>
  <w:num w:numId="10">
    <w:abstractNumId w:val="14"/>
  </w:num>
  <w:num w:numId="11">
    <w:abstractNumId w:val="32"/>
  </w:num>
  <w:num w:numId="12">
    <w:abstractNumId w:val="0"/>
  </w:num>
  <w:num w:numId="13">
    <w:abstractNumId w:val="33"/>
  </w:num>
  <w:num w:numId="14">
    <w:abstractNumId w:val="18"/>
  </w:num>
  <w:num w:numId="15">
    <w:abstractNumId w:val="39"/>
  </w:num>
  <w:num w:numId="16">
    <w:abstractNumId w:val="19"/>
  </w:num>
  <w:num w:numId="17">
    <w:abstractNumId w:val="21"/>
  </w:num>
  <w:num w:numId="18">
    <w:abstractNumId w:val="25"/>
  </w:num>
  <w:num w:numId="19">
    <w:abstractNumId w:val="3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3"/>
  </w:num>
  <w:num w:numId="24">
    <w:abstractNumId w:val="20"/>
  </w:num>
  <w:num w:numId="25">
    <w:abstractNumId w:val="15"/>
  </w:num>
  <w:num w:numId="26">
    <w:abstractNumId w:val="8"/>
  </w:num>
  <w:num w:numId="27">
    <w:abstractNumId w:val="38"/>
  </w:num>
  <w:num w:numId="28">
    <w:abstractNumId w:val="31"/>
  </w:num>
  <w:num w:numId="29">
    <w:abstractNumId w:val="5"/>
  </w:num>
  <w:num w:numId="30">
    <w:abstractNumId w:val="2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2"/>
  </w:num>
  <w:num w:numId="34">
    <w:abstractNumId w:val="28"/>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3"/>
  </w:num>
  <w:num w:numId="41">
    <w:abstractNumId w:val="6"/>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AB"/>
    <w:rsid w:val="0001408A"/>
    <w:rsid w:val="00022CFC"/>
    <w:rsid w:val="0002545E"/>
    <w:rsid w:val="000270B7"/>
    <w:rsid w:val="0003039E"/>
    <w:rsid w:val="000371A9"/>
    <w:rsid w:val="000453A3"/>
    <w:rsid w:val="00045C94"/>
    <w:rsid w:val="00045FA4"/>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C6BE1"/>
    <w:rsid w:val="000D6D69"/>
    <w:rsid w:val="000F3D8A"/>
    <w:rsid w:val="000F5FAD"/>
    <w:rsid w:val="00102D43"/>
    <w:rsid w:val="001107AD"/>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4D5A"/>
    <w:rsid w:val="001B454B"/>
    <w:rsid w:val="001B6804"/>
    <w:rsid w:val="001B742A"/>
    <w:rsid w:val="001C5D72"/>
    <w:rsid w:val="001C7733"/>
    <w:rsid w:val="001D079F"/>
    <w:rsid w:val="001D16DC"/>
    <w:rsid w:val="001D6F74"/>
    <w:rsid w:val="001E189E"/>
    <w:rsid w:val="001F1189"/>
    <w:rsid w:val="001F375D"/>
    <w:rsid w:val="001F6724"/>
    <w:rsid w:val="001F6FA3"/>
    <w:rsid w:val="001F7CFB"/>
    <w:rsid w:val="002034A6"/>
    <w:rsid w:val="00206E26"/>
    <w:rsid w:val="00210F4B"/>
    <w:rsid w:val="0021411E"/>
    <w:rsid w:val="00217FF0"/>
    <w:rsid w:val="002209E9"/>
    <w:rsid w:val="002220AF"/>
    <w:rsid w:val="00226899"/>
    <w:rsid w:val="00233AAC"/>
    <w:rsid w:val="00235EBE"/>
    <w:rsid w:val="002409D3"/>
    <w:rsid w:val="00244DE0"/>
    <w:rsid w:val="002645CD"/>
    <w:rsid w:val="00271168"/>
    <w:rsid w:val="00273251"/>
    <w:rsid w:val="0027689C"/>
    <w:rsid w:val="00281381"/>
    <w:rsid w:val="00284068"/>
    <w:rsid w:val="00287869"/>
    <w:rsid w:val="00294ADE"/>
    <w:rsid w:val="0029591D"/>
    <w:rsid w:val="00296060"/>
    <w:rsid w:val="002A1844"/>
    <w:rsid w:val="002A2DE0"/>
    <w:rsid w:val="002A4E12"/>
    <w:rsid w:val="002B307A"/>
    <w:rsid w:val="002B75A1"/>
    <w:rsid w:val="002C130E"/>
    <w:rsid w:val="002C2094"/>
    <w:rsid w:val="002C40C0"/>
    <w:rsid w:val="002E108D"/>
    <w:rsid w:val="002E497D"/>
    <w:rsid w:val="002E6BFC"/>
    <w:rsid w:val="002F286A"/>
    <w:rsid w:val="00301B0F"/>
    <w:rsid w:val="00305B1B"/>
    <w:rsid w:val="00326F74"/>
    <w:rsid w:val="00344DDF"/>
    <w:rsid w:val="003467F4"/>
    <w:rsid w:val="003567CC"/>
    <w:rsid w:val="00361680"/>
    <w:rsid w:val="00377F18"/>
    <w:rsid w:val="00380FBE"/>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24543"/>
    <w:rsid w:val="00435492"/>
    <w:rsid w:val="004365D2"/>
    <w:rsid w:val="0044203E"/>
    <w:rsid w:val="00446EB5"/>
    <w:rsid w:val="00447B79"/>
    <w:rsid w:val="00450C8E"/>
    <w:rsid w:val="0045658C"/>
    <w:rsid w:val="00467564"/>
    <w:rsid w:val="00471433"/>
    <w:rsid w:val="0047516D"/>
    <w:rsid w:val="00475FE6"/>
    <w:rsid w:val="004837CA"/>
    <w:rsid w:val="00483B8D"/>
    <w:rsid w:val="00491604"/>
    <w:rsid w:val="004959CE"/>
    <w:rsid w:val="004A400F"/>
    <w:rsid w:val="004A56C0"/>
    <w:rsid w:val="004B5B12"/>
    <w:rsid w:val="004C2E0A"/>
    <w:rsid w:val="004C3F3B"/>
    <w:rsid w:val="004C76C6"/>
    <w:rsid w:val="004D51CB"/>
    <w:rsid w:val="004F2658"/>
    <w:rsid w:val="004F3ECF"/>
    <w:rsid w:val="00505136"/>
    <w:rsid w:val="005107C9"/>
    <w:rsid w:val="00512217"/>
    <w:rsid w:val="0051444A"/>
    <w:rsid w:val="005147C8"/>
    <w:rsid w:val="0052509E"/>
    <w:rsid w:val="005313D8"/>
    <w:rsid w:val="005337DC"/>
    <w:rsid w:val="00533F49"/>
    <w:rsid w:val="005350C7"/>
    <w:rsid w:val="00541386"/>
    <w:rsid w:val="005422A4"/>
    <w:rsid w:val="00544DEB"/>
    <w:rsid w:val="00554C14"/>
    <w:rsid w:val="00556783"/>
    <w:rsid w:val="00561FFA"/>
    <w:rsid w:val="00567CE6"/>
    <w:rsid w:val="00570633"/>
    <w:rsid w:val="0057369C"/>
    <w:rsid w:val="0057778E"/>
    <w:rsid w:val="00584832"/>
    <w:rsid w:val="00585FF7"/>
    <w:rsid w:val="005864EA"/>
    <w:rsid w:val="00587234"/>
    <w:rsid w:val="0059496C"/>
    <w:rsid w:val="00597488"/>
    <w:rsid w:val="005A1A1D"/>
    <w:rsid w:val="005A44C4"/>
    <w:rsid w:val="005B4887"/>
    <w:rsid w:val="005C0A8F"/>
    <w:rsid w:val="005C65DF"/>
    <w:rsid w:val="005C72C6"/>
    <w:rsid w:val="005D5C0F"/>
    <w:rsid w:val="005E6EF7"/>
    <w:rsid w:val="005F1422"/>
    <w:rsid w:val="006116B3"/>
    <w:rsid w:val="00612559"/>
    <w:rsid w:val="00621B1D"/>
    <w:rsid w:val="00635A36"/>
    <w:rsid w:val="00637F8E"/>
    <w:rsid w:val="0064460C"/>
    <w:rsid w:val="00656A3D"/>
    <w:rsid w:val="00661067"/>
    <w:rsid w:val="00661AC9"/>
    <w:rsid w:val="0067071F"/>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4D15"/>
    <w:rsid w:val="006E5E51"/>
    <w:rsid w:val="006F247A"/>
    <w:rsid w:val="006F3478"/>
    <w:rsid w:val="006F3FEB"/>
    <w:rsid w:val="006F488A"/>
    <w:rsid w:val="00703329"/>
    <w:rsid w:val="00703D85"/>
    <w:rsid w:val="00705B71"/>
    <w:rsid w:val="007106D1"/>
    <w:rsid w:val="00715F9E"/>
    <w:rsid w:val="0071612B"/>
    <w:rsid w:val="00720175"/>
    <w:rsid w:val="00722BB3"/>
    <w:rsid w:val="00723F94"/>
    <w:rsid w:val="007325D7"/>
    <w:rsid w:val="00735A3B"/>
    <w:rsid w:val="00743DE2"/>
    <w:rsid w:val="00745302"/>
    <w:rsid w:val="00752464"/>
    <w:rsid w:val="007563B1"/>
    <w:rsid w:val="007606A6"/>
    <w:rsid w:val="007636D0"/>
    <w:rsid w:val="00767DAC"/>
    <w:rsid w:val="007761FF"/>
    <w:rsid w:val="007839A2"/>
    <w:rsid w:val="00790CC7"/>
    <w:rsid w:val="00793A18"/>
    <w:rsid w:val="00794557"/>
    <w:rsid w:val="007A53EB"/>
    <w:rsid w:val="007B1BA7"/>
    <w:rsid w:val="007D1D4F"/>
    <w:rsid w:val="007D53D0"/>
    <w:rsid w:val="007E51E6"/>
    <w:rsid w:val="00803365"/>
    <w:rsid w:val="00804F73"/>
    <w:rsid w:val="00805237"/>
    <w:rsid w:val="00813FD8"/>
    <w:rsid w:val="0082243F"/>
    <w:rsid w:val="00826B05"/>
    <w:rsid w:val="00826DC8"/>
    <w:rsid w:val="00835D88"/>
    <w:rsid w:val="008472D7"/>
    <w:rsid w:val="00850AC6"/>
    <w:rsid w:val="00850EF2"/>
    <w:rsid w:val="00856FFA"/>
    <w:rsid w:val="0085770A"/>
    <w:rsid w:val="00857D03"/>
    <w:rsid w:val="008664B0"/>
    <w:rsid w:val="00874931"/>
    <w:rsid w:val="00880A31"/>
    <w:rsid w:val="00881111"/>
    <w:rsid w:val="0088231F"/>
    <w:rsid w:val="008914D8"/>
    <w:rsid w:val="008951B0"/>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307AE"/>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4206"/>
    <w:rsid w:val="00994F56"/>
    <w:rsid w:val="009A31BF"/>
    <w:rsid w:val="009A4AE7"/>
    <w:rsid w:val="009A6C15"/>
    <w:rsid w:val="009A74E5"/>
    <w:rsid w:val="009B34E2"/>
    <w:rsid w:val="009D2556"/>
    <w:rsid w:val="009E3DDB"/>
    <w:rsid w:val="009E718F"/>
    <w:rsid w:val="009F7BA4"/>
    <w:rsid w:val="00A053F4"/>
    <w:rsid w:val="00A10674"/>
    <w:rsid w:val="00A258D6"/>
    <w:rsid w:val="00A32ACB"/>
    <w:rsid w:val="00A33B8E"/>
    <w:rsid w:val="00A43881"/>
    <w:rsid w:val="00A45459"/>
    <w:rsid w:val="00A461C1"/>
    <w:rsid w:val="00A47080"/>
    <w:rsid w:val="00A75023"/>
    <w:rsid w:val="00A813CF"/>
    <w:rsid w:val="00A96A80"/>
    <w:rsid w:val="00AB2A63"/>
    <w:rsid w:val="00AB6394"/>
    <w:rsid w:val="00AC1B9C"/>
    <w:rsid w:val="00AC5260"/>
    <w:rsid w:val="00AD0456"/>
    <w:rsid w:val="00AF2298"/>
    <w:rsid w:val="00AF2A39"/>
    <w:rsid w:val="00B00F84"/>
    <w:rsid w:val="00B14FFA"/>
    <w:rsid w:val="00B159A0"/>
    <w:rsid w:val="00B2219E"/>
    <w:rsid w:val="00B22953"/>
    <w:rsid w:val="00B315CB"/>
    <w:rsid w:val="00B4166F"/>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C0856"/>
    <w:rsid w:val="00BD4AC0"/>
    <w:rsid w:val="00BE1695"/>
    <w:rsid w:val="00BE2C1F"/>
    <w:rsid w:val="00BE42C6"/>
    <w:rsid w:val="00C23CFA"/>
    <w:rsid w:val="00C27275"/>
    <w:rsid w:val="00C303E4"/>
    <w:rsid w:val="00C35BEF"/>
    <w:rsid w:val="00C41890"/>
    <w:rsid w:val="00C43A7C"/>
    <w:rsid w:val="00C466C5"/>
    <w:rsid w:val="00C5634B"/>
    <w:rsid w:val="00C628CC"/>
    <w:rsid w:val="00C62B07"/>
    <w:rsid w:val="00C6355F"/>
    <w:rsid w:val="00C63B1C"/>
    <w:rsid w:val="00C6643A"/>
    <w:rsid w:val="00C6763B"/>
    <w:rsid w:val="00C71C19"/>
    <w:rsid w:val="00C742DD"/>
    <w:rsid w:val="00C76D05"/>
    <w:rsid w:val="00C77CD6"/>
    <w:rsid w:val="00C8122C"/>
    <w:rsid w:val="00C91A2B"/>
    <w:rsid w:val="00C9460E"/>
    <w:rsid w:val="00CA7098"/>
    <w:rsid w:val="00CB256B"/>
    <w:rsid w:val="00CB268F"/>
    <w:rsid w:val="00CB66A8"/>
    <w:rsid w:val="00CC4A0C"/>
    <w:rsid w:val="00CC4DE6"/>
    <w:rsid w:val="00CC4F47"/>
    <w:rsid w:val="00CD26BA"/>
    <w:rsid w:val="00CD29A3"/>
    <w:rsid w:val="00CD6886"/>
    <w:rsid w:val="00CD76EA"/>
    <w:rsid w:val="00CE5605"/>
    <w:rsid w:val="00CE5720"/>
    <w:rsid w:val="00CF6FD6"/>
    <w:rsid w:val="00D012B4"/>
    <w:rsid w:val="00D03EEF"/>
    <w:rsid w:val="00D07495"/>
    <w:rsid w:val="00D109AB"/>
    <w:rsid w:val="00D12C81"/>
    <w:rsid w:val="00D16686"/>
    <w:rsid w:val="00D24CD4"/>
    <w:rsid w:val="00D25206"/>
    <w:rsid w:val="00D34576"/>
    <w:rsid w:val="00D36C75"/>
    <w:rsid w:val="00D4527E"/>
    <w:rsid w:val="00D4775D"/>
    <w:rsid w:val="00D51A9B"/>
    <w:rsid w:val="00D64AB4"/>
    <w:rsid w:val="00D67EF9"/>
    <w:rsid w:val="00D74830"/>
    <w:rsid w:val="00D767C0"/>
    <w:rsid w:val="00D82F07"/>
    <w:rsid w:val="00D96EA2"/>
    <w:rsid w:val="00DA1F6E"/>
    <w:rsid w:val="00DB0697"/>
    <w:rsid w:val="00DB63FF"/>
    <w:rsid w:val="00DC2C9E"/>
    <w:rsid w:val="00DC2CBA"/>
    <w:rsid w:val="00DC3BB0"/>
    <w:rsid w:val="00DC462A"/>
    <w:rsid w:val="00DD52B3"/>
    <w:rsid w:val="00DD64A6"/>
    <w:rsid w:val="00DE2D91"/>
    <w:rsid w:val="00DE36D5"/>
    <w:rsid w:val="00DE40E4"/>
    <w:rsid w:val="00DF1295"/>
    <w:rsid w:val="00DF5FBA"/>
    <w:rsid w:val="00E027B4"/>
    <w:rsid w:val="00E21B81"/>
    <w:rsid w:val="00E26359"/>
    <w:rsid w:val="00E305F3"/>
    <w:rsid w:val="00E316C6"/>
    <w:rsid w:val="00E32059"/>
    <w:rsid w:val="00E33983"/>
    <w:rsid w:val="00E446C7"/>
    <w:rsid w:val="00E508E1"/>
    <w:rsid w:val="00E550CD"/>
    <w:rsid w:val="00E607A4"/>
    <w:rsid w:val="00E65E93"/>
    <w:rsid w:val="00E7717C"/>
    <w:rsid w:val="00E820B6"/>
    <w:rsid w:val="00E937B0"/>
    <w:rsid w:val="00E93BFA"/>
    <w:rsid w:val="00E9545A"/>
    <w:rsid w:val="00EA572A"/>
    <w:rsid w:val="00EA5D61"/>
    <w:rsid w:val="00EB2D86"/>
    <w:rsid w:val="00EB3CA2"/>
    <w:rsid w:val="00EB52E8"/>
    <w:rsid w:val="00EB5EE9"/>
    <w:rsid w:val="00ED1EB5"/>
    <w:rsid w:val="00EE4FC1"/>
    <w:rsid w:val="00EF17F9"/>
    <w:rsid w:val="00EF4BB5"/>
    <w:rsid w:val="00EF75B4"/>
    <w:rsid w:val="00EF76F4"/>
    <w:rsid w:val="00F00266"/>
    <w:rsid w:val="00F01CAD"/>
    <w:rsid w:val="00F046CE"/>
    <w:rsid w:val="00F142AF"/>
    <w:rsid w:val="00F37E70"/>
    <w:rsid w:val="00F434F3"/>
    <w:rsid w:val="00F47394"/>
    <w:rsid w:val="00F54DD1"/>
    <w:rsid w:val="00F62D2F"/>
    <w:rsid w:val="00F67F03"/>
    <w:rsid w:val="00F70B8B"/>
    <w:rsid w:val="00F76792"/>
    <w:rsid w:val="00F861AC"/>
    <w:rsid w:val="00F92473"/>
    <w:rsid w:val="00F9411D"/>
    <w:rsid w:val="00FA2868"/>
    <w:rsid w:val="00FB2495"/>
    <w:rsid w:val="00FB532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Leopold.wiorek@rokietnic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25</Pages>
  <Words>9383</Words>
  <Characters>56299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Halina Wroniecka</cp:lastModifiedBy>
  <cp:revision>10</cp:revision>
  <cp:lastPrinted>2021-06-16T06:53:00Z</cp:lastPrinted>
  <dcterms:created xsi:type="dcterms:W3CDTF">2021-12-06T13:04:00Z</dcterms:created>
  <dcterms:modified xsi:type="dcterms:W3CDTF">2021-12-30T08:40:00Z</dcterms:modified>
</cp:coreProperties>
</file>