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center"/>
        <w:rPr>
          <w:rFonts w:ascii="Calibri" w:hAnsi="Calibri"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WYKAZ DOSTAW </w:t>
      </w:r>
    </w:p>
    <w:p>
      <w:pPr>
        <w:pStyle w:val="Normal"/>
        <w:jc w:val="left"/>
        <w:rPr/>
      </w:pPr>
      <w:r>
        <w:rPr>
          <w:rFonts w:cs="Times New Roman"/>
          <w:b/>
          <w:bCs/>
          <w:sz w:val="24"/>
          <w:szCs w:val="24"/>
        </w:rPr>
        <w:t>Nazwa postępowania</w:t>
      </w:r>
      <w:r>
        <w:rPr>
          <w:rFonts w:cs="Times New Roman"/>
          <w:sz w:val="24"/>
          <w:szCs w:val="24"/>
        </w:rPr>
        <w:t xml:space="preserve">: </w:t>
      </w:r>
      <w:r>
        <w:rPr>
          <w:rFonts w:eastAsia="Tahoma" w:cs="Times New Roman" w:ascii="Times New Roman" w:hAnsi="Times New Roman"/>
          <w:b/>
          <w:bCs/>
          <w:i w:val="false"/>
          <w:iCs w:val="false"/>
          <w:caps/>
          <w:color w:val="000000"/>
          <w:spacing w:val="10"/>
          <w:kern w:val="2"/>
          <w:sz w:val="24"/>
          <w:szCs w:val="24"/>
          <w:lang w:val="pl-PL" w:eastAsia="zxx" w:bidi="ar-SA"/>
        </w:rPr>
        <w:t>D</w:t>
      </w:r>
      <w:r>
        <w:rPr>
          <w:rFonts w:eastAsia="Tahoma" w:cs="Times New Roman" w:ascii="Times New Roman" w:hAnsi="Times New Roman"/>
          <w:b/>
          <w:bCs/>
          <w:i w:val="false"/>
          <w:iCs w:val="false"/>
          <w:caps/>
          <w:color w:val="000000"/>
          <w:spacing w:val="10"/>
          <w:kern w:val="2"/>
          <w:sz w:val="24"/>
          <w:szCs w:val="24"/>
          <w:lang w:val="pl-PL" w:eastAsia="zxx" w:bidi="ar-SA"/>
        </w:rPr>
        <w:t>OSTAWA</w:t>
      </w:r>
      <w:r>
        <w:rPr>
          <w:rFonts w:eastAsia="Tahoma" w:cs="Times New Roman" w:ascii="Times New Roman" w:hAnsi="Times New Roman"/>
          <w:b/>
          <w:bCs/>
          <w:i w:val="false"/>
          <w:iCs w:val="false"/>
          <w:caps/>
          <w:color w:val="000000"/>
          <w:spacing w:val="10"/>
          <w:kern w:val="2"/>
          <w:sz w:val="24"/>
          <w:szCs w:val="24"/>
          <w:lang w:val="pl-PL" w:eastAsia="zxx" w:bidi="ar-SA"/>
        </w:rPr>
        <w:t xml:space="preserve"> KAMIENNEJ SOLI DROGOWEJ  NA POTRZEBY</w:t>
      </w:r>
      <w:r>
        <w:rPr>
          <w:rFonts w:eastAsia="Tahoma" w:cs="Times New Roman" w:ascii="Times New Roman" w:hAnsi="Times New Roman"/>
          <w:b/>
          <w:bCs/>
          <w:i w:val="false"/>
          <w:iCs w:val="false"/>
          <w:caps/>
          <w:color w:val="000000"/>
          <w:spacing w:val="10"/>
          <w:kern w:val="2"/>
          <w:sz w:val="24"/>
          <w:szCs w:val="24"/>
          <w:lang w:val="pl-PL" w:eastAsia="zxx" w:bidi="ar-SA"/>
        </w:rPr>
        <w:t xml:space="preserve"> </w:t>
      </w:r>
      <w:r>
        <w:rPr>
          <w:rFonts w:eastAsia="Tahoma" w:cs="Times New Roman" w:ascii="Times New Roman" w:hAnsi="Times New Roman"/>
          <w:b/>
          <w:bCs/>
          <w:i w:val="false"/>
          <w:iCs w:val="false"/>
          <w:caps/>
          <w:color w:val="000000"/>
          <w:spacing w:val="10"/>
          <w:kern w:val="2"/>
          <w:sz w:val="24"/>
          <w:szCs w:val="24"/>
          <w:lang w:val="pl-PL" w:eastAsia="zxx" w:bidi="ar-SA"/>
        </w:rPr>
        <w:t>Z</w:t>
      </w:r>
      <w:r>
        <w:rPr>
          <w:rFonts w:eastAsia="Tahoma" w:cs="Times New Roman" w:ascii="Times New Roman" w:hAnsi="Times New Roman"/>
          <w:b/>
          <w:bCs/>
          <w:i w:val="false"/>
          <w:iCs w:val="false"/>
          <w:caps/>
          <w:color w:val="000000"/>
          <w:spacing w:val="10"/>
          <w:kern w:val="2"/>
          <w:sz w:val="24"/>
          <w:szCs w:val="24"/>
          <w:lang w:val="pl-PL" w:eastAsia="zxx" w:bidi="ar-SA"/>
        </w:rPr>
        <w:t xml:space="preserve">UD </w:t>
      </w:r>
      <w:r>
        <w:rPr>
          <w:rFonts w:eastAsia="Tahoma" w:cs="Times New Roman" w:ascii="Times New Roman" w:hAnsi="Times New Roman"/>
          <w:b/>
          <w:bCs/>
          <w:i w:val="false"/>
          <w:iCs w:val="false"/>
          <w:caps/>
          <w:color w:val="000000"/>
          <w:spacing w:val="10"/>
          <w:kern w:val="2"/>
          <w:sz w:val="24"/>
          <w:szCs w:val="24"/>
          <w:lang w:val="pl-PL" w:eastAsia="zxx" w:bidi="ar-SA"/>
        </w:rPr>
        <w:t>2023/2024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Oświadczam, iż w okresie </w:t>
      </w:r>
      <w:r>
        <w:rPr>
          <w:rFonts w:eastAsia="Calibri" w:cs="Times New Roman" w:eastAsiaTheme="minorHAnsi"/>
          <w:color w:val="auto"/>
          <w:kern w:val="0"/>
          <w:sz w:val="24"/>
          <w:szCs w:val="24"/>
          <w:lang w:val="pl-PL" w:eastAsia="en-US" w:bidi="ar-SA"/>
        </w:rPr>
        <w:t>3</w:t>
      </w:r>
      <w:r>
        <w:rPr>
          <w:rFonts w:cs="Times New Roman"/>
          <w:sz w:val="24"/>
          <w:szCs w:val="24"/>
        </w:rPr>
        <w:t xml:space="preserve"> ostatnich lat licząc od daty wszczęcia niniejszego </w:t>
      </w:r>
      <w:r>
        <w:rPr>
          <w:rFonts w:eastAsia="Times New Roman" w:cs="Times New Roman"/>
          <w:color w:val="auto"/>
          <w:kern w:val="2"/>
          <w:sz w:val="24"/>
          <w:szCs w:val="24"/>
          <w:lang w:val="pl-PL" w:eastAsia="zh-CN" w:bidi="ar-SA"/>
        </w:rPr>
        <w:t>postępowania</w:t>
      </w:r>
      <w:r>
        <w:rPr>
          <w:rFonts w:cs="Times New Roman"/>
          <w:sz w:val="24"/>
          <w:szCs w:val="24"/>
        </w:rPr>
        <w:t xml:space="preserve"> wykonałem następujące dostawy:</w:t>
      </w:r>
    </w:p>
    <w:tbl>
      <w:tblPr>
        <w:tblW w:w="10024" w:type="dxa"/>
        <w:jc w:val="left"/>
        <w:tblInd w:w="-15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2534"/>
        <w:gridCol w:w="1859"/>
        <w:gridCol w:w="1653"/>
        <w:gridCol w:w="1653"/>
        <w:gridCol w:w="1782"/>
      </w:tblGrid>
      <w:tr>
        <w:trPr>
          <w:trHeight w:val="1755" w:hRule="atLeast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LP.</w:t>
            </w:r>
          </w:p>
          <w:p>
            <w:pPr>
              <w:pStyle w:val="Normal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  <w:p>
            <w:pPr>
              <w:pStyle w:val="Normal"/>
              <w:spacing w:before="0" w:after="16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Rodzaj dostawy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Nazwa i adres odbiorcy, dla którego wykonano roboty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>
                <w:rFonts w:eastAsia="Calibri" w:cs="Times New Roman" w:eastAsiaTheme="minorHAnsi"/>
                <w:color w:val="auto"/>
                <w:kern w:val="0"/>
                <w:sz w:val="20"/>
                <w:szCs w:val="20"/>
                <w:lang w:val="pl-PL" w:eastAsia="en-US" w:bidi="ar-SA"/>
              </w:rPr>
              <w:t>Wartość brutto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Data wykonania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Nazwa i adres Wykonawcy </w:t>
            </w:r>
            <w:r>
              <w:rPr>
                <w:rFonts w:eastAsia="Times New Roman" w:cs="Times New Roman"/>
                <w:color w:val="auto"/>
                <w:kern w:val="2"/>
                <w:sz w:val="20"/>
                <w:szCs w:val="20"/>
                <w:lang w:val="pl-PL" w:eastAsia="zh-CN" w:bidi="ar-SA"/>
              </w:rPr>
              <w:t>dostaw</w:t>
            </w:r>
            <w:r>
              <w:rPr>
                <w:rFonts w:eastAsia="Times New Roman" w:cs="Times New Roman"/>
                <w:color w:val="auto"/>
                <w:kern w:val="2"/>
                <w:sz w:val="20"/>
                <w:szCs w:val="20"/>
                <w:vertAlign w:val="superscript"/>
                <w:lang w:val="pl-PL" w:eastAsia="zh-CN" w:bidi="ar-SA"/>
              </w:rPr>
              <w:t>2</w:t>
            </w:r>
          </w:p>
        </w:tc>
      </w:tr>
      <w:tr>
        <w:trPr>
          <w:trHeight w:val="1185" w:hRule="atLeast"/>
        </w:trPr>
        <w:tc>
          <w:tcPr>
            <w:tcW w:w="542" w:type="dxa"/>
            <w:tcBorders>
              <w:lef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534" w:type="dxa"/>
            <w:tcBorders>
              <w:lef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59" w:type="dxa"/>
            <w:tcBorders>
              <w:lef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653" w:type="dxa"/>
            <w:tcBorders>
              <w:lef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lef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82" w:type="dxa"/>
            <w:tcBorders>
              <w:left w:val="single" w:sz="2" w:space="0" w:color="000000"/>
              <w:righ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185" w:hRule="atLeast"/>
        </w:trPr>
        <w:tc>
          <w:tcPr>
            <w:tcW w:w="542" w:type="dxa"/>
            <w:tcBorders>
              <w:lef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534" w:type="dxa"/>
            <w:tcBorders>
              <w:lef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59" w:type="dxa"/>
            <w:tcBorders>
              <w:lef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653" w:type="dxa"/>
            <w:tcBorders>
              <w:lef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lef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82" w:type="dxa"/>
            <w:tcBorders>
              <w:left w:val="single" w:sz="2" w:space="0" w:color="000000"/>
              <w:righ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185" w:hRule="atLeast"/>
        </w:trPr>
        <w:tc>
          <w:tcPr>
            <w:tcW w:w="542" w:type="dxa"/>
            <w:tcBorders>
              <w:left w:val="single" w:sz="2" w:space="0" w:color="000000"/>
              <w:bottom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napToGrid w:val="false"/>
              <w:spacing w:before="0" w:after="16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2534" w:type="dxa"/>
            <w:tcBorders>
              <w:left w:val="single" w:sz="2" w:space="0" w:color="000000"/>
              <w:bottom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59" w:type="dxa"/>
            <w:tcBorders>
              <w:left w:val="single" w:sz="2" w:space="0" w:color="000000"/>
              <w:bottom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653" w:type="dxa"/>
            <w:tcBorders>
              <w:left w:val="single" w:sz="2" w:space="0" w:color="000000"/>
              <w:bottom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/>
            </w:pPr>
            <w:r>
              <w:rPr/>
            </w:r>
          </w:p>
        </w:tc>
        <w:tc>
          <w:tcPr>
            <w:tcW w:w="1653" w:type="dxa"/>
            <w:tcBorders>
              <w:left w:val="single" w:sz="2" w:space="0" w:color="000000"/>
              <w:bottom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EEAF6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Wraz z wykazem składam dowody określające, czy ww. </w:t>
      </w:r>
      <w:r>
        <w:rPr>
          <w:rFonts w:eastAsia="Times New Roman" w:cs="Times New Roman"/>
          <w:color w:val="auto"/>
          <w:kern w:val="2"/>
          <w:sz w:val="24"/>
          <w:szCs w:val="24"/>
          <w:lang w:val="pl-PL" w:eastAsia="pl-PL" w:bidi="ar-SA"/>
        </w:rPr>
        <w:t>dostawy</w:t>
      </w:r>
      <w:r>
        <w:rPr>
          <w:rFonts w:eastAsia="Times New Roman" w:cs="Times New Roman"/>
          <w:sz w:val="24"/>
          <w:szCs w:val="24"/>
          <w:lang w:eastAsia="pl-PL"/>
        </w:rPr>
        <w:t xml:space="preserve"> zostały wykonane należycie, w szczególności informacje o tym czy </w:t>
      </w:r>
      <w:r>
        <w:rPr>
          <w:rFonts w:eastAsia="Times New Roman" w:cs="Times New Roman"/>
          <w:color w:val="auto"/>
          <w:kern w:val="2"/>
          <w:sz w:val="24"/>
          <w:szCs w:val="24"/>
          <w:lang w:val="pl-PL" w:eastAsia="pl-PL" w:bidi="ar-SA"/>
        </w:rPr>
        <w:t>dostawy</w:t>
      </w:r>
      <w:r>
        <w:rPr>
          <w:rFonts w:eastAsia="Times New Roman" w:cs="Times New Roman"/>
          <w:sz w:val="24"/>
          <w:szCs w:val="24"/>
          <w:lang w:eastAsia="pl-PL"/>
        </w:rPr>
        <w:t xml:space="preserve"> zostały wykonane zgodnie z obowiązującymi przepisami prawa i prawidłowo ukończone, przy czym dowodami, o których mowa są referencje bądź inne dokumenty wystawione przez podmiot, na rzecz którego </w:t>
      </w:r>
      <w:r>
        <w:rPr>
          <w:rFonts w:eastAsia="Times New Roman" w:cs="Times New Roman"/>
          <w:color w:val="auto"/>
          <w:kern w:val="2"/>
          <w:sz w:val="24"/>
          <w:szCs w:val="24"/>
          <w:lang w:val="pl-PL" w:eastAsia="pl-PL" w:bidi="ar-SA"/>
        </w:rPr>
        <w:t>dostawy</w:t>
      </w:r>
      <w:r>
        <w:rPr>
          <w:rFonts w:eastAsia="Times New Roman" w:cs="Times New Roman"/>
          <w:sz w:val="24"/>
          <w:szCs w:val="24"/>
          <w:lang w:eastAsia="pl-PL"/>
        </w:rPr>
        <w:t xml:space="preserve"> były wykonywane, a jeżeli z uzasadnionej przyczyny o obiektywnym charakterze wykonawca nie jest w stanie uzyskać tych dokumentów – inne dokumenty.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</w:r>
    </w:p>
    <w:p>
      <w:pPr>
        <w:pStyle w:val="Normal"/>
        <w:tabs>
          <w:tab w:val="clear" w:pos="708"/>
          <w:tab w:val="left" w:pos="0" w:leader="none"/>
        </w:tabs>
        <w:suppressAutoHyphens w:val="true"/>
        <w:spacing w:lineRule="auto" w:line="360" w:before="0" w:after="0"/>
        <w:ind w:left="0" w:right="57" w:hanging="0"/>
        <w:rPr>
          <w:rFonts w:ascii="Calibri" w:hAnsi="Calibri"/>
          <w:sz w:val="16"/>
          <w:szCs w:val="16"/>
        </w:rPr>
      </w:pPr>
      <w:r>
        <w:rPr>
          <w:rFonts w:eastAsia="Times New Roman" w:cs="Calibri"/>
          <w:b/>
          <w:bCs/>
          <w:sz w:val="16"/>
          <w:szCs w:val="16"/>
          <w:lang w:eastAsia="pl-PL"/>
        </w:rPr>
        <w:t xml:space="preserve">DOKUMENT NALEŻY OPATRZYĆ KWALIFIKOWANYM PODPISEM ELEKTRONICZNYM LUB PODPISEM ZAUFANYM LUB PODPISEM OSOBISTYM </w:t>
      </w:r>
    </w:p>
    <w:p>
      <w:pPr>
        <w:pStyle w:val="Normal"/>
        <w:tabs>
          <w:tab w:val="clear" w:pos="708"/>
          <w:tab w:val="left" w:pos="0" w:leader="none"/>
        </w:tabs>
        <w:suppressAutoHyphens w:val="true"/>
        <w:spacing w:lineRule="auto" w:line="360" w:before="0" w:after="0"/>
        <w:ind w:left="0" w:right="57" w:hanging="0"/>
        <w:jc w:val="both"/>
        <w:rPr/>
      </w:pPr>
      <w:r>
        <w:rPr>
          <w:rFonts w:eastAsia="Times New Roman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1417" w:bottom="3895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both"/>
      <w:rPr>
        <w:b w:val="false"/>
        <w:b w:val="false"/>
        <w:bCs w:val="false"/>
      </w:rPr>
    </w:pPr>
    <w:r>
      <w:rPr>
        <w:rFonts w:eastAsia="Times New Roman" w:cs="Times New Roman"/>
        <w:b w:val="false"/>
        <w:bCs w:val="false"/>
        <w:color w:val="auto"/>
        <w:kern w:val="2"/>
        <w:sz w:val="16"/>
        <w:szCs w:val="16"/>
        <w:vertAlign w:val="superscript"/>
        <w:lang w:val="pl-PL" w:eastAsia="zh-CN" w:bidi="ar-SA"/>
      </w:rPr>
      <w:t>1</w:t>
    </w:r>
    <w:r>
      <w:rPr>
        <w:rFonts w:cs="Times New Roman"/>
        <w:b w:val="false"/>
        <w:bCs w:val="false"/>
        <w:sz w:val="16"/>
        <w:szCs w:val="16"/>
      </w:rPr>
      <w:t xml:space="preserve"> Zgodnie  z opisem warunku udziału w postępowaniu w zakresie wiedzy i doświadczenia  należy wskazać zakres wykonanych robót składających się na roboty opisane w pkt. </w:t>
    </w:r>
    <w:r>
      <w:rPr>
        <w:rFonts w:eastAsia="Calibri" w:cs="Times New Roman" w:eastAsiaTheme="minorHAnsi"/>
        <w:b w:val="false"/>
        <w:bCs w:val="false"/>
        <w:color w:val="auto"/>
        <w:kern w:val="0"/>
        <w:sz w:val="16"/>
        <w:szCs w:val="16"/>
        <w:lang w:val="pl-PL" w:eastAsia="en-US" w:bidi="ar-SA"/>
      </w:rPr>
      <w:t>VII</w:t>
    </w:r>
    <w:r>
      <w:rPr>
        <w:rFonts w:cs="Times New Roman"/>
        <w:b w:val="false"/>
        <w:bCs w:val="false"/>
        <w:sz w:val="16"/>
        <w:szCs w:val="16"/>
      </w:rPr>
      <w:t>.</w:t>
    </w:r>
    <w:r>
      <w:rPr>
        <w:rFonts w:eastAsia="Calibri" w:cs="Times New Roman" w:eastAsiaTheme="minorHAnsi"/>
        <w:b w:val="false"/>
        <w:bCs w:val="false"/>
        <w:color w:val="auto"/>
        <w:kern w:val="0"/>
        <w:sz w:val="16"/>
        <w:szCs w:val="16"/>
        <w:lang w:val="pl-PL" w:eastAsia="en-US" w:bidi="ar-SA"/>
      </w:rPr>
      <w:t xml:space="preserve">4b)  </w:t>
    </w:r>
    <w:r>
      <w:rPr>
        <w:rFonts w:cs="Times New Roman"/>
        <w:b w:val="false"/>
        <w:bCs w:val="false"/>
        <w:sz w:val="16"/>
        <w:szCs w:val="16"/>
      </w:rPr>
      <w:t>SWZ.</w:t>
    </w:r>
  </w:p>
  <w:p>
    <w:pPr>
      <w:pStyle w:val="Normal"/>
      <w:jc w:val="both"/>
      <w:rPr>
        <w:b w:val="false"/>
        <w:b w:val="false"/>
        <w:bCs w:val="false"/>
      </w:rPr>
    </w:pPr>
    <w:r>
      <w:rPr>
        <w:rFonts w:cs="Times New Roman"/>
        <w:b w:val="false"/>
        <w:bCs w:val="false"/>
        <w:sz w:val="16"/>
        <w:szCs w:val="16"/>
        <w:vertAlign w:val="superscript"/>
      </w:rPr>
      <w:t xml:space="preserve">2 </w:t>
    </w:r>
    <w:r>
      <w:rPr>
        <w:rFonts w:cs="Times New Roman"/>
        <w:b w:val="false"/>
        <w:bCs w:val="false"/>
        <w:sz w:val="16"/>
        <w:szCs w:val="16"/>
      </w:rPr>
      <w:t xml:space="preserve">W przypadku, gdy Wykonawca dysponuje własną wiedzą i doświadczeniem wskazuje własną nazwę i adres. W przypadku Wykonawców wspólnie ubiegających się o udzielenie Zamówienia należy wskazać nazwę i adres Wykonawcy lub Wykonawców posiadających wiedzę i doświadczenie. Jeżeli Wykonawca, wykazując spełnianie warunku w zakresie zdolności technicznej lub zawodowej opisanego w przetargu, polega na zasobach innych podmiotów zobowiązany jest udowodnić Zamawiającemu, iż będzie dysponował ww. zasobami, w szczególności przedstawiając w tym celu pisemne zobowiązanie podmiotów do oddania mu do dyspozycji ww. zasobów na potrzeby realizacji zamówienia.  </w:t>
    </w:r>
  </w:p>
  <w:p>
    <w:pPr>
      <w:pStyle w:val="Normal"/>
      <w:spacing w:before="0" w:after="160"/>
      <w:rPr/>
    </w:pPr>
    <w:r>
      <w:rPr>
        <w:sz w:val="16"/>
        <w:szCs w:val="16"/>
      </w:rPr>
      <w:tab/>
      <w:tab/>
      <w:tab/>
      <w:tab/>
      <w:tab/>
      <w:tab/>
      <w:tab/>
      <w:t xml:space="preserve">     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kstdymka"/>
      <w:spacing w:before="0" w:after="0"/>
      <w:rPr/>
    </w:pPr>
    <w:r>
      <w:rPr>
        <w:rFonts w:eastAsia="Calibri" w:cs="Calibri" w:ascii="Calibri" w:hAnsi="Calibri"/>
        <w:b/>
        <w:bCs/>
        <w:i w:val="false"/>
        <w:iCs w:val="false"/>
        <w:color w:val="000000"/>
        <w:kern w:val="0"/>
        <w:sz w:val="24"/>
        <w:szCs w:val="24"/>
        <w:lang w:val="pl-PL" w:eastAsia="en-US" w:bidi="hi-IN"/>
      </w:rPr>
      <w:t>Załącznik nr</w:t>
    </w:r>
    <w:r>
      <w:rPr>
        <w:rFonts w:eastAsia="Calibri" w:cs="Calibri" w:ascii="Calibri" w:hAnsi="Calibri" w:asciiTheme="minorHAnsi" w:eastAsiaTheme="minorHAnsi" w:hAnsiTheme="minorHAnsi"/>
        <w:b/>
        <w:bCs/>
        <w:i w:val="false"/>
        <w:iCs w:val="false"/>
        <w:color w:val="auto"/>
        <w:kern w:val="0"/>
        <w:sz w:val="24"/>
        <w:szCs w:val="24"/>
        <w:lang w:val="pl-PL" w:eastAsia="en-US" w:bidi="ar-SA"/>
      </w:rPr>
      <w:t xml:space="preserve"> 2</w:t>
    </w:r>
  </w:p>
  <w:p>
    <w:pPr>
      <w:pStyle w:val="Tekstdymka"/>
      <w:spacing w:before="0" w:after="0"/>
      <w:rPr/>
    </w:pPr>
    <w:r>
      <w:rPr>
        <w:rFonts w:eastAsia="Calibri" w:cs="Calibri" w:ascii="Calibri" w:hAnsi="Calibri" w:asciiTheme="minorHAnsi" w:eastAsiaTheme="minorHAnsi" w:hAnsiTheme="minorHAnsi"/>
        <w:b/>
        <w:bCs/>
        <w:i w:val="false"/>
        <w:iCs w:val="false"/>
        <w:color w:val="auto"/>
        <w:kern w:val="0"/>
        <w:sz w:val="24"/>
        <w:szCs w:val="24"/>
        <w:lang w:val="pl-PL" w:eastAsia="en-US" w:bidi="ar-SA"/>
      </w:rPr>
      <w:t>P</w:t>
    </w:r>
    <w:r>
      <w:rPr>
        <w:rFonts w:eastAsia="Calibri" w:cs="Calibri" w:ascii="Calibri" w:hAnsi="Calibri"/>
        <w:b/>
        <w:bCs/>
        <w:i w:val="false"/>
        <w:iCs w:val="false"/>
        <w:color w:val="000000"/>
        <w:kern w:val="0"/>
        <w:sz w:val="24"/>
        <w:szCs w:val="24"/>
        <w:lang w:val="pl-PL" w:eastAsia="en-US" w:bidi="hi-IN"/>
      </w:rPr>
      <w:t>ostępowanie  Nr  0</w:t>
    </w:r>
    <w:r>
      <w:rPr>
        <w:rFonts w:eastAsia="Calibri" w:cs="Calibri" w:ascii="Calibri" w:hAnsi="Calibri"/>
        <w:b/>
        <w:bCs/>
        <w:i w:val="false"/>
        <w:iCs w:val="false"/>
        <w:color w:val="000000"/>
        <w:kern w:val="0"/>
        <w:sz w:val="24"/>
        <w:szCs w:val="24"/>
        <w:lang w:val="pl-PL" w:eastAsia="en-US" w:bidi="hi-IN"/>
      </w:rPr>
      <w:t>6</w:t>
    </w:r>
    <w:r>
      <w:rPr>
        <w:rFonts w:eastAsia="Calibri" w:cs="Calibri" w:ascii="Calibri" w:hAnsi="Calibri"/>
        <w:b/>
        <w:bCs/>
        <w:i w:val="false"/>
        <w:iCs w:val="false"/>
        <w:color w:val="000000"/>
        <w:kern w:val="0"/>
        <w:sz w:val="24"/>
        <w:szCs w:val="24"/>
        <w:lang w:val="pl-PL" w:eastAsia="en-US" w:bidi="hi-IN"/>
      </w:rPr>
      <w:t>/AMD/2023</w:t>
    </w:r>
  </w:p>
  <w:p>
    <w:pPr>
      <w:pStyle w:val="Gwka"/>
      <w:widowControl/>
      <w:tabs>
        <w:tab w:val="clear" w:pos="9072"/>
        <w:tab w:val="center" w:pos="4536" w:leader="none"/>
        <w:tab w:val="right" w:pos="9750" w:leader="none"/>
      </w:tabs>
      <w:bidi w:val="0"/>
      <w:spacing w:lineRule="auto" w:line="240" w:before="0" w:after="0"/>
      <w:ind w:left="0" w:right="-397" w:hanging="0"/>
      <w:jc w:val="left"/>
      <w:rPr>
        <w:rFonts w:ascii="Calibri" w:hAnsi="Calibri" w:eastAsia="Tahoma" w:cs="Calibri"/>
        <w:b/>
        <w:b/>
        <w:bCs/>
        <w:i w:val="false"/>
        <w:i w:val="false"/>
        <w:iCs w:val="false"/>
        <w:caps/>
        <w:color w:val="000000"/>
        <w:spacing w:val="10"/>
        <w:kern w:val="2"/>
        <w:sz w:val="24"/>
        <w:szCs w:val="24"/>
        <w:lang w:val="pl-PL" w:eastAsia="zh-CN" w:bidi="ar-SA"/>
      </w:rPr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ff2260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ff2260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745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a7453"/>
    <w:rPr/>
  </w:style>
  <w:style w:type="character" w:styleId="Znakiprzypiswkocowych">
    <w:name w:val="Znaki przypisów końcow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b2571a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ff2260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a745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a745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dymka">
    <w:name w:val="Tekst dymka"/>
    <w:basedOn w:val="Normal"/>
    <w:next w:val="LONormal"/>
    <w:qFormat/>
    <w:pPr/>
    <w:rPr>
      <w:rFonts w:ascii="Segoe UI" w:hAnsi="Segoe UI" w:cs="Mangal"/>
      <w:sz w:val="18"/>
      <w:szCs w:val="16"/>
    </w:rPr>
  </w:style>
  <w:style w:type="paragraph" w:styleId="LONormal">
    <w:name w:val="LO-Normal"/>
    <w:basedOn w:val="Normal"/>
    <w:next w:val="Nagwek3"/>
    <w:qFormat/>
    <w:pPr/>
    <w:rPr>
      <w:rFonts w:ascii="Tahoma" w:hAnsi="Tahoma" w:eastAsia="Tahoma" w:cs="Tahoma"/>
      <w:color w:val="000000"/>
      <w:lang w:val="en-US" w:bidi="en-US"/>
    </w:rPr>
  </w:style>
  <w:style w:type="paragraph" w:styleId="Nagwek3">
    <w:name w:val="Nagłówek3"/>
    <w:basedOn w:val="Normal"/>
    <w:next w:val="Podpis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LibreOffice/6.3.2.2$Windows_x86 LibreOffice_project/98b30e735bda24bc04ab42594c85f7fd8be07b9c</Application>
  <Pages>1</Pages>
  <Words>266</Words>
  <Characters>1717</Characters>
  <CharactersWithSpaces>1993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2021-02-26T09:26:00Z</dcterms:created>
  <dc:creator>Łukasz Laszczyński</dc:creator>
  <dc:description/>
  <dc:language>pl-PL</dc:language>
  <cp:lastModifiedBy/>
  <cp:lastPrinted>2021-02-25T19:58:00Z</cp:lastPrinted>
  <dcterms:modified xsi:type="dcterms:W3CDTF">2023-08-30T10:34:13Z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