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645" w14:textId="77777777" w:rsidR="00F83DC6" w:rsidRDefault="00F83DC6" w:rsidP="00F83DC6">
      <w:pPr>
        <w:jc w:val="center"/>
        <w:rPr>
          <w:noProof/>
        </w:rPr>
      </w:pPr>
    </w:p>
    <w:p w14:paraId="1D39FD2E" w14:textId="77777777" w:rsidR="00F83DC6" w:rsidRDefault="00F83DC6" w:rsidP="00F83DC6">
      <w:pPr>
        <w:rPr>
          <w:noProof/>
        </w:rPr>
      </w:pPr>
    </w:p>
    <w:p w14:paraId="54B287B4" w14:textId="77777777" w:rsidR="00F83DC6" w:rsidRDefault="00F83DC6" w:rsidP="00F83DC6">
      <w:pPr>
        <w:jc w:val="center"/>
      </w:pPr>
      <w:r w:rsidRPr="009F7CE6">
        <w:rPr>
          <w:noProof/>
        </w:rPr>
        <w:drawing>
          <wp:inline distT="0" distB="0" distL="0" distR="0" wp14:anchorId="0A0EA7C5" wp14:editId="6F46DEB8">
            <wp:extent cx="2448000" cy="2874079"/>
            <wp:effectExtent l="0" t="0" r="0" b="0"/>
            <wp:docPr id="12437652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023" cy="2881151"/>
                    </a:xfrm>
                    <a:prstGeom prst="rect">
                      <a:avLst/>
                    </a:prstGeom>
                    <a:noFill/>
                    <a:ln>
                      <a:noFill/>
                    </a:ln>
                  </pic:spPr>
                </pic:pic>
              </a:graphicData>
            </a:graphic>
          </wp:inline>
        </w:drawing>
      </w:r>
    </w:p>
    <w:p w14:paraId="600CF4DB" w14:textId="77777777" w:rsidR="00F83DC6" w:rsidRDefault="00F83DC6" w:rsidP="00F83DC6">
      <w:pPr>
        <w:jc w:val="center"/>
      </w:pPr>
    </w:p>
    <w:p w14:paraId="6C1A680C" w14:textId="77777777" w:rsidR="00F83DC6" w:rsidRDefault="00F83DC6" w:rsidP="00F83DC6">
      <w:pPr>
        <w:jc w:val="center"/>
      </w:pPr>
    </w:p>
    <w:p w14:paraId="4C16832E" w14:textId="77777777" w:rsidR="00F83DC6" w:rsidRDefault="00F83DC6" w:rsidP="00F83DC6">
      <w:pPr>
        <w:jc w:val="center"/>
      </w:pPr>
    </w:p>
    <w:p w14:paraId="16B34811" w14:textId="77777777" w:rsidR="00F83DC6" w:rsidRPr="009F7CE6" w:rsidRDefault="00F83DC6" w:rsidP="00F83DC6">
      <w:pPr>
        <w:adjustRightInd w:val="0"/>
        <w:jc w:val="center"/>
        <w:rPr>
          <w:rFonts w:ascii="CIDFont+F2" w:hAnsi="CIDFont+F2" w:cs="CIDFont+F2"/>
          <w:b/>
          <w:bCs/>
          <w:color w:val="7F7F7F"/>
          <w:kern w:val="0"/>
          <w:sz w:val="36"/>
          <w:szCs w:val="36"/>
        </w:rPr>
      </w:pPr>
      <w:r w:rsidRPr="009F7CE6">
        <w:rPr>
          <w:rFonts w:ascii="CIDFont+F2" w:hAnsi="CIDFont+F2" w:cs="CIDFont+F2"/>
          <w:b/>
          <w:bCs/>
          <w:color w:val="7F7F7F"/>
          <w:kern w:val="0"/>
          <w:sz w:val="36"/>
          <w:szCs w:val="36"/>
        </w:rPr>
        <w:t>BUDOWA SZKOŁY PUBLICZNEJ</w:t>
      </w:r>
    </w:p>
    <w:p w14:paraId="76E06B2C" w14:textId="77777777" w:rsidR="00F83DC6" w:rsidRPr="009F7CE6" w:rsidRDefault="00F83DC6" w:rsidP="00F83DC6">
      <w:pPr>
        <w:adjustRightInd w:val="0"/>
        <w:jc w:val="center"/>
        <w:rPr>
          <w:rFonts w:ascii="CIDFont+F2" w:hAnsi="CIDFont+F2" w:cs="CIDFont+F2"/>
          <w:b/>
          <w:bCs/>
          <w:color w:val="7F7F7F"/>
          <w:kern w:val="0"/>
          <w:sz w:val="36"/>
          <w:szCs w:val="36"/>
        </w:rPr>
      </w:pPr>
      <w:r w:rsidRPr="009F7CE6">
        <w:rPr>
          <w:rFonts w:ascii="CIDFont+F2" w:hAnsi="CIDFont+F2" w:cs="CIDFont+F2"/>
          <w:b/>
          <w:bCs/>
          <w:color w:val="7F7F7F"/>
          <w:kern w:val="0"/>
          <w:sz w:val="36"/>
          <w:szCs w:val="36"/>
        </w:rPr>
        <w:t>WE FREDROPOLU</w:t>
      </w:r>
    </w:p>
    <w:p w14:paraId="1A7C5D44" w14:textId="7AAAB3E7" w:rsidR="00F83DC6" w:rsidRPr="009F7CE6" w:rsidRDefault="00F83DC6" w:rsidP="00F83DC6">
      <w:pPr>
        <w:jc w:val="center"/>
        <w:rPr>
          <w:rFonts w:ascii="CIDFont+F2" w:hAnsi="CIDFont+F2" w:cs="CIDFont+F2"/>
          <w:b/>
          <w:bCs/>
          <w:color w:val="7F7F7F"/>
          <w:kern w:val="0"/>
          <w:sz w:val="36"/>
          <w:szCs w:val="36"/>
        </w:rPr>
      </w:pPr>
      <w:r w:rsidRPr="009F7CE6">
        <w:rPr>
          <w:rFonts w:ascii="CIDFont+F2" w:hAnsi="CIDFont+F2" w:cs="CIDFont+F2"/>
          <w:b/>
          <w:bCs/>
          <w:color w:val="7F7F7F"/>
          <w:kern w:val="0"/>
          <w:sz w:val="36"/>
          <w:szCs w:val="36"/>
        </w:rPr>
        <w:t xml:space="preserve">Suplement do PFU </w:t>
      </w:r>
      <w:r>
        <w:rPr>
          <w:rFonts w:ascii="CIDFont+F2" w:hAnsi="CIDFont+F2" w:cs="CIDFont+F2"/>
          <w:b/>
          <w:bCs/>
          <w:color w:val="7F7F7F"/>
          <w:kern w:val="0"/>
          <w:sz w:val="36"/>
          <w:szCs w:val="36"/>
        </w:rPr>
        <w:br/>
        <w:t>–</w:t>
      </w:r>
      <w:r w:rsidRPr="009F7CE6">
        <w:rPr>
          <w:rFonts w:ascii="CIDFont+F2" w:hAnsi="CIDFont+F2" w:cs="CIDFont+F2"/>
          <w:b/>
          <w:bCs/>
          <w:color w:val="7F7F7F"/>
          <w:kern w:val="0"/>
          <w:sz w:val="36"/>
          <w:szCs w:val="36"/>
        </w:rPr>
        <w:t xml:space="preserve"> </w:t>
      </w:r>
      <w:r>
        <w:rPr>
          <w:rFonts w:ascii="CIDFont+F2" w:hAnsi="CIDFont+F2" w:cs="CIDFont+F2"/>
          <w:b/>
          <w:bCs/>
          <w:color w:val="7F7F7F"/>
          <w:kern w:val="0"/>
          <w:sz w:val="36"/>
          <w:szCs w:val="36"/>
        </w:rPr>
        <w:t>wyjaśnienia i doprecyzowanie zakresu</w:t>
      </w:r>
    </w:p>
    <w:p w14:paraId="3012AAEF" w14:textId="77777777" w:rsidR="00F83DC6" w:rsidRDefault="00F83DC6" w:rsidP="00F83DC6">
      <w:pPr>
        <w:jc w:val="center"/>
        <w:rPr>
          <w:rFonts w:ascii="CIDFont+F2" w:hAnsi="CIDFont+F2" w:cs="CIDFont+F2"/>
          <w:b/>
          <w:bCs/>
          <w:color w:val="7F7F7F"/>
          <w:kern w:val="0"/>
          <w:sz w:val="32"/>
          <w:szCs w:val="32"/>
        </w:rPr>
      </w:pPr>
    </w:p>
    <w:p w14:paraId="57345343" w14:textId="77777777" w:rsidR="00F83DC6" w:rsidRDefault="00F83DC6" w:rsidP="00F83DC6">
      <w:pPr>
        <w:jc w:val="center"/>
        <w:rPr>
          <w:rFonts w:ascii="CIDFont+F2" w:hAnsi="CIDFont+F2" w:cs="CIDFont+F2"/>
          <w:b/>
          <w:bCs/>
          <w:color w:val="7F7F7F"/>
          <w:kern w:val="0"/>
          <w:sz w:val="32"/>
          <w:szCs w:val="32"/>
        </w:rPr>
      </w:pPr>
    </w:p>
    <w:p w14:paraId="0D6B1346" w14:textId="77777777" w:rsidR="00F83DC6" w:rsidRDefault="00F83DC6" w:rsidP="00F83DC6">
      <w:pPr>
        <w:rPr>
          <w:rFonts w:ascii="CIDFont+F2" w:hAnsi="CIDFont+F2" w:cs="CIDFont+F2"/>
          <w:b/>
          <w:bCs/>
          <w:color w:val="7F7F7F"/>
          <w:kern w:val="0"/>
          <w:sz w:val="32"/>
          <w:szCs w:val="32"/>
        </w:rPr>
      </w:pPr>
    </w:p>
    <w:p w14:paraId="5FCF276A" w14:textId="77777777" w:rsidR="00F83DC6" w:rsidRDefault="00F83DC6" w:rsidP="00F83DC6">
      <w:pPr>
        <w:jc w:val="center"/>
        <w:rPr>
          <w:rFonts w:ascii="CIDFont+F2" w:hAnsi="CIDFont+F2" w:cs="CIDFont+F2"/>
          <w:b/>
          <w:bCs/>
          <w:color w:val="7F7F7F"/>
          <w:kern w:val="0"/>
          <w:sz w:val="32"/>
          <w:szCs w:val="32"/>
        </w:rPr>
      </w:pPr>
    </w:p>
    <w:p w14:paraId="2927F62F" w14:textId="77777777" w:rsidR="00F83DC6" w:rsidRDefault="00F83DC6" w:rsidP="00F83DC6">
      <w:pPr>
        <w:jc w:val="center"/>
        <w:rPr>
          <w:rFonts w:ascii="CIDFont+F2" w:hAnsi="CIDFont+F2" w:cs="CIDFont+F2"/>
          <w:b/>
          <w:bCs/>
          <w:color w:val="7F7F7F"/>
          <w:kern w:val="0"/>
          <w:sz w:val="32"/>
          <w:szCs w:val="32"/>
        </w:rPr>
      </w:pPr>
    </w:p>
    <w:p w14:paraId="7D1C3965" w14:textId="77777777" w:rsidR="00F83DC6" w:rsidRDefault="00F83DC6" w:rsidP="00F83DC6">
      <w:pPr>
        <w:jc w:val="center"/>
        <w:rPr>
          <w:rFonts w:ascii="CIDFont+F2" w:hAnsi="CIDFont+F2" w:cs="CIDFont+F2"/>
          <w:b/>
          <w:bCs/>
          <w:color w:val="7F7F7F"/>
          <w:kern w:val="0"/>
          <w:sz w:val="32"/>
          <w:szCs w:val="32"/>
        </w:rPr>
      </w:pPr>
    </w:p>
    <w:p w14:paraId="3ED2CD1B" w14:textId="77777777" w:rsidR="00F83DC6" w:rsidRDefault="00F83DC6" w:rsidP="00F83DC6">
      <w:pPr>
        <w:jc w:val="center"/>
        <w:rPr>
          <w:rFonts w:ascii="CIDFont+F2" w:hAnsi="CIDFont+F2" w:cs="CIDFont+F2"/>
          <w:b/>
          <w:bCs/>
          <w:color w:val="7F7F7F"/>
          <w:kern w:val="0"/>
          <w:sz w:val="32"/>
          <w:szCs w:val="32"/>
        </w:rPr>
      </w:pPr>
    </w:p>
    <w:p w14:paraId="38135090" w14:textId="77777777" w:rsidR="00F83DC6" w:rsidRDefault="00F83DC6" w:rsidP="00F83DC6">
      <w:pPr>
        <w:jc w:val="center"/>
        <w:rPr>
          <w:rFonts w:ascii="CIDFont+F2" w:hAnsi="CIDFont+F2" w:cs="CIDFont+F2"/>
          <w:b/>
          <w:bCs/>
          <w:color w:val="7F7F7F"/>
          <w:kern w:val="0"/>
          <w:sz w:val="32"/>
          <w:szCs w:val="32"/>
        </w:rPr>
      </w:pPr>
    </w:p>
    <w:p w14:paraId="5806704A" w14:textId="77777777" w:rsidR="00F83DC6" w:rsidRPr="00141425" w:rsidRDefault="00F83DC6" w:rsidP="00F83DC6">
      <w:pPr>
        <w:jc w:val="center"/>
        <w:rPr>
          <w:rFonts w:ascii="Century Gothic" w:hAnsi="Century Gothic"/>
          <w:b/>
          <w:bCs/>
          <w:sz w:val="20"/>
          <w:szCs w:val="20"/>
        </w:rPr>
      </w:pPr>
      <w:r w:rsidRPr="00141425">
        <w:rPr>
          <w:rFonts w:ascii="Century Gothic" w:eastAsia="CIDFont+F1" w:hAnsi="Century Gothic" w:cs="CIDFont+F1"/>
          <w:kern w:val="0"/>
          <w:sz w:val="20"/>
          <w:szCs w:val="20"/>
        </w:rPr>
        <w:t xml:space="preserve">Warszawa, </w:t>
      </w:r>
      <w:r w:rsidRPr="00141425">
        <w:rPr>
          <w:rFonts w:ascii="Century Gothic" w:eastAsia="CIDFont+F1" w:hAnsi="Century Gothic" w:cstheme="minorHAnsi"/>
          <w:kern w:val="0"/>
          <w:sz w:val="20"/>
          <w:szCs w:val="20"/>
        </w:rPr>
        <w:t>sierpień</w:t>
      </w:r>
      <w:r w:rsidRPr="00141425">
        <w:rPr>
          <w:rFonts w:ascii="Century Gothic" w:eastAsia="CIDFont+F1" w:hAnsi="Century Gothic" w:cs="CIDFont+F1"/>
          <w:kern w:val="0"/>
          <w:sz w:val="20"/>
          <w:szCs w:val="20"/>
        </w:rPr>
        <w:t xml:space="preserve"> 2024</w:t>
      </w:r>
    </w:p>
    <w:p w14:paraId="5D30571F"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965B7E1" w14:textId="77777777" w:rsidR="00F83DC6" w:rsidRDefault="00F83DC6">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AC70AAF" w14:textId="77777777" w:rsidR="00F83DC6" w:rsidRDefault="00F83DC6">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28B305B" w14:textId="77777777" w:rsidR="00F437BF" w:rsidRDefault="00F437BF">
      <w:pPr>
        <w:pStyle w:val="Listapunktowana"/>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0CAE2B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126816D1" w14:textId="77777777" w:rsidR="00F437BF" w:rsidRDefault="00F437BF">
      <w:pPr>
        <w:pStyle w:val="Listapunktowana"/>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E401A54" w14:textId="77777777" w:rsidR="00F437BF" w:rsidRDefault="00F437BF">
      <w:pPr>
        <w:pStyle w:val="Listapunktowana"/>
        <w:rPr>
          <w:rFonts w:ascii="Times New Roman" w:hAnsi="Times New Roman" w:cs="Times New Roman"/>
          <w:color w:val="000000"/>
          <w14:shadow w14:blurRad="63500" w14:dist="50800" w14:dir="1350000" w14:sx="0" w14:sy="0" w14:kx="0" w14:ky="0" w14:algn="none">
            <w14:srgbClr w14:val="000000">
              <w14:alpha w14:val="50000"/>
            </w14:srgbClr>
          </w14:shadow>
        </w:rPr>
      </w:pPr>
    </w:p>
    <w:p w14:paraId="025CB8BC" w14:textId="518FC643" w:rsidR="00F437BF" w:rsidRPr="00F11504" w:rsidRDefault="00182230" w:rsidP="00F11504">
      <w:pPr>
        <w:pStyle w:val="Default"/>
        <w:numPr>
          <w:ilvl w:val="0"/>
          <w:numId w:val="10"/>
        </w:numPr>
        <w:spacing w:after="68"/>
        <w:ind w:left="567"/>
        <w:jc w:val="both"/>
      </w:pPr>
      <w:r w:rsidRPr="00F11504">
        <w:rPr>
          <w14:shadow w14:blurRad="63500" w14:dist="50800" w14:dir="1350000" w14:sx="0" w14:sy="0" w14:kx="0" w14:ky="0" w14:algn="none">
            <w14:srgbClr w14:val="000000">
              <w14:alpha w14:val="50000"/>
            </w14:srgbClr>
          </w14:shadow>
        </w:rPr>
        <w:t xml:space="preserve">1. </w:t>
      </w:r>
      <w:r w:rsidR="000A5D3B" w:rsidRPr="00F11504">
        <w:rPr>
          <w14:shadow w14:blurRad="63500" w14:dist="50800" w14:dir="1350000" w14:sx="0" w14:sy="0" w14:kx="0" w14:ky="0" w14:algn="none">
            <w14:srgbClr w14:val="000000">
              <w14:alpha w14:val="50000"/>
            </w14:srgbClr>
          </w14:shadow>
        </w:rPr>
        <w:t>Z</w:t>
      </w:r>
      <w:r w:rsidRPr="00F11504">
        <w:rPr>
          <w14:shadow w14:blurRad="63500" w14:dist="50800" w14:dir="1350000" w14:sx="0" w14:sy="0" w14:kx="0" w14:ky="0" w14:algn="none">
            <w14:srgbClr w14:val="000000">
              <w14:alpha w14:val="50000"/>
            </w14:srgbClr>
          </w14:shadow>
        </w:rPr>
        <w:t>akres nawierzchni utwardzonych, które objęte są przedmiotem niniejszego zamówienia – pozycja 3.1 załącznika nr 9 do SWZ, tj. formularz cenowy.</w:t>
      </w:r>
      <w:r w:rsidR="00F11504" w:rsidRPr="00F11504">
        <w:rPr>
          <w14:shadow w14:blurRad="63500" w14:dist="50800" w14:dir="1350000" w14:sx="0" w14:sy="0" w14:kx="0" w14:ky="0" w14:algn="none">
            <w14:srgbClr w14:val="000000">
              <w14:alpha w14:val="50000"/>
            </w14:srgbClr>
          </w14:shadow>
        </w:rPr>
        <w:t xml:space="preserve"> </w:t>
      </w:r>
      <w:r w:rsidR="00F11504">
        <w:rPr>
          <w14:shadow w14:blurRad="63500" w14:dist="50800" w14:dir="1350000" w14:sx="0" w14:sy="0" w14:kx="0" w14:ky="0" w14:algn="none">
            <w14:srgbClr w14:val="000000">
              <w14:alpha w14:val="50000"/>
            </w14:srgbClr>
          </w14:shadow>
        </w:rPr>
        <w:t xml:space="preserve"> </w:t>
      </w:r>
      <w:r w:rsidRPr="00F11504">
        <w:t>W wycenie należy uwzględnić jedynie wykonanie nawierzchni utwardzonych ruchu pieszego zgodnie z rysunkiem 2024_02_13_PZT_fredropol_całość, które mieszczą się w  zakresie opracowania (zgodnie z legendą do rysunku – bordowa przerywana linia). Ruch kołowy przy założeniu wykorzystania istniejącej drogi wewnętrznej – całość projektowanych nawierzchni ruchu kołowego do wykonania w kolejnym etapie realizacji inwestycji. Niezbędne miejsca postojowe na istniejącym parkingu.</w:t>
      </w:r>
    </w:p>
    <w:p w14:paraId="3A27BC92"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1BBF6793" w14:textId="529C8F33" w:rsidR="00F437BF" w:rsidRDefault="00182230" w:rsidP="00F11504">
      <w:pPr>
        <w:pStyle w:val="Default"/>
        <w:numPr>
          <w:ilvl w:val="0"/>
          <w:numId w:val="10"/>
        </w:numPr>
        <w:spacing w:after="68"/>
      </w:pPr>
      <w:r>
        <w:rPr>
          <w14:shadow w14:blurRad="63500" w14:dist="50800" w14:dir="1350000" w14:sx="0" w14:sy="0" w14:kx="0" w14:ky="0" w14:algn="none">
            <w14:srgbClr w14:val="000000">
              <w14:alpha w14:val="50000"/>
            </w14:srgbClr>
          </w14:shadow>
        </w:rPr>
        <w:t xml:space="preserve">2. </w:t>
      </w:r>
      <w:r w:rsidR="000A5D3B">
        <w:rPr>
          <w14:shadow w14:blurRad="63500" w14:dist="50800" w14:dir="1350000" w14:sx="0" w14:sy="0" w14:kx="0" w14:ky="0" w14:algn="none">
            <w14:srgbClr w14:val="000000">
              <w14:alpha w14:val="50000"/>
            </w14:srgbClr>
          </w14:shadow>
        </w:rPr>
        <w:t>Z</w:t>
      </w:r>
      <w:r>
        <w:rPr>
          <w14:shadow w14:blurRad="63500" w14:dist="50800" w14:dir="1350000" w14:sx="0" w14:sy="0" w14:kx="0" w14:ky="0" w14:algn="none">
            <w14:srgbClr w14:val="000000">
              <w14:alpha w14:val="50000"/>
            </w14:srgbClr>
          </w14:shadow>
        </w:rPr>
        <w:t>akres nawierzchni utwardzonych ruchu kołowego, które objęte są przedmiotem niniejszego zamówienia – pozycja 3.2 załącznika nr 9 do SWZ, tj. formularz cenowy.</w:t>
      </w:r>
      <w:r w:rsidR="00F11504">
        <w:rPr>
          <w14:shadow w14:blurRad="63500" w14:dist="50800" w14:dir="1350000" w14:sx="0" w14:sy="0" w14:kx="0" w14:ky="0" w14:algn="none">
            <w14:srgbClr w14:val="000000">
              <w14:alpha w14:val="50000"/>
            </w14:srgbClr>
          </w14:shadow>
        </w:rPr>
        <w:t xml:space="preserve"> </w:t>
      </w:r>
      <w:r>
        <w:t>Poza zakresem. Nawierzchnie utwardzone ruchu kołowego do wykonania w kolejnym etapie realizacji inwestycji. W załączeniu zaktualizowany formularz cenowy – załącznik nr 9.</w:t>
      </w:r>
    </w:p>
    <w:p w14:paraId="18F52AC0"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42063F39" w14:textId="22F8EFB5" w:rsidR="00F437BF" w:rsidRDefault="00182230" w:rsidP="00F11504">
      <w:pPr>
        <w:pStyle w:val="Default"/>
        <w:numPr>
          <w:ilvl w:val="0"/>
          <w:numId w:val="10"/>
        </w:numPr>
        <w:spacing w:after="68"/>
      </w:pPr>
      <w:r>
        <w:rPr>
          <w14:shadow w14:blurRad="63500" w14:dist="50800" w14:dir="1350000" w14:sx="0" w14:sy="0" w14:kx="0" w14:ky="0" w14:algn="none">
            <w14:srgbClr w14:val="000000">
              <w14:alpha w14:val="50000"/>
            </w14:srgbClr>
          </w14:shadow>
        </w:rPr>
        <w:t xml:space="preserve">3. </w:t>
      </w:r>
      <w:r w:rsidR="000A5D3B">
        <w:rPr>
          <w14:shadow w14:blurRad="63500" w14:dist="50800" w14:dir="1350000" w14:sx="0" w14:sy="0" w14:kx="0" w14:ky="0" w14:algn="none">
            <w14:srgbClr w14:val="000000">
              <w14:alpha w14:val="50000"/>
            </w14:srgbClr>
          </w14:shadow>
        </w:rPr>
        <w:t>Z</w:t>
      </w:r>
      <w:r>
        <w:rPr>
          <w14:shadow w14:blurRad="63500" w14:dist="50800" w14:dir="1350000" w14:sx="0" w14:sy="0" w14:kx="0" w14:ky="0" w14:algn="none">
            <w14:srgbClr w14:val="000000">
              <w14:alpha w14:val="50000"/>
            </w14:srgbClr>
          </w14:shadow>
        </w:rPr>
        <w:t>akres robót związanych z wykonaniem zagospodarowania terenów zielonych (wykonanie nasadzeń zieleni niskiej i wysokiej zgodnie z zapisami pkt 2 tiret osiemnaste załącznika nr 7 do SWZ), które objęte są przedmiotem niniejszego zamówienia – pozycja 3.3 załącznika nr 9 do SWZ, tj. formularz cenowy.</w:t>
      </w:r>
      <w:r w:rsidR="00F11504">
        <w:rPr>
          <w14:shadow w14:blurRad="63500" w14:dist="50800" w14:dir="1350000" w14:sx="0" w14:sy="0" w14:kx="0" w14:ky="0" w14:algn="none">
            <w14:srgbClr w14:val="000000">
              <w14:alpha w14:val="50000"/>
            </w14:srgbClr>
          </w14:shadow>
        </w:rPr>
        <w:t xml:space="preserve"> </w:t>
      </w:r>
      <w:r>
        <w:t>Zgodnie z pkt 2.2.6.2. PFU tereny zielone wykonać jako trawnik – powierzchnię terenu wyrównać i obsiać odpowiednią mieszanką traw. Powierzchnia zgodnie z  rysunkiem 2024_02_13_PZT_fredropol_całość, która mieści się w zakresie opracowania (zgodnie z  legendą do rysunku – bordowa przerywana linia). Wg formularza cenowego (w załączeniu) pozycja 3.2.</w:t>
      </w:r>
    </w:p>
    <w:p w14:paraId="36C9131C" w14:textId="77777777" w:rsidR="000A5D3B" w:rsidRDefault="000A5D3B">
      <w:pPr>
        <w:pStyle w:val="Default"/>
        <w:spacing w:after="68"/>
        <w:rPr>
          <w14:shadow w14:blurRad="63500" w14:dist="50800" w14:dir="1350000" w14:sx="0" w14:sy="0" w14:kx="0" w14:ky="0" w14:algn="none">
            <w14:srgbClr w14:val="000000">
              <w14:alpha w14:val="50000"/>
            </w14:srgbClr>
          </w14:shadow>
        </w:rPr>
      </w:pPr>
    </w:p>
    <w:p w14:paraId="14C60086" w14:textId="41F1380B" w:rsidR="00F437BF" w:rsidRPr="00F11504" w:rsidRDefault="00182230" w:rsidP="00F11504">
      <w:pPr>
        <w:pStyle w:val="Default"/>
        <w:numPr>
          <w:ilvl w:val="0"/>
          <w:numId w:val="10"/>
        </w:numPr>
        <w:spacing w:after="68"/>
        <w:ind w:left="709"/>
        <w:jc w:val="both"/>
      </w:pPr>
      <w:r w:rsidRPr="00F11504">
        <w:rPr>
          <w14:shadow w14:blurRad="63500" w14:dist="50800" w14:dir="1350000" w14:sx="0" w14:sy="0" w14:kx="0" w14:ky="0" w14:algn="none">
            <w14:srgbClr w14:val="000000">
              <w14:alpha w14:val="50000"/>
            </w14:srgbClr>
          </w14:shadow>
        </w:rPr>
        <w:t xml:space="preserve">4. </w:t>
      </w:r>
      <w:r w:rsidR="00F11504" w:rsidRPr="00F11504">
        <w:rPr>
          <w14:shadow w14:blurRad="63500" w14:dist="50800" w14:dir="1350000" w14:sx="0" w14:sy="0" w14:kx="0" w14:ky="0" w14:algn="none">
            <w14:srgbClr w14:val="000000">
              <w14:alpha w14:val="50000"/>
            </w14:srgbClr>
          </w14:shadow>
        </w:rPr>
        <w:t>Z</w:t>
      </w:r>
      <w:r w:rsidRPr="00F11504">
        <w:rPr>
          <w14:shadow w14:blurRad="63500" w14:dist="50800" w14:dir="1350000" w14:sx="0" w14:sy="0" w14:kx="0" w14:ky="0" w14:algn="none">
            <w14:srgbClr w14:val="000000">
              <w14:alpha w14:val="50000"/>
            </w14:srgbClr>
          </w14:shadow>
        </w:rPr>
        <w:t>akresu robót związanych z wykonaniem oświetlenia terenu, które są przedmiotem niniejszego zamówienia – pozycja 3.3 załącznika nr 9 do SWZ, tj. formularz cenowy.</w:t>
      </w:r>
      <w:r w:rsidR="00F11504" w:rsidRPr="00F11504">
        <w:rPr>
          <w14:shadow w14:blurRad="63500" w14:dist="50800" w14:dir="1350000" w14:sx="0" w14:sy="0" w14:kx="0" w14:ky="0" w14:algn="none">
            <w14:srgbClr w14:val="000000">
              <w14:alpha w14:val="50000"/>
            </w14:srgbClr>
          </w14:shadow>
        </w:rPr>
        <w:t xml:space="preserve"> </w:t>
      </w:r>
      <w:r w:rsidRPr="00F11504">
        <w:t>Poza zakresem. Oświetlenie terenu do wykonania w kolejnym etapie realizacji inwestycji. W załączeniu zaktualizowany formularz cenowy – załącznik nr 9.</w:t>
      </w:r>
    </w:p>
    <w:p w14:paraId="0B0ED57F"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7F532761" w14:textId="22A54B72" w:rsidR="00F437BF" w:rsidRPr="00F11504" w:rsidRDefault="00182230" w:rsidP="00F11504">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5. </w:t>
      </w:r>
      <w:r w:rsidR="000A5D3B">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(dokładne odniesienie do zapisów PFU) jakie prace należy uwzględnić w pozycji nr 2.2 załącznika nr 9 do SWZ, tj. formularz cenowy.</w:t>
      </w:r>
      <w:r w:rsidR="00F11504">
        <w:rPr>
          <w14:shadow w14:blurRad="63500" w14:dist="50800" w14:dir="1350000" w14:sx="0" w14:sy="0" w14:kx="0" w14:ky="0" w14:algn="none">
            <w14:srgbClr w14:val="000000">
              <w14:alpha w14:val="50000"/>
            </w14:srgbClr>
          </w14:shadow>
        </w:rPr>
        <w:t xml:space="preserve"> </w:t>
      </w:r>
      <w:r w:rsidRPr="00F11504">
        <w:rPr>
          <w14:shadow w14:blurRad="63500" w14:dist="50800" w14:dir="1350000" w14:sx="0" w14:sy="0" w14:kx="0" w14:ky="0" w14:algn="none">
            <w14:srgbClr w14:val="000000">
              <w14:alpha w14:val="50000"/>
            </w14:srgbClr>
          </w14:shadow>
        </w:rPr>
        <w:t xml:space="preserve">Zgodnie z pkt 2.2.1 lit. f) PFU, tj. </w:t>
      </w:r>
      <w:r w:rsidRPr="00F11504">
        <w:rPr>
          <w:i/>
          <w:iCs/>
          <w14:shadow w14:blurRad="63500" w14:dist="50800" w14:dir="1350000" w14:sx="0" w14:sy="0" w14:kx="0" w14:ky="0" w14:algn="none">
            <w14:srgbClr w14:val="000000">
              <w14:alpha w14:val="50000"/>
            </w14:srgbClr>
          </w14:shadow>
        </w:rPr>
        <w:t>„przełożenie sieci elektrycznych, teletechnicznych, wodnych i kanalizacyjnych kolidujących z mającym powstać budynkiem”</w:t>
      </w:r>
      <w:r w:rsidRPr="00F11504">
        <w:rPr>
          <w14:shadow w14:blurRad="63500" w14:dist="50800" w14:dir="1350000" w14:sx="0" w14:sy="0" w14:kx="0" w14:ky="0" w14:algn="none">
            <w14:srgbClr w14:val="000000">
              <w14:alpha w14:val="50000"/>
            </w14:srgbClr>
          </w14:shadow>
        </w:rPr>
        <w:t xml:space="preserve"> –w pozycji nr 2.2 należy uwzględnić wszystkie niezbędne prace rozbiórkowe.</w:t>
      </w:r>
    </w:p>
    <w:p w14:paraId="5A7420B9" w14:textId="77777777" w:rsidR="000A5D3B" w:rsidRDefault="000A5D3B">
      <w:pPr>
        <w:pStyle w:val="Default"/>
        <w:rPr>
          <w14:shadow w14:blurRad="63500" w14:dist="50800" w14:dir="1350000" w14:sx="0" w14:sy="0" w14:kx="0" w14:ky="0" w14:algn="none">
            <w14:srgbClr w14:val="000000">
              <w14:alpha w14:val="50000"/>
            </w14:srgbClr>
          </w14:shadow>
        </w:rPr>
      </w:pPr>
    </w:p>
    <w:p w14:paraId="5602EEC1" w14:textId="4DF7BD74" w:rsidR="00F437BF" w:rsidRPr="00F11504" w:rsidRDefault="00182230" w:rsidP="00F11504">
      <w:pPr>
        <w:pStyle w:val="Default"/>
        <w:numPr>
          <w:ilvl w:val="0"/>
          <w:numId w:val="10"/>
        </w:numPr>
        <w:ind w:left="709"/>
        <w:jc w:val="both"/>
      </w:pPr>
      <w:r w:rsidRPr="00F11504">
        <w:rPr>
          <w14:shadow w14:blurRad="63500" w14:dist="50800" w14:dir="1350000" w14:sx="0" w14:sy="0" w14:kx="0" w14:ky="0" w14:algn="none">
            <w14:srgbClr w14:val="000000">
              <w14:alpha w14:val="50000"/>
            </w14:srgbClr>
          </w14:shadow>
        </w:rPr>
        <w:t xml:space="preserve">6. </w:t>
      </w:r>
      <w:r w:rsidR="000A5D3B" w:rsidRPr="00F11504">
        <w:rPr>
          <w14:shadow w14:blurRad="63500" w14:dist="50800" w14:dir="1350000" w14:sx="0" w14:sy="0" w14:kx="0" w14:ky="0" w14:algn="none">
            <w14:srgbClr w14:val="000000">
              <w14:alpha w14:val="50000"/>
            </w14:srgbClr>
          </w14:shadow>
        </w:rPr>
        <w:t>D</w:t>
      </w:r>
      <w:r w:rsidRPr="00F11504">
        <w:rPr>
          <w14:shadow w14:blurRad="63500" w14:dist="50800" w14:dir="1350000" w14:sx="0" w14:sy="0" w14:kx="0" w14:ky="0" w14:algn="none">
            <w14:srgbClr w14:val="000000">
              <w14:alpha w14:val="50000"/>
            </w14:srgbClr>
          </w14:shadow>
        </w:rPr>
        <w:t>oprecyzowanie ilości ławek, które należy uwzględnić  w ofercie – pozycja nr 4.1 załącznika nr 9 do SWZ, tj. formularz cenowy.</w:t>
      </w:r>
      <w:r w:rsidRPr="00F11504">
        <w:t xml:space="preserve"> Specyfikacja zgodnie z pkt 2.2.6.3. PFU – w wycenie należy uwzględnić dostawę i montaż 1 szt.</w:t>
      </w:r>
    </w:p>
    <w:p w14:paraId="498E50B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73BB0D7D"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1A560EBB" w14:textId="3350A38F" w:rsidR="00F437BF" w:rsidRPr="00F11504" w:rsidRDefault="00182230" w:rsidP="00F11504">
      <w:pPr>
        <w:pStyle w:val="Default"/>
        <w:numPr>
          <w:ilvl w:val="0"/>
          <w:numId w:val="10"/>
        </w:numPr>
        <w:ind w:left="709"/>
        <w:jc w:val="both"/>
      </w:pPr>
      <w:r w:rsidRPr="00F11504">
        <w:rPr>
          <w14:shadow w14:blurRad="63500" w14:dist="50800" w14:dir="1350000" w14:sx="0" w14:sy="0" w14:kx="0" w14:ky="0" w14:algn="none">
            <w14:srgbClr w14:val="000000">
              <w14:alpha w14:val="50000"/>
            </w14:srgbClr>
          </w14:shadow>
        </w:rPr>
        <w:t xml:space="preserve">7. </w:t>
      </w:r>
      <w:r w:rsidR="000A5D3B" w:rsidRPr="00F11504">
        <w:rPr>
          <w14:shadow w14:blurRad="63500" w14:dist="50800" w14:dir="1350000" w14:sx="0" w14:sy="0" w14:kx="0" w14:ky="0" w14:algn="none">
            <w14:srgbClr w14:val="000000">
              <w14:alpha w14:val="50000"/>
            </w14:srgbClr>
          </w14:shadow>
        </w:rPr>
        <w:t>D</w:t>
      </w:r>
      <w:r w:rsidRPr="00F11504">
        <w:rPr>
          <w14:shadow w14:blurRad="63500" w14:dist="50800" w14:dir="1350000" w14:sx="0" w14:sy="0" w14:kx="0" w14:ky="0" w14:algn="none">
            <w14:srgbClr w14:val="000000">
              <w14:alpha w14:val="50000"/>
            </w14:srgbClr>
          </w14:shadow>
        </w:rPr>
        <w:t xml:space="preserve">oprecyzowanie ilości koszy na odpady, które należy uwzględnić w ofercie – </w:t>
      </w:r>
      <w:r w:rsidRPr="00F11504">
        <w:rPr>
          <w14:shadow w14:blurRad="63500" w14:dist="50800" w14:dir="1350000" w14:sx="0" w14:sy="0" w14:kx="0" w14:ky="0" w14:algn="none">
            <w14:srgbClr w14:val="000000">
              <w14:alpha w14:val="50000"/>
            </w14:srgbClr>
          </w14:shadow>
        </w:rPr>
        <w:lastRenderedPageBreak/>
        <w:t>pozycja nr 4.2 załącznika nr 9 do SWZ, tj. formularz cenowy.</w:t>
      </w:r>
      <w:r w:rsidR="00F11504" w:rsidRPr="00F11504">
        <w:rPr>
          <w14:shadow w14:blurRad="63500" w14:dist="50800" w14:dir="1350000" w14:sx="0" w14:sy="0" w14:kx="0" w14:ky="0" w14:algn="none">
            <w14:srgbClr w14:val="000000">
              <w14:alpha w14:val="50000"/>
            </w14:srgbClr>
          </w14:shadow>
        </w:rPr>
        <w:t xml:space="preserve"> </w:t>
      </w:r>
      <w:r w:rsidRPr="00F11504">
        <w:t>Specyfikacja zgodnie z pkt 2.2.6.3. PFU – w wycenie należy uwzględnić 1 zestaw, tj. 5 koszy po ok. 35 l.</w:t>
      </w:r>
    </w:p>
    <w:p w14:paraId="30F08B0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018913D" w14:textId="7989FEE6" w:rsidR="000A5D3B"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8. </w:t>
      </w:r>
      <w:r w:rsidR="000A5D3B">
        <w:rPr>
          <w14:shadow w14:blurRad="63500" w14:dist="50800" w14:dir="1350000" w14:sx="0" w14:sy="0" w14:kx="0" w14:ky="0" w14:algn="none">
            <w14:srgbClr w14:val="000000">
              <w14:alpha w14:val="50000"/>
            </w14:srgbClr>
          </w14:shadow>
        </w:rPr>
        <w:t>W</w:t>
      </w:r>
      <w:r>
        <w:rPr>
          <w14:shadow w14:blurRad="63500" w14:dist="50800" w14:dir="1350000" w14:sx="0" w14:sy="0" w14:kx="0" w14:ky="0" w14:algn="none">
            <w14:srgbClr w14:val="000000">
              <w14:alpha w14:val="50000"/>
            </w14:srgbClr>
          </w14:shadow>
        </w:rPr>
        <w:t>skazanie w którym punkcie załącznika nr 9 do SWZ, tj. formularz cenowy należy uwzględnić prace związane z wykonaniem robót rozbiórkowych i demontażowych, tj.:</w:t>
      </w:r>
    </w:p>
    <w:p w14:paraId="1AFE7763" w14:textId="77777777" w:rsidR="000A5D3B" w:rsidRDefault="00000000" w:rsidP="000A5D3B">
      <w:pPr>
        <w:pStyle w:val="Default"/>
        <w:spacing w:after="68"/>
        <w:ind w:left="720"/>
        <w:rPr>
          <w14:shadow w14:blurRad="63500" w14:dist="50800" w14:dir="1350000" w14:sx="0" w14:sy="0" w14:kx="0" w14:ky="0" w14:algn="none">
            <w14:srgbClr w14:val="000000">
              <w14:alpha w14:val="50000"/>
            </w14:srgbClr>
          </w14:shadow>
        </w:rPr>
      </w:pPr>
      <w:r w:rsidRPr="000A5D3B">
        <w:rPr>
          <w14:shadow w14:blurRad="63500" w14:dist="50800" w14:dir="1350000" w14:sx="0" w14:sy="0" w14:kx="0" w14:ky="0" w14:algn="none">
            <w14:srgbClr w14:val="000000">
              <w14:alpha w14:val="50000"/>
            </w14:srgbClr>
          </w14:shadow>
        </w:rPr>
        <w:t>a) rozbiórka istniejących fundamentów wraz z kosztami wywozu i utylizacji,</w:t>
      </w:r>
    </w:p>
    <w:p w14:paraId="09236EB3" w14:textId="6D98D3B3" w:rsidR="00F437BF" w:rsidRDefault="00000000" w:rsidP="000A5D3B">
      <w:pPr>
        <w:pStyle w:val="Default"/>
        <w:spacing w:after="68"/>
        <w:ind w:left="720"/>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b) demontaż istniejących elementów małej architektury wraz z kosztami wywozu i utylizacji.</w:t>
      </w:r>
    </w:p>
    <w:p w14:paraId="270CB9AB" w14:textId="7D149EFD" w:rsidR="00F437BF" w:rsidRDefault="00F11504" w:rsidP="00F11504">
      <w:pPr>
        <w:pStyle w:val="Standard"/>
        <w:ind w:left="709"/>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Wg formularza cenowego (w załączeniu) pozycja 2.2.</w:t>
      </w:r>
    </w:p>
    <w:p w14:paraId="2E3B9290" w14:textId="77777777" w:rsidR="00F437BF" w:rsidRDefault="00F437BF">
      <w:pPr>
        <w:pStyle w:val="Akapitzlist"/>
        <w:spacing w:after="0"/>
        <w:ind w:left="0"/>
        <w:jc w:val="both"/>
        <w:rPr>
          <w:rFonts w:ascii="Times New Roman" w:hAnsi="Times New Roman" w:cs="Times New Roman"/>
          <w:color w:val="000000"/>
        </w:rPr>
      </w:pPr>
    </w:p>
    <w:p w14:paraId="38CF198F" w14:textId="3C3ECBA8" w:rsidR="00F437BF"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9. </w:t>
      </w:r>
      <w:r w:rsidR="000A5D3B">
        <w:rPr>
          <w14:shadow w14:blurRad="63500" w14:dist="50800" w14:dir="1350000" w14:sx="0" w14:sy="0" w14:kx="0" w14:ky="0" w14:algn="none">
            <w14:srgbClr w14:val="000000">
              <w14:alpha w14:val="50000"/>
            </w14:srgbClr>
          </w14:shadow>
        </w:rPr>
        <w:t>W</w:t>
      </w:r>
      <w:r>
        <w:rPr>
          <w14:shadow w14:blurRad="63500" w14:dist="50800" w14:dir="1350000" w14:sx="0" w14:sy="0" w14:kx="0" w14:ky="0" w14:algn="none">
            <w14:srgbClr w14:val="000000">
              <w14:alpha w14:val="50000"/>
            </w14:srgbClr>
          </w14:shadow>
        </w:rPr>
        <w:t>skazanie w którym punkcie załącznika nr 9 do SWZ, tj. formularz cenowy należy uwzględnić prace związane z podniesieniem terenu.</w:t>
      </w:r>
    </w:p>
    <w:p w14:paraId="63E483CE" w14:textId="40B01489" w:rsidR="00F437BF" w:rsidRDefault="00F11504" w:rsidP="00F11504">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Wg formularza cenowego (w załączeniu) pozycja 2.1.</w:t>
      </w:r>
    </w:p>
    <w:p w14:paraId="50A14F99"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3DDA1C7" w14:textId="140FE2BA" w:rsidR="00F437BF"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10. </w:t>
      </w:r>
      <w:r w:rsidR="000A5D3B">
        <w:rPr>
          <w14:shadow w14:blurRad="63500" w14:dist="50800" w14:dir="1350000" w14:sx="0" w14:sy="0" w14:kx="0" w14:ky="0" w14:algn="none">
            <w14:srgbClr w14:val="000000">
              <w14:alpha w14:val="50000"/>
            </w14:srgbClr>
          </w14:shadow>
        </w:rPr>
        <w:t>W</w:t>
      </w:r>
      <w:r>
        <w:rPr>
          <w14:shadow w14:blurRad="63500" w14:dist="50800" w14:dir="1350000" w14:sx="0" w14:sy="0" w14:kx="0" w14:ky="0" w14:algn="none">
            <w14:srgbClr w14:val="000000">
              <w14:alpha w14:val="50000"/>
            </w14:srgbClr>
          </w14:shadow>
        </w:rPr>
        <w:t>skazanie w którym punkcie załącznika nr 9 do SWZ, tj. formularz cenowy należy uwzględnić prace związane z wykonaniem instalacji fotowoltaicznej.</w:t>
      </w:r>
    </w:p>
    <w:p w14:paraId="621C9FFC" w14:textId="30CBEBB6"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Poza zakresem. Instalacja fotowoltaiczna do wykonania w kolejnym etapie realizacji inwestycji.</w:t>
      </w:r>
    </w:p>
    <w:p w14:paraId="7F326CAC"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FF89687" w14:textId="0E7D373C" w:rsidR="00F437BF"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11. </w:t>
      </w:r>
      <w:r w:rsidR="000A5D3B">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które drzwi zewnętrzne mają być objęte systemem KD.</w:t>
      </w:r>
    </w:p>
    <w:p w14:paraId="640AA9FB" w14:textId="2F846344"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Wszystkie wejścia do budynku.</w:t>
      </w:r>
    </w:p>
    <w:p w14:paraId="0827EFBC"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7319D0C" w14:textId="523133D7" w:rsidR="00F437BF" w:rsidRDefault="00182230" w:rsidP="00182230">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12. </w:t>
      </w:r>
      <w:r w:rsidR="000A5D3B">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które drzwi wewnętrzne mają być objęte systemem KD.</w:t>
      </w:r>
    </w:p>
    <w:p w14:paraId="6835BAAC" w14:textId="30F6E12B" w:rsidR="00F437BF" w:rsidRDefault="00CF4028" w:rsidP="00CF4028">
      <w:pPr>
        <w:pStyle w:val="Standard"/>
        <w:ind w:left="709"/>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Wszystkie pomieszczenia niedostępne dla uczniów; nie wymaga się systemu KD dla drzwi wewnętrznych w strefie niedostępnej dla uczniów tj. po przejściu innych drzwi z KD.</w:t>
      </w:r>
    </w:p>
    <w:p w14:paraId="70474906" w14:textId="77777777" w:rsidR="00F437BF" w:rsidRDefault="00F437BF">
      <w:pPr>
        <w:pStyle w:val="Akapitzlist"/>
        <w:spacing w:after="0"/>
        <w:ind w:left="0"/>
        <w:jc w:val="both"/>
        <w:rPr>
          <w:rFonts w:ascii="Times New Roman" w:hAnsi="Times New Roman" w:cs="Times New Roman"/>
          <w:color w:val="000000"/>
        </w:rPr>
      </w:pPr>
    </w:p>
    <w:p w14:paraId="6CA0DC9A" w14:textId="13C478FE" w:rsidR="00F437BF"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13. </w:t>
      </w:r>
      <w:r w:rsidR="000A5D3B">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dodatkowych elementów wyposażenia drzwi objętych systemem KD oraz o doprecyzowanie czy ma to być kontrola jednostronna czy dwustronna.</w:t>
      </w:r>
    </w:p>
    <w:p w14:paraId="7C45F8CB" w14:textId="5A8B7886"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Zamawiający nie określa szczegółowych wymagań. Rozwiązanie wg propozycji Wykonawcy do akceptacji na etapie projektu. System KD ma uniemożliwić dostęp uczniów do stref pracowniczych oraz wybranych pracowników do wydzielonych pomieszczeń technicznych. Dopuszcza się rozwiązania o równoważnej funkcjonalności.</w:t>
      </w:r>
    </w:p>
    <w:p w14:paraId="23669111"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16EE128" w14:textId="05DD448C" w:rsidR="00F437BF" w:rsidRDefault="00182230" w:rsidP="000A5D3B">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14. </w:t>
      </w:r>
      <w:r w:rsidR="000A5D3B">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które drzwi zewnętrzne mają być objęte systemem SSWiN.</w:t>
      </w:r>
    </w:p>
    <w:p w14:paraId="5B823530" w14:textId="50A66C4F"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xml:space="preserve">- </w:t>
      </w:r>
      <w:r w:rsidR="000A5D3B">
        <w:rPr>
          <w:rFonts w:ascii="Times New Roman" w:hAnsi="Times New Roman" w:cs="Times New Roman"/>
          <w:color w:val="000000"/>
        </w:rPr>
        <w:t>W</w:t>
      </w:r>
      <w:r>
        <w:rPr>
          <w:rFonts w:ascii="Times New Roman" w:hAnsi="Times New Roman" w:cs="Times New Roman"/>
          <w:color w:val="000000"/>
        </w:rPr>
        <w:t>szystkie wejścia do budynku.</w:t>
      </w:r>
    </w:p>
    <w:p w14:paraId="2D3F627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53B4B41" w14:textId="319326B1" w:rsidR="00F437BF" w:rsidRDefault="00182230" w:rsidP="00182230">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15. Doprecyzowanie, które okna zewnętrzne mają być objęte systemem SSWiN.</w:t>
      </w:r>
    </w:p>
    <w:p w14:paraId="40BF7CEF" w14:textId="78E1D20C" w:rsidR="00F437BF" w:rsidRDefault="00CF4028" w:rsidP="00CF4028">
      <w:pPr>
        <w:pStyle w:val="Standard"/>
        <w:ind w:left="709"/>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xml:space="preserve">- Wszystkie okna (z możliwością otwarcia) na kondygnacji 1 wg koncepcji </w:t>
      </w:r>
      <w:r>
        <w:rPr>
          <w:rFonts w:ascii="Times New Roman" w:hAnsi="Times New Roman" w:cs="Times New Roman"/>
          <w:color w:val="000000"/>
          <w14:shadow w14:blurRad="63500" w14:dist="50800" w14:dir="1350000" w14:sx="0" w14:sy="0" w14:kx="0" w14:ky="0" w14:algn="none">
            <w14:srgbClr w14:val="000000">
              <w14:alpha w14:val="50000"/>
            </w14:srgbClr>
          </w14:shadow>
        </w:rPr>
        <w:lastRenderedPageBreak/>
        <w:t>wstępnej (poziom parteru).</w:t>
      </w:r>
    </w:p>
    <w:p w14:paraId="0D28A91B" w14:textId="77777777" w:rsidR="00F437BF" w:rsidRDefault="00F437BF">
      <w:pPr>
        <w:pStyle w:val="Akapitzlist"/>
        <w:spacing w:after="0"/>
        <w:ind w:left="0"/>
        <w:jc w:val="both"/>
        <w:rPr>
          <w:rFonts w:ascii="Times New Roman" w:hAnsi="Times New Roman" w:cs="Times New Roman"/>
          <w:color w:val="000000"/>
        </w:rPr>
      </w:pPr>
    </w:p>
    <w:p w14:paraId="2A978FB3" w14:textId="72CBD0EB" w:rsidR="00F437BF" w:rsidRDefault="00182230" w:rsidP="00182230">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 xml:space="preserve">16. </w:t>
      </w:r>
      <w:r w:rsidR="00CF4028">
        <w:rPr>
          <w14:shadow w14:blurRad="63500" w14:dist="50800" w14:dir="1350000" w14:sx="0" w14:sy="0" w14:kx="0" w14:ky="0" w14:algn="none">
            <w14:srgbClr w14:val="000000">
              <w14:alpha w14:val="50000"/>
            </w14:srgbClr>
          </w14:shadow>
        </w:rPr>
        <w:t>D</w:t>
      </w:r>
      <w:r>
        <w:rPr>
          <w14:shadow w14:blurRad="63500" w14:dist="50800" w14:dir="1350000" w14:sx="0" w14:sy="0" w14:kx="0" w14:ky="0" w14:algn="none">
            <w14:srgbClr w14:val="000000">
              <w14:alpha w14:val="50000"/>
            </w14:srgbClr>
          </w14:shadow>
        </w:rPr>
        <w:t>oprecyzowanie dodatkowych elementów wyposażenia drzwi/okien zewnętrznych objętych systemem SSWiN.</w:t>
      </w:r>
    </w:p>
    <w:p w14:paraId="7B905C44" w14:textId="50EB4337" w:rsidR="00F437BF" w:rsidRDefault="00CF4028" w:rsidP="00CF4028">
      <w:pPr>
        <w:pStyle w:val="Standard"/>
        <w:ind w:left="851"/>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Zamawiający nie określa szczegółowych wymagań. Rozwiązanie wg propozycji Wykonawcy do akceptacji na etapie projektu.</w:t>
      </w:r>
    </w:p>
    <w:p w14:paraId="6C309BEE" w14:textId="77777777" w:rsidR="00F437BF" w:rsidRDefault="00F437BF">
      <w:pPr>
        <w:pStyle w:val="Akapitzlist"/>
        <w:spacing w:after="0"/>
        <w:ind w:left="0"/>
        <w:jc w:val="both"/>
        <w:rPr>
          <w:rFonts w:ascii="Times New Roman" w:hAnsi="Times New Roman" w:cs="Times New Roman"/>
          <w:color w:val="000000"/>
        </w:rPr>
      </w:pPr>
    </w:p>
    <w:p w14:paraId="529D2D26" w14:textId="6AEDC2C0" w:rsidR="00F437BF" w:rsidRDefault="00182230" w:rsidP="00182230">
      <w:pPr>
        <w:pStyle w:val="Default"/>
        <w:numPr>
          <w:ilvl w:val="0"/>
          <w:numId w:val="10"/>
        </w:numPr>
        <w:spacing w:after="68"/>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17. Doprecyzowanie ilości urządzeń placu zabaw, które należy uwzględnić w ofercie – pozycja nr 3.4 załącznika nr 9 do SWZ, tj. formularz cenowy.</w:t>
      </w:r>
    </w:p>
    <w:p w14:paraId="77F67613" w14:textId="22D31560" w:rsidR="00F437BF" w:rsidRDefault="00CF4028" w:rsidP="00CF4028">
      <w:pPr>
        <w:pStyle w:val="Standard"/>
        <w:ind w:left="851"/>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Specyfikacja zgodnie z pkt 2.2.6.3. PFU – w wycenie należy uwzględnić wyłącznie bujawkę wagową.</w:t>
      </w:r>
    </w:p>
    <w:p w14:paraId="451C9FA7" w14:textId="77777777" w:rsidR="00F437BF" w:rsidRDefault="00F437BF">
      <w:pPr>
        <w:pStyle w:val="Akapitzlist"/>
        <w:spacing w:after="0"/>
        <w:ind w:left="0"/>
        <w:jc w:val="both"/>
        <w:rPr>
          <w:rFonts w:ascii="Times New Roman" w:hAnsi="Times New Roman" w:cs="Times New Roman"/>
          <w:color w:val="000000"/>
        </w:rPr>
      </w:pPr>
    </w:p>
    <w:p w14:paraId="7F48B663" w14:textId="5A462444" w:rsidR="00F437BF" w:rsidRDefault="00182230" w:rsidP="00182230">
      <w:pPr>
        <w:pStyle w:val="Default"/>
        <w:numPr>
          <w:ilvl w:val="0"/>
          <w:numId w:val="10"/>
        </w:numPr>
        <w:spacing w:after="68"/>
      </w:pPr>
      <w:r>
        <w:t xml:space="preserve">18. Doprecyzowanie parametrów technicznych i użytkowych </w:t>
      </w:r>
      <w:r>
        <w:rPr>
          <w:i/>
        </w:rPr>
        <w:t xml:space="preserve">„nawierzchni EPDM przepuszczalnej” </w:t>
      </w:r>
      <w:r>
        <w:t>wyspecyfikowanej na rysunku PZT.</w:t>
      </w:r>
    </w:p>
    <w:p w14:paraId="7F90299A" w14:textId="4F029173" w:rsidR="00F437BF" w:rsidRDefault="00CF4028" w:rsidP="00CF4028">
      <w:pPr>
        <w:pStyle w:val="Standard"/>
        <w:ind w:left="851"/>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Zamawiający nie określa szczegółowych parametrów technicznych lub użytkowych w/w elementu – wyrób powinien mieć dopuszczenie do stosowania zgodnie z przepisami. Rozwiązanie wg propozycji Wykonawcy do akceptacji na etapie projektu.</w:t>
      </w:r>
    </w:p>
    <w:p w14:paraId="5899073C" w14:textId="77777777" w:rsidR="00F437BF" w:rsidRDefault="00F437BF">
      <w:pPr>
        <w:pStyle w:val="Akapitzlist"/>
        <w:spacing w:after="0"/>
        <w:ind w:left="0"/>
        <w:jc w:val="both"/>
        <w:rPr>
          <w:rFonts w:ascii="Times New Roman" w:hAnsi="Times New Roman" w:cs="Times New Roman"/>
          <w:color w:val="000000"/>
        </w:rPr>
      </w:pPr>
    </w:p>
    <w:p w14:paraId="66CECC84" w14:textId="36002880" w:rsidR="00F437BF" w:rsidRDefault="00182230" w:rsidP="00182230">
      <w:pPr>
        <w:pStyle w:val="Default"/>
        <w:numPr>
          <w:ilvl w:val="0"/>
          <w:numId w:val="10"/>
        </w:numPr>
        <w:spacing w:after="68"/>
      </w:pPr>
      <w:r>
        <w:rPr>
          <w14:shadow w14:blurRad="63500" w14:dist="50800" w14:dir="1350000" w14:sx="0" w14:sy="0" w14:kx="0" w14:ky="0" w14:algn="none">
            <w14:srgbClr w14:val="000000">
              <w14:alpha w14:val="50000"/>
            </w14:srgbClr>
          </w14:shadow>
        </w:rPr>
        <w:t xml:space="preserve">19. </w:t>
      </w:r>
      <w:r w:rsidR="00CF4028">
        <w:t>D</w:t>
      </w:r>
      <w:r>
        <w:t xml:space="preserve">oprecyzowanie parametrów technicznych i użytkowych </w:t>
      </w:r>
      <w:r w:rsidRPr="00182230">
        <w:rPr>
          <w:i/>
        </w:rPr>
        <w:t>„żaluzji/rolet wewnętrznych zapewniających stuprocentowe zacienienie”</w:t>
      </w:r>
      <w:r>
        <w:t>.</w:t>
      </w:r>
    </w:p>
    <w:p w14:paraId="4D88D8ED" w14:textId="0CC1D0B9"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Zamawiający nie określa szczegółowych parametrów technicznych lub użytkowych w/w elementu – wyrób powinien mieć dopuszczenie do stosowania zgodnie z przepisami. Rozwiązanie wg propozycji Wykonawcy do akceptacji na etapie projektu.</w:t>
      </w:r>
    </w:p>
    <w:p w14:paraId="15F6DB42"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42C148D" w14:textId="068DDCAC" w:rsidR="00F437BF" w:rsidRDefault="00182230" w:rsidP="00182230">
      <w:pPr>
        <w:pStyle w:val="Default"/>
        <w:numPr>
          <w:ilvl w:val="0"/>
          <w:numId w:val="10"/>
        </w:numPr>
        <w:spacing w:after="68"/>
      </w:pPr>
      <w:r w:rsidRPr="00182230">
        <w:rPr>
          <w14:shadow w14:blurRad="63500" w14:dist="50800" w14:dir="1350000" w14:sx="0" w14:sy="0" w14:kx="0" w14:ky="0" w14:algn="none">
            <w14:srgbClr w14:val="000000">
              <w14:alpha w14:val="50000"/>
            </w14:srgbClr>
          </w14:shadow>
        </w:rPr>
        <w:t>20</w:t>
      </w:r>
      <w:r>
        <w:rPr>
          <w14:shadow w14:blurRad="63500" w14:dist="50800" w14:dir="1350000" w14:sx="0" w14:sy="0" w14:kx="0" w14:ky="0" w14:algn="none">
            <w14:srgbClr w14:val="000000">
              <w14:alpha w14:val="50000"/>
            </w14:srgbClr>
          </w14:shadow>
        </w:rPr>
        <w:t xml:space="preserve">. </w:t>
      </w:r>
      <w:r w:rsidR="00CF4028">
        <w:rPr>
          <w14:shadow w14:blurRad="63500" w14:dist="50800" w14:dir="1350000" w14:sx="0" w14:sy="0" w14:kx="0" w14:ky="0" w14:algn="none">
            <w14:srgbClr w14:val="000000">
              <w14:alpha w14:val="50000"/>
            </w14:srgbClr>
          </w14:shadow>
        </w:rPr>
        <w:t>D</w:t>
      </w:r>
      <w:r>
        <w:t>ostaw</w:t>
      </w:r>
      <w:r w:rsidR="00CF4028">
        <w:t>a</w:t>
      </w:r>
      <w:r>
        <w:t xml:space="preserve"> i montaż </w:t>
      </w:r>
      <w:r w:rsidRPr="00182230">
        <w:rPr>
          <w:i/>
        </w:rPr>
        <w:t>„żaluzji/rolet wewnętrznych zapewniających stuprocentowe zacienienie”</w:t>
      </w:r>
      <w:r>
        <w:t>.</w:t>
      </w:r>
    </w:p>
    <w:p w14:paraId="6578D28C" w14:textId="29F57B2A"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Poza zakresem. Dostawa i montaż żaluzji/rolet wewnętrznych do wykonania w kolejnym etapie realizacji inwestycji.</w:t>
      </w:r>
    </w:p>
    <w:p w14:paraId="673237B9"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343F5E6" w14:textId="1BF4BA90" w:rsidR="00F437BF" w:rsidRPr="00182230" w:rsidRDefault="00000000" w:rsidP="00182230">
      <w:pPr>
        <w:pStyle w:val="Default"/>
        <w:numPr>
          <w:ilvl w:val="0"/>
          <w:numId w:val="10"/>
        </w:numPr>
        <w:spacing w:after="68"/>
        <w:rPr>
          <w14:shadow w14:blurRad="63500" w14:dist="50800" w14:dir="1350000" w14:sx="0" w14:sy="0" w14:kx="0" w14:ky="0" w14:algn="none">
            <w14:srgbClr w14:val="000000">
              <w14:alpha w14:val="50000"/>
            </w14:srgbClr>
          </w14:shadow>
        </w:rPr>
      </w:pPr>
      <w:r w:rsidRPr="00182230">
        <w:rPr>
          <w14:shadow w14:blurRad="63500" w14:dist="50800" w14:dir="1350000" w14:sx="0" w14:sy="0" w14:kx="0" w14:ky="0" w14:algn="none">
            <w14:srgbClr w14:val="000000">
              <w14:alpha w14:val="50000"/>
            </w14:srgbClr>
          </w14:shadow>
        </w:rPr>
        <w:t>2</w:t>
      </w:r>
      <w:r w:rsidR="00DD3D29">
        <w:rPr>
          <w14:shadow w14:blurRad="63500" w14:dist="50800" w14:dir="1350000" w14:sx="0" w14:sy="0" w14:kx="0" w14:ky="0" w14:algn="none">
            <w14:srgbClr w14:val="000000">
              <w14:alpha w14:val="50000"/>
            </w14:srgbClr>
          </w14:shadow>
        </w:rPr>
        <w:t>1.</w:t>
      </w:r>
      <w:r w:rsidR="00182230" w:rsidRPr="00182230">
        <w:rPr>
          <w14:shadow w14:blurRad="63500" w14:dist="50800" w14:dir="1350000" w14:sx="0" w14:sy="0" w14:kx="0" w14:ky="0" w14:algn="none">
            <w14:srgbClr w14:val="000000">
              <w14:alpha w14:val="50000"/>
            </w14:srgbClr>
          </w14:shadow>
        </w:rPr>
        <w:t xml:space="preserve"> </w:t>
      </w:r>
      <w:r w:rsidR="00CF4028">
        <w:rPr>
          <w14:shadow w14:blurRad="63500" w14:dist="50800" w14:dir="1350000" w14:sx="0" w14:sy="0" w14:kx="0" w14:ky="0" w14:algn="none">
            <w14:srgbClr w14:val="000000">
              <w14:alpha w14:val="50000"/>
            </w14:srgbClr>
          </w14:shadow>
        </w:rPr>
        <w:t>D</w:t>
      </w:r>
      <w:r w:rsidRPr="00182230">
        <w:rPr>
          <w14:shadow w14:blurRad="63500" w14:dist="50800" w14:dir="1350000" w14:sx="0" w14:sy="0" w14:kx="0" w14:ky="0" w14:algn="none">
            <w14:srgbClr w14:val="000000">
              <w14:alpha w14:val="50000"/>
            </w14:srgbClr>
          </w14:shadow>
        </w:rPr>
        <w:t>oprecyzowanie parametrów technicznych i użytkowych urządzeń placu zabaw, które należy uwzględnić w ofercie.</w:t>
      </w:r>
    </w:p>
    <w:p w14:paraId="7B631F78" w14:textId="7774A9CA" w:rsidR="00F437BF" w:rsidRDefault="00CF4028" w:rsidP="00CF4028">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 Zamawiający nie określa szczegółowych parametrów technicznych lub użytkowych w/w elementu – wyrób powinien mieć dopuszczenie do stosowania zgodnie z przepisami.</w:t>
      </w:r>
    </w:p>
    <w:p w14:paraId="24BB36D1"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022B97F" w14:textId="461D2020" w:rsidR="00F437BF" w:rsidRPr="00DD3D29" w:rsidRDefault="00DD3D29" w:rsidP="00DD3D29">
      <w:pPr>
        <w:pStyle w:val="Default"/>
        <w:numPr>
          <w:ilvl w:val="0"/>
          <w:numId w:val="10"/>
        </w:numPr>
        <w:spacing w:after="68"/>
        <w:rPr>
          <w14:shadow w14:blurRad="63500" w14:dist="50800" w14:dir="1350000" w14:sx="0" w14:sy="0" w14:kx="0" w14:ky="0" w14:algn="none">
            <w14:srgbClr w14:val="000000">
              <w14:alpha w14:val="50000"/>
            </w14:srgbClr>
          </w14:shadow>
        </w:rPr>
      </w:pPr>
      <w:r w:rsidRPr="00DD3D29">
        <w:rPr>
          <w14:shadow w14:blurRad="63500" w14:dist="50800" w14:dir="1350000" w14:sx="0" w14:sy="0" w14:kx="0" w14:ky="0" w14:algn="none">
            <w14:srgbClr w14:val="000000">
              <w14:alpha w14:val="50000"/>
            </w14:srgbClr>
          </w14:shadow>
        </w:rPr>
        <w:t xml:space="preserve">22.Zamawiający dopuszcza na etapie prac projektowych zmianę lokalizacji lub formy placu zabaw w stosunku do przedstawionych w koncepcji PFU </w:t>
      </w:r>
      <w:r w:rsidR="00CF4028">
        <w:rPr>
          <w14:shadow w14:blurRad="63500" w14:dist="50800" w14:dir="1350000" w14:sx="0" w14:sy="0" w14:kx="0" w14:ky="0" w14:algn="none">
            <w14:srgbClr w14:val="000000">
              <w14:alpha w14:val="50000"/>
            </w14:srgbClr>
          </w14:shadow>
        </w:rPr>
        <w:t xml:space="preserve">z uwzględnieniem </w:t>
      </w:r>
      <w:r w:rsidRPr="00DD3D29">
        <w:rPr>
          <w14:shadow w14:blurRad="63500" w14:dist="50800" w14:dir="1350000" w14:sx="0" w14:sy="0" w14:kx="0" w14:ky="0" w14:algn="none">
            <w14:srgbClr w14:val="000000">
              <w14:alpha w14:val="50000"/>
            </w14:srgbClr>
          </w14:shadow>
        </w:rPr>
        <w:t>minimalnej odległości od:</w:t>
      </w:r>
    </w:p>
    <w:p w14:paraId="2F3316D4" w14:textId="77777777" w:rsidR="00F437BF" w:rsidRDefault="00000000" w:rsidP="00CF4028">
      <w:pPr>
        <w:pStyle w:val="Default"/>
        <w:spacing w:after="68"/>
        <w:ind w:firstLine="720"/>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a) linii rozgraniczających,</w:t>
      </w:r>
    </w:p>
    <w:p w14:paraId="55FF86C0" w14:textId="77777777" w:rsidR="00F437BF" w:rsidRDefault="00000000" w:rsidP="00CF4028">
      <w:pPr>
        <w:pStyle w:val="Default"/>
        <w:spacing w:after="68"/>
        <w:ind w:left="720" w:firstLine="720"/>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b) okien w pomieszczeniach przeznaczonych na stały pobyt ludzi,</w:t>
      </w:r>
    </w:p>
    <w:p w14:paraId="46E15562" w14:textId="77777777" w:rsidR="00F437BF" w:rsidRDefault="00000000" w:rsidP="00CF4028">
      <w:pPr>
        <w:pStyle w:val="Default"/>
        <w:spacing w:after="68"/>
        <w:ind w:left="720" w:firstLine="720"/>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c) ciągów pieszo-jezdnych,</w:t>
      </w:r>
    </w:p>
    <w:p w14:paraId="4D955E14" w14:textId="77777777" w:rsidR="00F437BF" w:rsidRDefault="00000000" w:rsidP="00CF4028">
      <w:pPr>
        <w:pStyle w:val="Default"/>
        <w:ind w:left="720" w:firstLine="720"/>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d) parkingu.</w:t>
      </w:r>
    </w:p>
    <w:p w14:paraId="7646F80F" w14:textId="77777777" w:rsidR="00F437BF" w:rsidRDefault="00000000" w:rsidP="00CF4028">
      <w:pPr>
        <w:pStyle w:val="Standard"/>
        <w:ind w:left="1440"/>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lastRenderedPageBreak/>
        <w:t>Ponadto strefy bezpieczeństwa poszczególnych urządzeń nachodzą na siebie, a zaprojektowana ilość elementów jest zbyt duża w stosunku do wydzielonej powierzchni placu zabaw</w:t>
      </w:r>
    </w:p>
    <w:p w14:paraId="2A41239D"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4F0386E6" w14:textId="71776827" w:rsidR="00F437BF" w:rsidRPr="00DD3D29" w:rsidRDefault="00DD3D29" w:rsidP="00DD3D29">
      <w:pPr>
        <w:pStyle w:val="Default"/>
        <w:numPr>
          <w:ilvl w:val="0"/>
          <w:numId w:val="10"/>
        </w:numPr>
        <w:spacing w:after="68"/>
        <w:jc w:val="both"/>
        <w:rPr>
          <w14:shadow w14:blurRad="63500" w14:dist="50800" w14:dir="1350000" w14:sx="0" w14:sy="0" w14:kx="0" w14:ky="0" w14:algn="none">
            <w14:srgbClr w14:val="000000">
              <w14:alpha w14:val="50000"/>
            </w14:srgbClr>
          </w14:shadow>
        </w:rPr>
      </w:pPr>
      <w:r w:rsidRPr="00DD3D29">
        <w:rPr>
          <w14:shadow w14:blurRad="63500" w14:dist="50800" w14:dir="1350000" w14:sx="0" w14:sy="0" w14:kx="0" w14:ky="0" w14:algn="none">
            <w14:srgbClr w14:val="000000">
              <w14:alpha w14:val="50000"/>
            </w14:srgbClr>
          </w14:shadow>
        </w:rPr>
        <w:t>23</w:t>
      </w:r>
      <w:r>
        <w:rPr>
          <w14:shadow w14:blurRad="63500" w14:dist="50800" w14:dir="1350000" w14:sx="0" w14:sy="0" w14:kx="0" w14:ky="0" w14:algn="none">
            <w14:srgbClr w14:val="000000">
              <w14:alpha w14:val="50000"/>
            </w14:srgbClr>
          </w14:shadow>
        </w:rPr>
        <w:t>. W</w:t>
      </w:r>
      <w:r w:rsidRPr="00DD3D29">
        <w:rPr>
          <w14:shadow w14:blurRad="63500" w14:dist="50800" w14:dir="1350000" w14:sx="0" w14:sy="0" w14:kx="0" w14:ky="0" w14:algn="none">
            <w14:srgbClr w14:val="000000">
              <w14:alpha w14:val="50000"/>
            </w14:srgbClr>
          </w14:shadow>
        </w:rPr>
        <w:t xml:space="preserve"> wycenie należy uwzględnić wykończenie ścian w postaci tynków cementowo-wapiennych kat. III z wykończeniem farbą, tj. bez konieczności szpachlowania tynkowanych powierzchni ścian.</w:t>
      </w:r>
    </w:p>
    <w:p w14:paraId="555AFC65"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144A0683" w14:textId="1221FE8F" w:rsidR="00F437BF" w:rsidRPr="00DD3D29" w:rsidRDefault="00DD3D29" w:rsidP="00DD3D29">
      <w:pPr>
        <w:pStyle w:val="Default"/>
        <w:numPr>
          <w:ilvl w:val="0"/>
          <w:numId w:val="10"/>
        </w:numPr>
        <w:spacing w:after="68"/>
        <w:rPr>
          <w14:shadow w14:blurRad="63500" w14:dist="50800" w14:dir="1350000" w14:sx="0" w14:sy="0" w14:kx="0" w14:ky="0" w14:algn="none">
            <w14:srgbClr w14:val="000000">
              <w14:alpha w14:val="50000"/>
            </w14:srgbClr>
          </w14:shadow>
        </w:rPr>
      </w:pPr>
      <w:r w:rsidRPr="00DD3D29">
        <w:rPr>
          <w14:shadow w14:blurRad="63500" w14:dist="50800" w14:dir="1350000" w14:sx="0" w14:sy="0" w14:kx="0" w14:ky="0" w14:algn="none">
            <w14:srgbClr w14:val="000000">
              <w14:alpha w14:val="50000"/>
            </w14:srgbClr>
          </w14:shadow>
        </w:rPr>
        <w:t xml:space="preserve">24. </w:t>
      </w:r>
      <w:r>
        <w:rPr>
          <w14:shadow w14:blurRad="63500" w14:dist="50800" w14:dir="1350000" w14:sx="0" w14:sy="0" w14:kx="0" w14:ky="0" w14:algn="none">
            <w14:srgbClr w14:val="000000">
              <w14:alpha w14:val="50000"/>
            </w14:srgbClr>
          </w14:shadow>
        </w:rPr>
        <w:t>W</w:t>
      </w:r>
      <w:r w:rsidRPr="00DD3D29">
        <w:rPr>
          <w14:shadow w14:blurRad="63500" w14:dist="50800" w14:dir="1350000" w14:sx="0" w14:sy="0" w14:kx="0" w14:ky="0" w14:algn="none">
            <w14:srgbClr w14:val="000000">
              <w14:alpha w14:val="50000"/>
            </w14:srgbClr>
          </w14:shadow>
        </w:rPr>
        <w:t xml:space="preserve"> wycenie należy uwzględnić wykończenie sufitów w postaci tynków cementowo-wapiennych kat. III z wykończeniem farbą, tj. bez konieczności szpachlowania tynkowanych powierzchni sufitów.</w:t>
      </w:r>
    </w:p>
    <w:p w14:paraId="0396B0C2" w14:textId="45642D05" w:rsidR="00F437BF" w:rsidRDefault="005E1A67" w:rsidP="00F11FA3">
      <w:pPr>
        <w:pStyle w:val="Standard"/>
        <w:ind w:left="709"/>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W części budynku należy wykonać sufity powieszane modułowe 60×60. W n/w pomieszczeniach należy uwzględnić wykończenie stropu tynkiem cementowo-wapiennym kat. III wraz z dwukrotnym malowaniem farbą:</w:t>
      </w:r>
    </w:p>
    <w:p w14:paraId="4707BD12" w14:textId="77777777" w:rsidR="00F437BF" w:rsidRDefault="00000000">
      <w:pPr>
        <w:pStyle w:val="Akapitzlist"/>
        <w:numPr>
          <w:ilvl w:val="0"/>
          <w:numId w:val="5"/>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 – SZATNIE PRZEDSZKOLA,</w:t>
      </w:r>
    </w:p>
    <w:p w14:paraId="0EED3708"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A.1.8 – MAGAZYN MATERACY,</w:t>
      </w:r>
    </w:p>
    <w:p w14:paraId="3D64D911"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A.1.14 – POM. PORZĄDKOWE,</w:t>
      </w:r>
    </w:p>
    <w:p w14:paraId="60E82CA0"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A.1.17 – MAGAZYN,</w:t>
      </w:r>
    </w:p>
    <w:p w14:paraId="4604F2F5"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A.1.18 – MAGAZYN,</w:t>
      </w:r>
    </w:p>
    <w:p w14:paraId="46E96C02"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A.1.19 – MAGAZYN,</w:t>
      </w:r>
    </w:p>
    <w:p w14:paraId="03E15BC0"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A.1.26 – ZAPLECZE KLASY,</w:t>
      </w:r>
    </w:p>
    <w:p w14:paraId="7789921D"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A.1.29 – ZAPLECZE KLASY,</w:t>
      </w:r>
    </w:p>
    <w:p w14:paraId="73B759AB"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A.1.30 – ZAPLECZE KLASY,</w:t>
      </w:r>
    </w:p>
    <w:p w14:paraId="5BF7EE21"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A.1.32 – SZATNIE SZKOŁY,</w:t>
      </w:r>
    </w:p>
    <w:p w14:paraId="51774F50"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A.2.11 – ARCHIWUM,</w:t>
      </w:r>
    </w:p>
    <w:p w14:paraId="692A9C68"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A.2.17 – POM. TECHNICZNE,</w:t>
      </w:r>
    </w:p>
    <w:p w14:paraId="22BF34A6"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A.2.19 – ZAPLECZE KLASY,</w:t>
      </w:r>
    </w:p>
    <w:p w14:paraId="1C53893E"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A.2.20 – ZAPLECZE KLASY,</w:t>
      </w:r>
    </w:p>
    <w:p w14:paraId="4BC4C732"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A.2.23 – ZAPLECZE KLASY,</w:t>
      </w:r>
    </w:p>
    <w:p w14:paraId="571AA16E"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A.2.27 – ZAPLECZE KLASY,</w:t>
      </w:r>
    </w:p>
    <w:p w14:paraId="33AFD1C1"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A.2.30 – ZAPLECZE KLASY,</w:t>
      </w:r>
    </w:p>
    <w:p w14:paraId="7B0E95F4"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A.2.31 – POM. MAGAZYNOWE,</w:t>
      </w:r>
    </w:p>
    <w:p w14:paraId="799B9E5C" w14:textId="77777777" w:rsidR="00F437BF" w:rsidRDefault="00000000">
      <w:pPr>
        <w:pStyle w:val="Akapitzlist"/>
        <w:numPr>
          <w:ilvl w:val="0"/>
          <w:numId w:val="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A.2.32 – POM. TECHNICZNE.</w:t>
      </w:r>
    </w:p>
    <w:p w14:paraId="62171ED7" w14:textId="77777777" w:rsidR="00F437BF" w:rsidRDefault="00000000" w:rsidP="00F11FA3">
      <w:pPr>
        <w:pStyle w:val="Akapitzlist"/>
        <w:spacing w:after="0"/>
        <w:ind w:left="1134"/>
        <w:jc w:val="both"/>
        <w:rPr>
          <w:rFonts w:ascii="Times New Roman" w:hAnsi="Times New Roman" w:cs="Times New Roman"/>
          <w:color w:val="000000"/>
        </w:rPr>
      </w:pPr>
      <w:r>
        <w:rPr>
          <w:rFonts w:ascii="Times New Roman" w:hAnsi="Times New Roman" w:cs="Times New Roman"/>
          <w:color w:val="000000"/>
        </w:rPr>
        <w:lastRenderedPageBreak/>
        <w:t>Powierzchnia ścian (powyżej sufitów podwieszanych) wykończona wyłącznie tynkiem cementowo-wapiennym kat. III, tj. bez malowania, natomiast powierzchnia stropów (powyżej sufitów podwieszanych – w całości) wyłącznie zagruntowana, tj. nietynkowana i niemalowana.</w:t>
      </w:r>
    </w:p>
    <w:p w14:paraId="2C06FBD8"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2F849DD"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A366633"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17355256" w14:textId="3C2724D6" w:rsidR="00F437BF" w:rsidRPr="005E1A67" w:rsidRDefault="005E1A67" w:rsidP="005E1A67">
      <w:pPr>
        <w:pStyle w:val="Default"/>
        <w:numPr>
          <w:ilvl w:val="0"/>
          <w:numId w:val="11"/>
        </w:numPr>
        <w:ind w:left="851"/>
        <w:jc w:val="both"/>
      </w:pPr>
      <w:r w:rsidRPr="005E1A67">
        <w:rPr>
          <w14:shadow w14:blurRad="63500" w14:dist="50800" w14:dir="1350000" w14:sx="0" w14:sy="0" w14:kx="0" w14:ky="0" w14:algn="none">
            <w14:srgbClr w14:val="000000">
              <w14:alpha w14:val="50000"/>
            </w14:srgbClr>
          </w14:shadow>
        </w:rPr>
        <w:t xml:space="preserve">25. </w:t>
      </w:r>
      <w:r w:rsidRPr="005E1A67">
        <w:t>System oświetlenia iluminacji budynku szkoły do wykonania w kolejnym etapie realizacji inwestycji.</w:t>
      </w:r>
    </w:p>
    <w:p w14:paraId="73A470F9"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3D5424C" w14:textId="276F0AB0" w:rsidR="00F437BF" w:rsidRPr="005E1A67" w:rsidRDefault="005E1A67" w:rsidP="005E1A67">
      <w:pPr>
        <w:pStyle w:val="Default"/>
        <w:numPr>
          <w:ilvl w:val="0"/>
          <w:numId w:val="11"/>
        </w:numPr>
        <w:ind w:left="851"/>
        <w:jc w:val="both"/>
      </w:pPr>
      <w:r w:rsidRPr="005E1A67">
        <w:rPr>
          <w14:shadow w14:blurRad="63500" w14:dist="50800" w14:dir="1350000" w14:sx="0" w14:sy="0" w14:kx="0" w14:ky="0" w14:algn="none">
            <w14:srgbClr w14:val="000000">
              <w14:alpha w14:val="50000"/>
            </w14:srgbClr>
          </w14:shadow>
        </w:rPr>
        <w:t xml:space="preserve">26. </w:t>
      </w:r>
      <w:r w:rsidRPr="005E1A67">
        <w:t>Ogrodzenie docelowe do wykonania w kolejnym etapie realizacji inwestycji.</w:t>
      </w:r>
    </w:p>
    <w:p w14:paraId="075D3880"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4EDC64A3" w14:textId="1BB8C5DB" w:rsidR="00F437BF" w:rsidRDefault="005E1A67" w:rsidP="005E1A67">
      <w:pPr>
        <w:pStyle w:val="Default"/>
        <w:numPr>
          <w:ilvl w:val="0"/>
          <w:numId w:val="11"/>
        </w:numPr>
        <w:spacing w:after="68"/>
        <w:ind w:left="851"/>
        <w:rPr>
          <w14:shadow w14:blurRad="63500" w14:dist="50800" w14:dir="1350000" w14:sx="0" w14:sy="0" w14:kx="0" w14:ky="0" w14:algn="none">
            <w14:srgbClr w14:val="000000">
              <w14:alpha w14:val="50000"/>
            </w14:srgbClr>
          </w14:shadow>
        </w:rPr>
      </w:pPr>
      <w:r w:rsidRPr="005E1A67">
        <w:rPr>
          <w14:shadow w14:blurRad="63500" w14:dist="50800" w14:dir="1350000" w14:sx="0" w14:sy="0" w14:kx="0" w14:ky="0" w14:algn="none">
            <w14:srgbClr w14:val="000000">
              <w14:alpha w14:val="50000"/>
            </w14:srgbClr>
          </w14:shadow>
        </w:rPr>
        <w:t xml:space="preserve">27. </w:t>
      </w:r>
      <w:r>
        <w:rPr>
          <w14:shadow w14:blurRad="63500" w14:dist="50800" w14:dir="1350000" w14:sx="0" w14:sy="0" w14:kx="0" w14:ky="0" w14:algn="none">
            <w14:srgbClr w14:val="000000">
              <w14:alpha w14:val="50000"/>
            </w14:srgbClr>
          </w14:shadow>
        </w:rPr>
        <w:t>W wycenie należy uwzględnić dostawę i montaż wyposażenia wg załącznika nr 3.6 do PFU w zakresie oznaczonym kolorem fioletowym, tj. wyposażenia objęte etapem I. W/w prace uwzględnić w pozycji 6 zaktualizowanego formularza cenowego (w załączeniu).</w:t>
      </w:r>
    </w:p>
    <w:p w14:paraId="780DABD6" w14:textId="77777777" w:rsidR="00F437BF" w:rsidRDefault="00F437BF">
      <w:pPr>
        <w:pStyle w:val="Akapitzlist"/>
        <w:spacing w:after="0"/>
        <w:ind w:left="0"/>
        <w:jc w:val="both"/>
        <w:rPr>
          <w:rFonts w:ascii="Times New Roman" w:hAnsi="Times New Roman" w:cs="Times New Roman"/>
          <w:color w:val="000000"/>
        </w:rPr>
      </w:pPr>
    </w:p>
    <w:p w14:paraId="5169F46A" w14:textId="7CA19CD1" w:rsidR="00F437BF" w:rsidRPr="005E1A67" w:rsidRDefault="005E1A67" w:rsidP="005E1A67">
      <w:pPr>
        <w:pStyle w:val="Default"/>
        <w:numPr>
          <w:ilvl w:val="0"/>
          <w:numId w:val="11"/>
        </w:numPr>
        <w:spacing w:after="68"/>
        <w:ind w:left="851"/>
        <w:rPr>
          <w14:shadow w14:blurRad="63500" w14:dist="50800" w14:dir="1350000" w14:sx="0" w14:sy="0" w14:kx="0" w14:ky="0" w14:algn="none">
            <w14:srgbClr w14:val="000000">
              <w14:alpha w14:val="50000"/>
            </w14:srgbClr>
          </w14:shadow>
        </w:rPr>
      </w:pPr>
      <w:r w:rsidRPr="005E1A67">
        <w:rPr>
          <w14:shadow w14:blurRad="63500" w14:dist="50800" w14:dir="1350000" w14:sx="0" w14:sy="0" w14:kx="0" w14:ky="0" w14:algn="none">
            <w14:srgbClr w14:val="000000">
              <w14:alpha w14:val="50000"/>
            </w14:srgbClr>
          </w14:shadow>
        </w:rPr>
        <w:t xml:space="preserve">28. </w:t>
      </w:r>
      <w:r>
        <w:rPr>
          <w14:shadow w14:blurRad="63500" w14:dist="50800" w14:dir="1350000" w14:sx="0" w14:sy="0" w14:kx="0" w14:ky="0" w14:algn="none">
            <w14:srgbClr w14:val="000000">
              <w14:alpha w14:val="50000"/>
            </w14:srgbClr>
          </w14:shadow>
        </w:rPr>
        <w:t>W</w:t>
      </w:r>
      <w:r w:rsidRPr="005E1A67">
        <w:rPr>
          <w14:shadow w14:blurRad="63500" w14:dist="50800" w14:dir="1350000" w14:sx="0" w14:sy="0" w14:kx="0" w14:ky="0" w14:algn="none">
            <w14:srgbClr w14:val="000000">
              <w14:alpha w14:val="50000"/>
            </w14:srgbClr>
          </w14:shadow>
        </w:rPr>
        <w:t xml:space="preserve"> wycenie nie należy uwzględniać dostawy i montażu tabliczek identyfikacji wizualnej.</w:t>
      </w:r>
    </w:p>
    <w:p w14:paraId="68D25DF2"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6A77EE3D" w14:textId="58C98C70" w:rsidR="00F437BF" w:rsidRDefault="005E1A67" w:rsidP="005E1A67">
      <w:pPr>
        <w:pStyle w:val="Default"/>
        <w:numPr>
          <w:ilvl w:val="0"/>
          <w:numId w:val="11"/>
        </w:numPr>
        <w:spacing w:after="68"/>
        <w:ind w:left="851"/>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29. W wycenie nie należy uwzględniać dostawy i montażu ławek solarnych wyspecyfikowanych na rysunku PZT.</w:t>
      </w:r>
    </w:p>
    <w:p w14:paraId="15FB9AD1" w14:textId="77777777" w:rsidR="00F437BF" w:rsidRDefault="00F437BF">
      <w:pPr>
        <w:pStyle w:val="Default"/>
        <w:spacing w:after="68"/>
        <w:rPr>
          <w14:shadow w14:blurRad="63500" w14:dist="50800" w14:dir="1350000" w14:sx="0" w14:sy="0" w14:kx="0" w14:ky="0" w14:algn="none">
            <w14:srgbClr w14:val="000000">
              <w14:alpha w14:val="50000"/>
            </w14:srgbClr>
          </w14:shadow>
        </w:rPr>
      </w:pPr>
    </w:p>
    <w:p w14:paraId="5052A800" w14:textId="450A108C" w:rsidR="00F437BF" w:rsidRPr="005E1A67" w:rsidRDefault="005E1A67" w:rsidP="005E1A67">
      <w:pPr>
        <w:pStyle w:val="Default"/>
        <w:numPr>
          <w:ilvl w:val="0"/>
          <w:numId w:val="11"/>
        </w:numPr>
        <w:ind w:left="851"/>
        <w:jc w:val="both"/>
      </w:pPr>
      <w:r w:rsidRPr="005E1A67">
        <w:rPr>
          <w14:shadow w14:blurRad="63500" w14:dist="50800" w14:dir="1350000" w14:sx="0" w14:sy="0" w14:kx="0" w14:ky="0" w14:algn="none">
            <w14:srgbClr w14:val="000000">
              <w14:alpha w14:val="50000"/>
            </w14:srgbClr>
          </w14:shadow>
        </w:rPr>
        <w:t xml:space="preserve">30. Wyposażenie technologii kuchni wyspecyfikowane w załączniku nr 3.6.1 do PFU nie wchodzi w zakres niniejszego zamówienia. </w:t>
      </w:r>
      <w:r w:rsidRPr="005E1A67">
        <w:t>Nie mniej w ramach niniejszego zamówienia należy zaprojektować pomieszczenia, które będą w stanie pomieścić urządzenia i niezbędne wyposażenie wg wymagań PFU.</w:t>
      </w:r>
    </w:p>
    <w:p w14:paraId="0E03F493"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8CF8279" w14:textId="3A2C1EAB" w:rsidR="00F437BF" w:rsidRDefault="005E1A67" w:rsidP="005E1A67">
      <w:pPr>
        <w:pStyle w:val="Default"/>
        <w:numPr>
          <w:ilvl w:val="0"/>
          <w:numId w:val="11"/>
        </w:numPr>
        <w:spacing w:after="68"/>
        <w:ind w:left="851"/>
        <w:rPr>
          <w14:shadow w14:blurRad="63500" w14:dist="50800" w14:dir="1350000" w14:sx="0" w14:sy="0" w14:kx="0" w14:ky="0" w14:algn="none">
            <w14:srgbClr w14:val="000000">
              <w14:alpha w14:val="50000"/>
            </w14:srgbClr>
          </w14:shadow>
        </w:rPr>
      </w:pPr>
      <w:r w:rsidRPr="005E1A67">
        <w:rPr>
          <w14:shadow w14:blurRad="63500" w14:dist="50800" w14:dir="1350000" w14:sx="0" w14:sy="0" w14:kx="0" w14:ky="0" w14:algn="none">
            <w14:srgbClr w14:val="000000">
              <w14:alpha w14:val="50000"/>
            </w14:srgbClr>
          </w14:shadow>
        </w:rPr>
        <w:t xml:space="preserve">31.  </w:t>
      </w:r>
      <w:r>
        <w:rPr>
          <w14:shadow w14:blurRad="63500" w14:dist="50800" w14:dir="1350000" w14:sx="0" w14:sy="0" w14:kx="0" w14:ky="0" w14:algn="none">
            <w14:srgbClr w14:val="000000">
              <w14:alpha w14:val="50000"/>
            </w14:srgbClr>
          </w14:shadow>
        </w:rPr>
        <w:t>W</w:t>
      </w:r>
      <w:r w:rsidRPr="005E1A67">
        <w:rPr>
          <w14:shadow w14:blurRad="63500" w14:dist="50800" w14:dir="1350000" w14:sx="0" w14:sy="0" w14:kx="0" w14:ky="0" w14:algn="none">
            <w14:srgbClr w14:val="000000">
              <w14:alpha w14:val="50000"/>
            </w14:srgbClr>
          </w14:shadow>
        </w:rPr>
        <w:t>yposażenie (oznaczone kolorem filetowym) wyspecyfikowane w załączniku nr 3.6 do PFU wchodzi w zakres niniejszego zamówienia.</w:t>
      </w:r>
    </w:p>
    <w:p w14:paraId="67F2D2E7" w14:textId="77777777" w:rsidR="00F11FA3" w:rsidRDefault="00F11FA3" w:rsidP="00F11FA3">
      <w:pPr>
        <w:pStyle w:val="Akapitzlist"/>
        <w:rPr>
          <w14:shadow w14:blurRad="63500" w14:dist="50800" w14:dir="1350000" w14:sx="0" w14:sy="0" w14:kx="0" w14:ky="0" w14:algn="none">
            <w14:srgbClr w14:val="000000">
              <w14:alpha w14:val="50000"/>
            </w14:srgbClr>
          </w14:shadow>
        </w:rPr>
      </w:pPr>
    </w:p>
    <w:p w14:paraId="6E19C4D1" w14:textId="16A90F29" w:rsidR="00F437BF" w:rsidRPr="000F2983" w:rsidRDefault="000F2983" w:rsidP="000F2983">
      <w:pPr>
        <w:pStyle w:val="Default"/>
        <w:numPr>
          <w:ilvl w:val="0"/>
          <w:numId w:val="11"/>
        </w:numPr>
        <w:spacing w:after="68"/>
        <w:ind w:left="851"/>
        <w:rPr>
          <w14:shadow w14:blurRad="63500" w14:dist="50800" w14:dir="1350000" w14:sx="0" w14:sy="0" w14:kx="0" w14:ky="0" w14:algn="none">
            <w14:srgbClr w14:val="000000">
              <w14:alpha w14:val="50000"/>
            </w14:srgbClr>
          </w14:shadow>
        </w:rPr>
      </w:pPr>
      <w:r w:rsidRPr="000F2983">
        <w:rPr>
          <w14:shadow w14:blurRad="63500" w14:dist="50800" w14:dir="1350000" w14:sx="0" w14:sy="0" w14:kx="0" w14:ky="0" w14:algn="none">
            <w14:srgbClr w14:val="000000">
              <w14:alpha w14:val="50000"/>
            </w14:srgbClr>
          </w14:shadow>
        </w:rPr>
        <w:t>32. n/w wyposażenie wyspecyfikowane w załączniku nr 3.6 do PFU wchodzi w zakres niniejszego zamówienia:</w:t>
      </w:r>
    </w:p>
    <w:p w14:paraId="6DA08A9F" w14:textId="77777777" w:rsidR="00F437BF" w:rsidRDefault="00000000" w:rsidP="00F11FA3">
      <w:pPr>
        <w:pStyle w:val="Default"/>
        <w:spacing w:after="68"/>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a) poz. 182 – poz. 186,</w:t>
      </w:r>
    </w:p>
    <w:p w14:paraId="42F2E9FA" w14:textId="77777777" w:rsidR="00F437BF" w:rsidRDefault="00000000" w:rsidP="00F11FA3">
      <w:pPr>
        <w:pStyle w:val="Default"/>
        <w:spacing w:after="68"/>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b) poz. 187 – poz. 190,</w:t>
      </w:r>
    </w:p>
    <w:p w14:paraId="7C06EB2B" w14:textId="77777777" w:rsidR="00F437BF" w:rsidRDefault="00000000" w:rsidP="00F11FA3">
      <w:pPr>
        <w:pStyle w:val="Default"/>
        <w:spacing w:after="68"/>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c) poz. 191 – poz. 196,</w:t>
      </w:r>
    </w:p>
    <w:p w14:paraId="3078B82C" w14:textId="77777777" w:rsidR="00F437BF" w:rsidRDefault="00000000" w:rsidP="00F11FA3">
      <w:pPr>
        <w:pStyle w:val="Default"/>
        <w:spacing w:after="68"/>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d) poz. 198 – poz. 199,</w:t>
      </w:r>
    </w:p>
    <w:p w14:paraId="223E4B06" w14:textId="77777777" w:rsidR="00F437BF" w:rsidRDefault="00000000" w:rsidP="00F11FA3">
      <w:pPr>
        <w:pStyle w:val="Default"/>
        <w:spacing w:after="68"/>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e) poz. 235 – poz. 239,</w:t>
      </w:r>
    </w:p>
    <w:p w14:paraId="4AD0F341" w14:textId="77777777" w:rsidR="00F437BF" w:rsidRDefault="00000000" w:rsidP="00F11FA3">
      <w:pPr>
        <w:pStyle w:val="Default"/>
        <w:ind w:left="993"/>
        <w:rPr>
          <w14:shadow w14:blurRad="63500" w14:dist="50800" w14:dir="1350000" w14:sx="0" w14:sy="0" w14:kx="0" w14:ky="0" w14:algn="none">
            <w14:srgbClr w14:val="000000">
              <w14:alpha w14:val="50000"/>
            </w14:srgbClr>
          </w14:shadow>
        </w:rPr>
      </w:pPr>
      <w:r>
        <w:rPr>
          <w14:shadow w14:blurRad="63500" w14:dist="50800" w14:dir="1350000" w14:sx="0" w14:sy="0" w14:kx="0" w14:ky="0" w14:algn="none">
            <w14:srgbClr w14:val="000000">
              <w14:alpha w14:val="50000"/>
            </w14:srgbClr>
          </w14:shadow>
        </w:rPr>
        <w:t>f) poz. 240 – poz. 244.</w:t>
      </w:r>
    </w:p>
    <w:p w14:paraId="4D10E8CB" w14:textId="77777777" w:rsidR="00F437BF" w:rsidRDefault="00000000" w:rsidP="00F11FA3">
      <w:pPr>
        <w:pStyle w:val="Standard"/>
        <w:ind w:left="993"/>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W/w pozycje zostały tylko częściowo oznaczone kolorem fioletowym, tj. wyróżniono wyłącznie kolumnę „Nr pom./Lp.”.</w:t>
      </w:r>
    </w:p>
    <w:p w14:paraId="1CBF87F8" w14:textId="77777777" w:rsidR="00F437BF" w:rsidRDefault="00F437BF">
      <w:pPr>
        <w:pStyle w:val="Standard"/>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F76D7F2" w14:textId="32B9E059" w:rsidR="00F437BF" w:rsidRPr="000F2983" w:rsidRDefault="000F2983" w:rsidP="000F2983">
      <w:pPr>
        <w:pStyle w:val="Default"/>
        <w:numPr>
          <w:ilvl w:val="0"/>
          <w:numId w:val="12"/>
        </w:numPr>
        <w:ind w:left="851"/>
        <w:jc w:val="both"/>
      </w:pPr>
      <w:r>
        <w:rPr>
          <w14:shadow w14:blurRad="63500" w14:dist="50800" w14:dir="1350000" w14:sx="0" w14:sy="0" w14:kx="0" w14:ky="0" w14:algn="none">
            <w14:srgbClr w14:val="000000">
              <w14:alpha w14:val="50000"/>
            </w14:srgbClr>
          </w14:shadow>
        </w:rPr>
        <w:lastRenderedPageBreak/>
        <w:t>32.</w:t>
      </w:r>
      <w:r w:rsidRPr="000F2983">
        <w:t xml:space="preserve"> Dostawa i montaż wyposażenia technologii kuchni do wykonania w kolejnym etapie realizacji inwestycji. Opis wyposażenia wg załącznika nr 3.6.1 do PFU ma jedynie charakter poglądowy i obrazujący jakie urządzenia należy przewidzieć na etapie sporządzenia dokumentacji projektowej.</w:t>
      </w:r>
    </w:p>
    <w:p w14:paraId="4D472E7D"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ECF4781"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7D02436B" w14:textId="41681638" w:rsidR="00F437BF" w:rsidRPr="000F2983" w:rsidRDefault="000F2983" w:rsidP="000F2983">
      <w:pPr>
        <w:pStyle w:val="Default"/>
        <w:numPr>
          <w:ilvl w:val="0"/>
          <w:numId w:val="12"/>
        </w:numPr>
        <w:ind w:left="851"/>
        <w:jc w:val="both"/>
      </w:pPr>
      <w:r w:rsidRPr="000F2983">
        <w:rPr>
          <w14:shadow w14:blurRad="63500" w14:dist="50800" w14:dir="1350000" w14:sx="0" w14:sy="0" w14:kx="0" w14:ky="0" w14:algn="none">
            <w14:srgbClr w14:val="000000">
              <w14:alpha w14:val="50000"/>
            </w14:srgbClr>
          </w14:shadow>
        </w:rPr>
        <w:t xml:space="preserve">33. </w:t>
      </w:r>
      <w:r w:rsidRPr="000F2983">
        <w:t>Dostawa i montaż wyposażenia meblowego do wykonania w kolejnym etapie realizacji inwestycji.</w:t>
      </w:r>
    </w:p>
    <w:p w14:paraId="5AE14B9E"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A05046A" w14:textId="760DFE92" w:rsidR="00F437BF" w:rsidRDefault="000F2983" w:rsidP="000811D6">
      <w:pPr>
        <w:pStyle w:val="Default"/>
        <w:numPr>
          <w:ilvl w:val="0"/>
          <w:numId w:val="12"/>
        </w:numPr>
        <w:ind w:left="851"/>
        <w:jc w:val="both"/>
      </w:pPr>
      <w:r w:rsidRPr="009C16EA">
        <w:rPr>
          <w14:shadow w14:blurRad="63500" w14:dist="50800" w14:dir="1350000" w14:sx="0" w14:sy="0" w14:kx="0" w14:ky="0" w14:algn="none">
            <w14:srgbClr w14:val="000000">
              <w14:alpha w14:val="50000"/>
            </w14:srgbClr>
          </w14:shadow>
        </w:rPr>
        <w:t xml:space="preserve">34. </w:t>
      </w:r>
      <w:r>
        <w:t xml:space="preserve">W nawiązaniu do zapisów PFU, tj.: </w:t>
      </w:r>
      <w:r w:rsidRPr="009C16EA">
        <w:rPr>
          <w:i/>
        </w:rPr>
        <w:t>„we wszystkich pomieszczeniach dostępnych dla uczniów i dzieci w przedszkolu należy zapewnić wymagania programu dostępność plus, m.in. poprzez stosowanie wymaganych kontrastów (LRV) oraz faktur”</w:t>
      </w:r>
      <w:r w:rsidR="009C16EA" w:rsidRPr="009C16EA">
        <w:rPr>
          <w:iCs/>
        </w:rPr>
        <w:t xml:space="preserve"> wyjaśniamy, iż należy opierać się o następujący dokument: </w:t>
      </w:r>
      <w:r w:rsidRPr="009C16EA">
        <w:rPr>
          <w14:shadow w14:blurRad="63500" w14:dist="50800" w14:dir="1350000" w14:sx="0" w14:sy="0" w14:kx="0" w14:ky="0" w14:algn="none">
            <w14:srgbClr w14:val="000000">
              <w14:alpha w14:val="50000"/>
            </w14:srgbClr>
          </w14:shadow>
        </w:rPr>
        <w:t xml:space="preserve"> Ministerstwo Infrastruktury I Budownictwa „Standardy dostępności budynków dla osób z niepełnosprawnościami”; wydanie 2017 r.</w:t>
      </w:r>
      <w:r w:rsidR="009C16EA" w:rsidRPr="009C16EA">
        <w:rPr>
          <w14:shadow w14:blurRad="63500" w14:dist="50800" w14:dir="1350000" w14:sx="0" w14:sy="0" w14:kx="0" w14:ky="0" w14:algn="none">
            <w14:srgbClr w14:val="000000">
              <w14:alpha w14:val="50000"/>
            </w14:srgbClr>
          </w14:shadow>
        </w:rPr>
        <w:t xml:space="preserve"> </w:t>
      </w:r>
      <w:hyperlink r:id="rId8" w:history="1">
        <w:r w:rsidRPr="009C16EA">
          <w:rPr>
            <w:rStyle w:val="Internetlink"/>
            <w:color w:val="000000"/>
          </w:rPr>
          <w:t>https://www.gov.pl/web/rozwoj-technologia/standardy-dostepnosci-budynkow-dla-osob-z-niepelnosprawnosciami</w:t>
        </w:r>
      </w:hyperlink>
      <w:r w:rsidRPr="009C16EA">
        <w:t>. Wykończenie posadzek i ścian oraz wyposażenie budynku wg zapisów PFU – wszystkie dodatkowe elementy wynikające z zapisów w/w dokumentu poza zakresem – do wykonania w kolejnym etapie realizacji inwestycji.</w:t>
      </w:r>
    </w:p>
    <w:p w14:paraId="0D874328"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0CEA3773" w14:textId="3F3FB9DA" w:rsidR="00F437BF" w:rsidRPr="000811D6" w:rsidRDefault="000811D6" w:rsidP="000811D6">
      <w:pPr>
        <w:pStyle w:val="Default"/>
        <w:numPr>
          <w:ilvl w:val="0"/>
          <w:numId w:val="12"/>
        </w:numPr>
      </w:pPr>
      <w:r w:rsidRPr="000811D6">
        <w:rPr>
          <w14:shadow w14:blurRad="63500" w14:dist="50800" w14:dir="1350000" w14:sx="0" w14:sy="0" w14:kx="0" w14:ky="0" w14:algn="none">
            <w14:srgbClr w14:val="000000">
              <w14:alpha w14:val="50000"/>
            </w14:srgbClr>
          </w14:shadow>
        </w:rPr>
        <w:t xml:space="preserve">35. </w:t>
      </w:r>
      <w:r>
        <w:t xml:space="preserve"> W związku z obowiązkiem Wykonawcy w zakresie uzyskania </w:t>
      </w:r>
      <w:r w:rsidRPr="000811D6">
        <w:rPr>
          <w:i/>
        </w:rPr>
        <w:t xml:space="preserve">Decyzji o pozwoleniu na użytkowanie </w:t>
      </w:r>
      <w:r w:rsidRPr="000811D6">
        <w:rPr>
          <w:iCs/>
        </w:rPr>
        <w:t>bez wykonania</w:t>
      </w:r>
      <w:r>
        <w:t xml:space="preserve"> obudów grzejnikowych niemożliwym będzie uzyskanie w/w Decyzji (brak takich informacji w PFU) – w związku z tym w wycenie należy uwzględnić wykonanie w/w elementów. </w:t>
      </w:r>
      <w:r w:rsidRPr="000811D6">
        <w:rPr>
          <w14:shadow w14:blurRad="63500" w14:dist="50800" w14:dir="1350000" w14:sx="0" w14:sy="0" w14:kx="0" w14:ky="0" w14:algn="none">
            <w14:srgbClr w14:val="000000">
              <w14:alpha w14:val="50000"/>
            </w14:srgbClr>
          </w14:shadow>
        </w:rPr>
        <w:t>Zamawiający nie określa szczegółowych parametrów technicznych lub użytkowych w/w element</w:t>
      </w:r>
      <w:r w:rsidR="001856BE">
        <w:rPr>
          <w14:shadow w14:blurRad="63500" w14:dist="50800" w14:dir="1350000" w14:sx="0" w14:sy="0" w14:kx="0" w14:ky="0" w14:algn="none">
            <w14:srgbClr w14:val="000000">
              <w14:alpha w14:val="50000"/>
            </w14:srgbClr>
          </w14:shadow>
        </w:rPr>
        <w:t>ów</w:t>
      </w:r>
      <w:r w:rsidRPr="000811D6">
        <w:rPr>
          <w14:shadow w14:blurRad="63500" w14:dist="50800" w14:dir="1350000" w14:sx="0" w14:sy="0" w14:kx="0" w14:ky="0" w14:algn="none">
            <w14:srgbClr w14:val="000000">
              <w14:alpha w14:val="50000"/>
            </w14:srgbClr>
          </w14:shadow>
        </w:rPr>
        <w:t xml:space="preserve"> – wyrób powinien mieć dopuszczenie do stosowania zgodnie z przepisami. Rozwiązanie wg propozycji Wykonawcy do akceptacji na etapie projektu.</w:t>
      </w:r>
    </w:p>
    <w:p w14:paraId="105DFB31" w14:textId="77777777" w:rsidR="00F437BF" w:rsidRDefault="00F437BF">
      <w:pPr>
        <w:pStyle w:val="Akapitzlist"/>
        <w:spacing w:after="0"/>
        <w:ind w:left="0"/>
        <w:jc w:val="both"/>
        <w:rPr>
          <w:rFonts w:ascii="Times New Roman" w:hAnsi="Times New Roman" w:cs="Times New Roman"/>
          <w:color w:val="000000"/>
        </w:rPr>
      </w:pPr>
    </w:p>
    <w:p w14:paraId="451F5C70" w14:textId="580690C1" w:rsidR="00F437BF" w:rsidRPr="001856BE" w:rsidRDefault="000811D6" w:rsidP="001856BE">
      <w:pPr>
        <w:pStyle w:val="Default"/>
        <w:numPr>
          <w:ilvl w:val="0"/>
          <w:numId w:val="12"/>
        </w:numPr>
        <w:ind w:left="851"/>
        <w:jc w:val="both"/>
      </w:pPr>
      <w:r w:rsidRPr="001856BE">
        <w:rPr>
          <w14:shadow w14:blurRad="63500" w14:dist="50800" w14:dir="1350000" w14:sx="0" w14:sy="0" w14:kx="0" w14:ky="0" w14:algn="none">
            <w14:srgbClr w14:val="000000">
              <w14:alpha w14:val="50000"/>
            </w14:srgbClr>
          </w14:shadow>
        </w:rPr>
        <w:t xml:space="preserve">36. </w:t>
      </w:r>
      <w:r>
        <w:t xml:space="preserve">W związku z obowiązkiem Wykonawcy w zakresie uzyskania </w:t>
      </w:r>
      <w:r w:rsidRPr="001856BE">
        <w:rPr>
          <w:i/>
        </w:rPr>
        <w:t xml:space="preserve">Decyzji o pozwoleniu na użytkowanie </w:t>
      </w:r>
      <w:r>
        <w:t xml:space="preserve"> bez wykonania moskitier w oknach pomieszczenia kuchni niemożliwym będzie uzyskanie w/w Decyzji (brak takich informacji w PFU) – w związku z w wycenie należy uwzględnić wykonanie w/w elementów</w:t>
      </w:r>
      <w:r w:rsidR="001856BE">
        <w:t xml:space="preserve">. </w:t>
      </w:r>
      <w:r w:rsidR="001856BE">
        <w:br/>
      </w:r>
      <w:r w:rsidRPr="001856BE">
        <w:t>– wyrób powinien mieć dopuszczenie do stosowania zgodnie z przepisami. Rozwiązanie wg propozycji Wykonawcy do akceptacji na etapie projektu.</w:t>
      </w:r>
    </w:p>
    <w:p w14:paraId="5F2A1186"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BEF1D8A"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2C89DC5" w14:textId="76DF7BBE" w:rsidR="00F437BF" w:rsidRPr="001856BE" w:rsidRDefault="001856BE" w:rsidP="001856BE">
      <w:pPr>
        <w:pStyle w:val="Standard"/>
        <w:numPr>
          <w:ilvl w:val="0"/>
          <w:numId w:val="12"/>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sidRPr="001856BE">
        <w:rPr>
          <w:rFonts w:ascii="Times New Roman" w:hAnsi="Times New Roman" w:cs="Times New Roman"/>
          <w:color w:val="000000"/>
          <w14:shadow w14:blurRad="63500" w14:dist="50800" w14:dir="1350000" w14:sx="0" w14:sy="0" w14:kx="0" w14:ky="0" w14:algn="none">
            <w14:srgbClr w14:val="000000">
              <w14:alpha w14:val="50000"/>
            </w14:srgbClr>
          </w14:shadow>
        </w:rPr>
        <w:t>37. Wykonanie sufitów podwieszanych modułowe 60×60 wyspecyfikowane w pkt 2.2.5.10 PFU</w:t>
      </w:r>
      <w:r>
        <w:rPr>
          <w:rFonts w:ascii="Times New Roman" w:hAnsi="Times New Roman" w:cs="Times New Roman"/>
          <w:color w:val="000000"/>
          <w14:shadow w14:blurRad="63500" w14:dist="50800" w14:dir="1350000" w14:sx="0" w14:sy="0" w14:kx="0" w14:ky="0" w14:algn="none">
            <w14:srgbClr w14:val="000000">
              <w14:alpha w14:val="50000"/>
            </w14:srgbClr>
          </w14:shadow>
        </w:rPr>
        <w:t xml:space="preserve"> we</w:t>
      </w:r>
      <w:r w:rsidRPr="001856BE">
        <w:rPr>
          <w:rFonts w:ascii="Times New Roman" w:hAnsi="Times New Roman" w:cs="Times New Roman"/>
          <w:color w:val="000000"/>
          <w14:shadow w14:blurRad="63500" w14:dist="50800" w14:dir="1350000" w14:sx="0" w14:sy="0" w14:kx="0" w14:ky="0" w14:algn="none">
            <w14:srgbClr w14:val="000000">
              <w14:alpha w14:val="50000"/>
            </w14:srgbClr>
          </w14:shadow>
        </w:rPr>
        <w:t xml:space="preserve"> wszystkich pomieszczeniach, z wyłączeniem n/w pomieszczeń w których należy uwzględnić wykończenie stropu tynkiem cementowo-wapiennym kat. III wraz z dwukrotnym malowaniem farbą:</w:t>
      </w:r>
    </w:p>
    <w:p w14:paraId="7559688D" w14:textId="77777777" w:rsidR="00F437BF" w:rsidRDefault="00000000">
      <w:pPr>
        <w:pStyle w:val="Akapitzlist"/>
        <w:numPr>
          <w:ilvl w:val="0"/>
          <w:numId w:val="6"/>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 – SZATNIE PRZEDSZKOLA,</w:t>
      </w:r>
    </w:p>
    <w:p w14:paraId="020CEF33"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A.1.8 – MAGAZYN MATERACY,</w:t>
      </w:r>
    </w:p>
    <w:p w14:paraId="45412250"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A.1.14 – POM. PORZĄDKOWE,</w:t>
      </w:r>
    </w:p>
    <w:p w14:paraId="6ECE2609"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A.1.17 – MAGAZYN,</w:t>
      </w:r>
    </w:p>
    <w:p w14:paraId="75962958"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lastRenderedPageBreak/>
        <w:t>pom. A.1.18 – MAGAZYN,</w:t>
      </w:r>
    </w:p>
    <w:p w14:paraId="1CBCFB66"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A.1.19 – MAGAZYN,</w:t>
      </w:r>
    </w:p>
    <w:p w14:paraId="19053739"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A.1.26 – ZAPLECZE KLASY,</w:t>
      </w:r>
    </w:p>
    <w:p w14:paraId="78243DE6"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A.1.29 – ZAPLECZE KLASY,</w:t>
      </w:r>
    </w:p>
    <w:p w14:paraId="2167A99A"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A.1.30 – ZAPLECZE KLASY,</w:t>
      </w:r>
    </w:p>
    <w:p w14:paraId="20E234F7"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A.1.32 – SZATNIE SZKOŁY,</w:t>
      </w:r>
    </w:p>
    <w:p w14:paraId="2116AE2A"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A.2.11 – ARCHIWUM,</w:t>
      </w:r>
    </w:p>
    <w:p w14:paraId="7E245134"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A.2.17 – POM. TECHNICZNE,</w:t>
      </w:r>
    </w:p>
    <w:p w14:paraId="524C30D3"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A.2.19 – ZAPLECZE KLASY,</w:t>
      </w:r>
    </w:p>
    <w:p w14:paraId="4FF9EF16"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A.2.20 – ZAPLECZE KLASY,</w:t>
      </w:r>
    </w:p>
    <w:p w14:paraId="4255F011"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A.2.23 – ZAPLECZE KLASY,</w:t>
      </w:r>
    </w:p>
    <w:p w14:paraId="75E7842E"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A.2.27 – ZAPLECZE KLASY,</w:t>
      </w:r>
    </w:p>
    <w:p w14:paraId="4DC6C7E7"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A.2.30 – ZAPLECZE KLASY,</w:t>
      </w:r>
    </w:p>
    <w:p w14:paraId="5DEFD809"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A.2.31 – POM. MAGAZYNOWE,</w:t>
      </w:r>
    </w:p>
    <w:p w14:paraId="553FB96B" w14:textId="77777777" w:rsidR="00F437BF" w:rsidRDefault="00000000">
      <w:pPr>
        <w:pStyle w:val="Akapitzlist"/>
        <w:numPr>
          <w:ilvl w:val="0"/>
          <w:numId w:val="4"/>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pom. A.2.32 – POM. TECHNICZNE.</w:t>
      </w:r>
    </w:p>
    <w:p w14:paraId="08B92A25" w14:textId="77777777" w:rsidR="00F437BF" w:rsidRDefault="00000000">
      <w:pPr>
        <w:pStyle w:val="Akapitzlist"/>
        <w:ind w:left="709"/>
        <w:jc w:val="both"/>
        <w:rPr>
          <w:rFonts w:ascii="Times New Roman" w:hAnsi="Times New Roman" w:cs="Times New Roman"/>
          <w:color w:val="000000"/>
        </w:rPr>
      </w:pPr>
      <w:r>
        <w:rPr>
          <w:rFonts w:ascii="Times New Roman" w:hAnsi="Times New Roman" w:cs="Times New Roman"/>
          <w:color w:val="000000"/>
        </w:rPr>
        <w:t>Powierzchnia ścian (powyżej sufitów podwieszanych) wykończona wyłącznie tynkiem cementowo-wapiennym kat. III, tj. bez malowania, natomiast powierzchnia stropów (powyżej sufitów podwieszanych – w całości) wyłącznie zagruntowana, tj. nietynkowana i niemalowana.</w:t>
      </w:r>
    </w:p>
    <w:p w14:paraId="429292FA" w14:textId="77777777" w:rsidR="00F437BF" w:rsidRDefault="00F437BF">
      <w:pPr>
        <w:pStyle w:val="Akapitzlist"/>
        <w:spacing w:after="0"/>
        <w:ind w:left="0"/>
        <w:jc w:val="both"/>
        <w:rPr>
          <w:rFonts w:ascii="Times New Roman" w:hAnsi="Times New Roman" w:cs="Times New Roman"/>
          <w:color w:val="000000"/>
        </w:rPr>
      </w:pPr>
    </w:p>
    <w:p w14:paraId="063FE175" w14:textId="472D210D" w:rsidR="00F437BF" w:rsidRPr="00230AF3" w:rsidRDefault="001856BE" w:rsidP="00230AF3">
      <w:pPr>
        <w:pStyle w:val="Standard"/>
        <w:numPr>
          <w:ilvl w:val="0"/>
          <w:numId w:val="13"/>
        </w:numPr>
        <w:ind w:left="709"/>
        <w:jc w:val="both"/>
        <w:rPr>
          <w:rFonts w:ascii="Times New Roman" w:hAnsi="Times New Roman" w:cs="Times New Roman"/>
          <w:color w:val="000000"/>
        </w:rPr>
      </w:pPr>
      <w:r w:rsidRPr="00230AF3">
        <w:rPr>
          <w:rFonts w:ascii="Times New Roman" w:hAnsi="Times New Roman" w:cs="Times New Roman"/>
          <w:color w:val="000000"/>
          <w14:shadow w14:blurRad="63500" w14:dist="50800" w14:dir="1350000" w14:sx="0" w14:sy="0" w14:kx="0" w14:ky="0" w14:algn="none">
            <w14:srgbClr w14:val="000000">
              <w14:alpha w14:val="50000"/>
            </w14:srgbClr>
          </w14:shadow>
        </w:rPr>
        <w:t xml:space="preserve">38. Ściany w salach lekcyjnych mają być </w:t>
      </w:r>
      <w:r w:rsidRPr="00230AF3">
        <w:rPr>
          <w:rFonts w:ascii="Times New Roman" w:hAnsi="Times New Roman" w:cs="Times New Roman"/>
          <w:color w:val="000000"/>
        </w:rPr>
        <w:t>tynkiem cementowo-wapiennym kat. III wraz z dwukrotnym malowaniem farbą.</w:t>
      </w:r>
    </w:p>
    <w:p w14:paraId="5BB9030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7993CED6" w14:textId="448B5575" w:rsidR="00F437BF" w:rsidRPr="00230AF3" w:rsidRDefault="00230AF3" w:rsidP="00230AF3">
      <w:pPr>
        <w:pStyle w:val="Standard"/>
        <w:numPr>
          <w:ilvl w:val="0"/>
          <w:numId w:val="13"/>
        </w:numPr>
        <w:ind w:left="709"/>
        <w:jc w:val="both"/>
        <w:rPr>
          <w:rFonts w:ascii="Times New Roman" w:hAnsi="Times New Roman" w:cs="Times New Roman"/>
          <w:color w:val="000000"/>
        </w:rPr>
      </w:pPr>
      <w:r w:rsidRPr="00230AF3">
        <w:rPr>
          <w:rFonts w:ascii="Times New Roman" w:hAnsi="Times New Roman" w:cs="Times New Roman"/>
          <w:color w:val="000000"/>
          <w14:shadow w14:blurRad="63500" w14:dist="50800" w14:dir="1350000" w14:sx="0" w14:sy="0" w14:kx="0" w14:ky="0" w14:algn="none">
            <w14:srgbClr w14:val="000000">
              <w14:alpha w14:val="50000"/>
            </w14:srgbClr>
          </w14:shadow>
        </w:rPr>
        <w:t>39. Ściany w zapleczu kuchennym mają być wykończone płytkami gresowymi o nasiąkliwości max do 5% w klasie I, o wym. 60x60, PEI IV R9 na całą wysokość pomieszczenia.</w:t>
      </w:r>
      <w:r w:rsidRPr="00230AF3">
        <w:rPr>
          <w:rFonts w:ascii="Times New Roman" w:hAnsi="Times New Roman" w:cs="Times New Roman"/>
          <w:color w:val="000000"/>
        </w:rPr>
        <w:t>. Zamawiający dopuszcza inne rozwiązania materiałowe dedykowane dla tego typu pomieszczeń, w tym także zmianę wymiarów płytek – wyrób powinien mieć dopuszczenie do stosowania zgodnie z przepisami. Rozwiązanie wg propozycji Wykonawcy do akceptacji na etapie projektu.</w:t>
      </w:r>
    </w:p>
    <w:p w14:paraId="3672DD75"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A12518D" w14:textId="027CFF4D" w:rsidR="00F437BF" w:rsidRPr="00230AF3" w:rsidRDefault="00230AF3" w:rsidP="00230AF3">
      <w:pPr>
        <w:pStyle w:val="Standard"/>
        <w:numPr>
          <w:ilvl w:val="0"/>
          <w:numId w:val="13"/>
        </w:numPr>
        <w:ind w:left="709"/>
        <w:jc w:val="both"/>
        <w:rPr>
          <w:rFonts w:ascii="Times New Roman" w:hAnsi="Times New Roman" w:cs="Times New Roman"/>
          <w:color w:val="000000"/>
        </w:rPr>
      </w:pPr>
      <w:r w:rsidRPr="00230AF3">
        <w:rPr>
          <w:rFonts w:ascii="Times New Roman" w:hAnsi="Times New Roman" w:cs="Times New Roman"/>
          <w:color w:val="000000"/>
          <w14:shadow w14:blurRad="63500" w14:dist="50800" w14:dir="1350000" w14:sx="0" w14:sy="0" w14:kx="0" w14:ky="0" w14:algn="none">
            <w14:srgbClr w14:val="000000">
              <w14:alpha w14:val="50000"/>
            </w14:srgbClr>
          </w14:shadow>
        </w:rPr>
        <w:t>40. Ściany w pomieszczeniach magazynowych mają być wykończone płytkami gresowymi o nasiąkliwości max do 5% w klasie I, o wym. 60x60, PEI IV R9 na całą wysokość pomieszczenia.</w:t>
      </w:r>
      <w:r w:rsidRPr="00230AF3">
        <w:rPr>
          <w:rFonts w:ascii="Times New Roman" w:hAnsi="Times New Roman" w:cs="Times New Roman"/>
          <w:color w:val="000000"/>
        </w:rPr>
        <w:t xml:space="preserve"> Zamawiający dopuszcza inne rozwiązania materiałowe dedykowane dla tego typu pomieszczeń, w tym także zmianę wymiarów płytek – wyrób powinien mieć dopuszczenie do stosowania zgodnie z przepisami. Rozwiązanie wg propozycji Wykonawcy do akceptacji na etapie </w:t>
      </w:r>
      <w:r w:rsidRPr="00230AF3">
        <w:rPr>
          <w:rFonts w:ascii="Times New Roman" w:hAnsi="Times New Roman" w:cs="Times New Roman"/>
          <w:color w:val="000000"/>
        </w:rPr>
        <w:lastRenderedPageBreak/>
        <w:t>projektu.</w:t>
      </w:r>
    </w:p>
    <w:p w14:paraId="0BCF7C4C"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3F29D98A" w14:textId="6AC29B44" w:rsidR="00F437BF" w:rsidRPr="00230AF3" w:rsidRDefault="00230AF3" w:rsidP="00230AF3">
      <w:pPr>
        <w:pStyle w:val="Standard"/>
        <w:numPr>
          <w:ilvl w:val="0"/>
          <w:numId w:val="13"/>
        </w:numPr>
        <w:ind w:left="709"/>
        <w:jc w:val="both"/>
        <w:rPr>
          <w:rFonts w:ascii="Times New Roman" w:hAnsi="Times New Roman" w:cs="Times New Roman"/>
          <w:color w:val="000000"/>
        </w:rPr>
      </w:pPr>
      <w:r>
        <w:rPr>
          <w:rFonts w:ascii="Times New Roman" w:hAnsi="Times New Roman" w:cs="Times New Roman"/>
          <w:color w:val="000000"/>
          <w14:shadow w14:blurRad="63500" w14:dist="50800" w14:dir="1350000" w14:sx="0" w14:sy="0" w14:kx="0" w14:ky="0" w14:algn="none">
            <w14:srgbClr w14:val="000000">
              <w14:alpha w14:val="50000"/>
            </w14:srgbClr>
          </w14:shadow>
        </w:rPr>
        <w:t xml:space="preserve">41. </w:t>
      </w:r>
      <w:r w:rsidRPr="00230AF3">
        <w:rPr>
          <w:rFonts w:ascii="Times New Roman" w:hAnsi="Times New Roman" w:cs="Times New Roman"/>
          <w:color w:val="000000"/>
          <w14:shadow w14:blurRad="63500" w14:dist="50800" w14:dir="1350000" w14:sx="0" w14:sy="0" w14:kx="0" w14:ky="0" w14:algn="none">
            <w14:srgbClr w14:val="000000">
              <w14:alpha w14:val="50000"/>
            </w14:srgbClr>
          </w14:shadow>
        </w:rPr>
        <w:t>Ściany w pomieszczeniach technicznych mają być wykończone płytkami gresowymi o nasiąkliwości max do 5% w klasie I, o wym. 60x60, PEI IV R9 na całą wysokość pomieszczenia.</w:t>
      </w:r>
      <w:r w:rsidRPr="00230AF3">
        <w:rPr>
          <w:rFonts w:ascii="Times New Roman" w:hAnsi="Times New Roman" w:cs="Times New Roman"/>
          <w:color w:val="000000"/>
        </w:rPr>
        <w:t xml:space="preserve"> Zamawiający dopuszcza inne rozwiązania materiałowe dedykowane dla tego typu pomieszczeń, w tym także zmianę wymiarów płytek – wyrób powinien mieć dopuszczenie do stosowania zgodnie z przepisami. Rozwiązanie wg propozycji Wykonawcy do akceptacji na etapie projektu.</w:t>
      </w:r>
    </w:p>
    <w:p w14:paraId="438B5C4C"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0F7BD2AA" w14:textId="03F3EA59" w:rsidR="00F437BF" w:rsidRDefault="00230AF3" w:rsidP="00230AF3">
      <w:pPr>
        <w:pStyle w:val="Akapitzlist"/>
        <w:numPr>
          <w:ilvl w:val="0"/>
          <w:numId w:val="13"/>
        </w:numPr>
        <w:spacing w:after="0"/>
        <w:jc w:val="both"/>
        <w:rPr>
          <w:rFonts w:ascii="Times New Roman" w:hAnsi="Times New Roman" w:cs="Times New Roman"/>
          <w:color w:val="000000"/>
        </w:rPr>
      </w:pPr>
      <w:r>
        <w:rPr>
          <w:rFonts w:ascii="Times New Roman" w:hAnsi="Times New Roman" w:cs="Times New Roman"/>
          <w:color w:val="000000"/>
        </w:rPr>
        <w:t>42. Posadzka na gruncie musi zapewniać spełnienie wymagań w zakresie termiki przegrody oraz wymagań w zakresie wytrzymałości. Nie wymaga się spełnienia parametrów akustycznych. Zamawiający nie określa szczegółowych wymagań. Rozwiązanie wg propozycji Wykonawcy do akceptacji na etapie projektu.</w:t>
      </w:r>
    </w:p>
    <w:p w14:paraId="1C4D895E"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59BAB2B"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684E5F4A" w14:textId="08F44852" w:rsidR="00F437BF" w:rsidRDefault="00230AF3" w:rsidP="00230AF3">
      <w:pPr>
        <w:pStyle w:val="Standard"/>
        <w:numPr>
          <w:ilvl w:val="0"/>
          <w:numId w:val="13"/>
        </w:numPr>
        <w:jc w:val="both"/>
        <w:rPr>
          <w:rFonts w:ascii="Times New Roman" w:hAnsi="Times New Roman" w:cs="Times New Roman"/>
          <w:color w:val="000000"/>
        </w:rPr>
      </w:pPr>
      <w:r w:rsidRPr="00230AF3">
        <w:rPr>
          <w:rFonts w:ascii="Times New Roman" w:hAnsi="Times New Roman" w:cs="Times New Roman"/>
          <w:color w:val="000000"/>
          <w14:shadow w14:blurRad="63500" w14:dist="50800" w14:dir="1350000" w14:sx="0" w14:sy="0" w14:kx="0" w14:ky="0" w14:algn="none">
            <w14:srgbClr w14:val="000000">
              <w14:alpha w14:val="50000"/>
            </w14:srgbClr>
          </w14:shadow>
        </w:rPr>
        <w:t>43</w:t>
      </w:r>
      <w:r>
        <w:rPr>
          <w:rFonts w:ascii="Times New Roman" w:hAnsi="Times New Roman" w:cs="Times New Roman"/>
          <w:color w:val="000000"/>
          <w14:shadow w14:blurRad="63500" w14:dist="50800" w14:dir="1350000" w14:sx="0" w14:sy="0" w14:kx="0" w14:ky="0" w14:algn="none">
            <w14:srgbClr w14:val="000000">
              <w14:alpha w14:val="50000"/>
            </w14:srgbClr>
          </w14:shadow>
        </w:rPr>
        <w:t>. Okna</w:t>
      </w:r>
      <w:r>
        <w:rPr>
          <w:rFonts w:ascii="Times New Roman" w:hAnsi="Times New Roman" w:cs="Times New Roman"/>
          <w:color w:val="000000"/>
        </w:rPr>
        <w:t xml:space="preserve"> na pełną wysokość pomieszczeń. Zamawiający dopuszcza wykonanie okien na inną wysokość, przy zachowaniu wymaganego przepisami, poziomu doświetlenia pomieszczeń. W przypadku zmiany wysokości okien, parapety wewnętrzne wg propozycji Wykonawcy do akceptacji na etapie projektu.</w:t>
      </w:r>
    </w:p>
    <w:p w14:paraId="21AA8C4D"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26D52776"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5A57AA44" w14:textId="619BA857" w:rsidR="00F437BF" w:rsidRDefault="005D5056" w:rsidP="005D5056">
      <w:pPr>
        <w:pStyle w:val="Standard"/>
        <w:numPr>
          <w:ilvl w:val="0"/>
          <w:numId w:val="13"/>
        </w:num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44. Wysokości zabudów HPL w toaletach</w:t>
      </w:r>
    </w:p>
    <w:p w14:paraId="702BC8B8" w14:textId="77777777" w:rsidR="00F437BF" w:rsidRDefault="00F437BF">
      <w:pPr>
        <w:pStyle w:val="Standard"/>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p w14:paraId="18E8ACAA" w14:textId="2B96017A" w:rsidR="00F437BF" w:rsidRDefault="00000000" w:rsidP="00F11FA3">
      <w:pPr>
        <w:pStyle w:val="Akapitzlist"/>
        <w:spacing w:after="0"/>
        <w:ind w:left="709"/>
        <w:jc w:val="both"/>
        <w:rPr>
          <w:rFonts w:ascii="Times New Roman" w:hAnsi="Times New Roman" w:cs="Times New Roman"/>
          <w:color w:val="000000"/>
        </w:rPr>
      </w:pPr>
      <w:r>
        <w:rPr>
          <w:rFonts w:ascii="Times New Roman" w:hAnsi="Times New Roman" w:cs="Times New Roman"/>
          <w:color w:val="000000"/>
        </w:rPr>
        <w:t>Wysokość całkowita min. 2020 mm, odstęp od podłogi max. 150 mm. Zabudowy HPL w toaletach w części przedszkolnej –  wysokość całkowita min. 1500 mm.</w:t>
      </w:r>
    </w:p>
    <w:p w14:paraId="3134B7D9" w14:textId="77777777" w:rsidR="00F437BF" w:rsidRDefault="00F437BF">
      <w:pPr>
        <w:widowControl/>
        <w:suppressAutoHyphens w:val="0"/>
        <w:autoSpaceDE/>
        <w:spacing w:line="247" w:lineRule="auto"/>
        <w:jc w:val="both"/>
        <w:textAlignment w:val="auto"/>
        <w:rPr>
          <w:rFonts w:ascii="Times New Roman" w:hAnsi="Times New Roman" w:cs="Times New Roman"/>
          <w:color w:val="000000"/>
          <w14:shadow w14:blurRad="63500" w14:dist="50800" w14:dir="1350000" w14:sx="0" w14:sy="0" w14:kx="0" w14:ky="0" w14:algn="none">
            <w14:srgbClr w14:val="000000">
              <w14:alpha w14:val="50000"/>
            </w14:srgbClr>
          </w14:shadow>
        </w:rPr>
      </w:pPr>
    </w:p>
    <w:p w14:paraId="4E7DBB40" w14:textId="0895B83A" w:rsidR="00F437BF" w:rsidRPr="005D5056" w:rsidRDefault="005D5056" w:rsidP="005D5056">
      <w:pPr>
        <w:pStyle w:val="Akapitzlist"/>
        <w:widowControl/>
        <w:numPr>
          <w:ilvl w:val="0"/>
          <w:numId w:val="14"/>
        </w:numPr>
        <w:suppressAutoHyphens w:val="0"/>
        <w:autoSpaceDE/>
        <w:spacing w:line="247" w:lineRule="auto"/>
        <w:jc w:val="both"/>
        <w:textAlignment w:val="auto"/>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45. P</w:t>
      </w:r>
      <w:r w:rsidRPr="005D5056">
        <w:rPr>
          <w:rFonts w:ascii="Times New Roman" w:hAnsi="Times New Roman" w:cs="Times New Roman"/>
          <w:color w:val="000000"/>
          <w14:shadow w14:blurRad="63500" w14:dist="50800" w14:dir="1350000" w14:sx="0" w14:sy="0" w14:kx="0" w14:ky="0" w14:algn="none">
            <w14:srgbClr w14:val="000000">
              <w14:alpha w14:val="50000"/>
            </w14:srgbClr>
          </w14:shadow>
        </w:rPr>
        <w:t>owierzchn</w:t>
      </w:r>
      <w:r>
        <w:rPr>
          <w:rFonts w:ascii="Times New Roman" w:hAnsi="Times New Roman" w:cs="Times New Roman"/>
          <w:color w:val="000000"/>
          <w14:shadow w14:blurRad="63500" w14:dist="50800" w14:dir="1350000" w14:sx="0" w14:sy="0" w14:kx="0" w14:ky="0" w14:algn="none">
            <w14:srgbClr w14:val="000000">
              <w14:alpha w14:val="50000"/>
            </w14:srgbClr>
          </w14:shadow>
        </w:rPr>
        <w:t>e</w:t>
      </w:r>
      <w:r w:rsidRPr="005D5056">
        <w:rPr>
          <w:rFonts w:ascii="Times New Roman" w:hAnsi="Times New Roman" w:cs="Times New Roman"/>
          <w:color w:val="000000"/>
          <w14:shadow w14:blurRad="63500" w14:dist="50800" w14:dir="1350000" w14:sx="0" w14:sy="0" w14:kx="0" w14:ky="0" w14:algn="none">
            <w14:srgbClr w14:val="000000">
              <w14:alpha w14:val="50000"/>
            </w14:srgbClr>
          </w14:shadow>
        </w:rPr>
        <w:t xml:space="preserve"> chodników, które należy uwzględnić w ofercie – patrz:</w:t>
      </w:r>
    </w:p>
    <w:p w14:paraId="488561AA" w14:textId="77777777" w:rsidR="00F437BF" w:rsidRDefault="00000000">
      <w:pPr>
        <w:pStyle w:val="Akapitzlist"/>
        <w:widowControl/>
        <w:numPr>
          <w:ilvl w:val="0"/>
          <w:numId w:val="7"/>
        </w:numPr>
        <w:suppressAutoHyphens w:val="0"/>
        <w:autoSpaceDE/>
        <w:spacing w:line="247" w:lineRule="auto"/>
        <w:jc w:val="both"/>
        <w:textAlignment w:val="auto"/>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tabela 2 w pkt 2.1.1 PFU,</w:t>
      </w:r>
    </w:p>
    <w:p w14:paraId="40008150" w14:textId="77777777" w:rsidR="00F437BF" w:rsidRDefault="00000000">
      <w:pPr>
        <w:pStyle w:val="Akapitzlist"/>
        <w:widowControl/>
        <w:numPr>
          <w:ilvl w:val="0"/>
          <w:numId w:val="7"/>
        </w:numPr>
        <w:suppressAutoHyphens w:val="0"/>
        <w:autoSpaceDE/>
        <w:spacing w:line="247" w:lineRule="auto"/>
        <w:jc w:val="both"/>
        <w:textAlignment w:val="auto"/>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tabela 12 w pkt 2.2.6.1 PFU,</w:t>
      </w:r>
    </w:p>
    <w:p w14:paraId="6E6DA9A2" w14:textId="77777777" w:rsidR="00F437BF" w:rsidRDefault="00000000">
      <w:pPr>
        <w:pStyle w:val="Akapitzlist"/>
        <w:widowControl/>
        <w:numPr>
          <w:ilvl w:val="0"/>
          <w:numId w:val="7"/>
        </w:numPr>
        <w:suppressAutoHyphens w:val="0"/>
        <w:autoSpaceDE/>
        <w:spacing w:line="247" w:lineRule="auto"/>
        <w:jc w:val="both"/>
        <w:textAlignment w:val="auto"/>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granica opracowania na rys. 2024_02_13_PZT_fredropol _całość.pdf.</w:t>
      </w:r>
    </w:p>
    <w:p w14:paraId="0A6F2B35" w14:textId="77777777" w:rsidR="00F437BF" w:rsidRDefault="00000000">
      <w:pPr>
        <w:pStyle w:val="Akapitzlist"/>
        <w:jc w:val="both"/>
        <w:rPr>
          <w:rFonts w:ascii="Times New Roman" w:hAnsi="Times New Roman" w:cs="Times New Roman"/>
          <w:color w:val="000000"/>
          <w14:shadow w14:blurRad="63500" w14:dist="50800" w14:dir="1350000" w14:sx="0" w14:sy="0" w14:kx="0" w14:ky="0" w14:algn="none">
            <w14:srgbClr w14:val="000000">
              <w14:alpha w14:val="50000"/>
            </w14:srgbClr>
          </w14:shadow>
        </w:rPr>
      </w:pPr>
      <w:r>
        <w:rPr>
          <w:rFonts w:ascii="Times New Roman" w:hAnsi="Times New Roman" w:cs="Times New Roman"/>
          <w:color w:val="000000"/>
          <w14:shadow w14:blurRad="63500" w14:dist="50800" w14:dir="1350000" w14:sx="0" w14:sy="0" w14:kx="0" w14:ky="0" w14:algn="none">
            <w14:srgbClr w14:val="000000">
              <w14:alpha w14:val="50000"/>
            </w14:srgbClr>
          </w14:shadow>
        </w:rPr>
        <w:t xml:space="preserve">Powierzchnia zgodnie z  rysunkiem 2024_02_13_PZT_fredropol_całość, która mieści się w zakresie opracowania (zgodnie z legendą do rysunku – bordowa przerywana linia). </w:t>
      </w:r>
    </w:p>
    <w:p w14:paraId="65D95543" w14:textId="77777777" w:rsidR="00F437BF" w:rsidRDefault="00F437BF">
      <w:pPr>
        <w:pStyle w:val="Akapitzlist"/>
        <w:ind w:left="709"/>
        <w:jc w:val="both"/>
        <w:rPr>
          <w:rFonts w:ascii="Times New Roman" w:hAnsi="Times New Roman" w:cs="Times New Roman"/>
          <w:color w:val="000000"/>
        </w:rPr>
      </w:pPr>
    </w:p>
    <w:p w14:paraId="42C131B9" w14:textId="26ED6D39" w:rsidR="00F437BF" w:rsidRPr="00F11504" w:rsidRDefault="00F11504" w:rsidP="00F11504">
      <w:pPr>
        <w:pStyle w:val="Akapitzlist"/>
        <w:widowControl/>
        <w:numPr>
          <w:ilvl w:val="0"/>
          <w:numId w:val="14"/>
        </w:numPr>
        <w:suppressAutoHyphens w:val="0"/>
        <w:autoSpaceDE/>
        <w:spacing w:line="247" w:lineRule="auto"/>
        <w:jc w:val="both"/>
        <w:textAlignment w:val="auto"/>
        <w:rPr>
          <w:rFonts w:ascii="Times New Roman" w:hAnsi="Times New Roman" w:cs="Times New Roman"/>
          <w:color w:val="000000"/>
        </w:rPr>
      </w:pPr>
      <w:r>
        <w:rPr>
          <w:rFonts w:ascii="Times New Roman" w:hAnsi="Times New Roman" w:cs="Times New Roman"/>
          <w:color w:val="000000"/>
        </w:rPr>
        <w:t>46. W</w:t>
      </w:r>
      <w:r w:rsidRPr="00F11504">
        <w:rPr>
          <w:rFonts w:ascii="Times New Roman" w:hAnsi="Times New Roman" w:cs="Times New Roman"/>
          <w:color w:val="000000"/>
        </w:rPr>
        <w:t xml:space="preserve">ykonanie osłony śmietnikowej – wg informacji zawartych na rys. 2024_02_13_PZT_fredropol _całość.pdf osłona śmietnikowa poza zakresem opracowania. </w:t>
      </w:r>
    </w:p>
    <w:p w14:paraId="316A735F" w14:textId="48470401" w:rsidR="00F437BF" w:rsidRPr="00F11504" w:rsidRDefault="00F11504" w:rsidP="00F11504">
      <w:pPr>
        <w:pStyle w:val="Akapitzlist"/>
        <w:widowControl/>
        <w:numPr>
          <w:ilvl w:val="0"/>
          <w:numId w:val="14"/>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47. M</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inimaln</w:t>
      </w: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a</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 ilości sal w części przedszkolnej wraz z określeniem maksymalnej ilości dzieci, które będą przebywać w tych salach. </w:t>
      </w:r>
    </w:p>
    <w:p w14:paraId="02B0B476"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Zgodnie z ilością wskazaną w PFU</w:t>
      </w:r>
    </w:p>
    <w:p w14:paraId="5007B841"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lastRenderedPageBreak/>
        <w:t xml:space="preserve">Przedszkole – 40 dzieci, </w:t>
      </w:r>
    </w:p>
    <w:p w14:paraId="533487F5"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1-3 – 40 dzieci,</w:t>
      </w:r>
    </w:p>
    <w:p w14:paraId="21509387"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4-8 – 70 dzieci.</w:t>
      </w:r>
    </w:p>
    <w:p w14:paraId="2B386D7F" w14:textId="77777777" w:rsidR="00F437BF" w:rsidRDefault="00F437BF">
      <w:pPr>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2ECD779B" w14:textId="5DAB7C58" w:rsidR="00F437BF" w:rsidRPr="00F11504" w:rsidRDefault="00F11504" w:rsidP="00F11504">
      <w:pPr>
        <w:pStyle w:val="Akapitzlist"/>
        <w:widowControl/>
        <w:numPr>
          <w:ilvl w:val="0"/>
          <w:numId w:val="15"/>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48. M</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inimalne</w:t>
      </w: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a</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 ilości sal w części szkolnej wraz z określeniem maksymalnej ilości dzieci, które będą przebywać w tych salach – dot. sal dla klas 1-3. </w:t>
      </w:r>
    </w:p>
    <w:p w14:paraId="47E7D95C"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Zgodnie z ilością wskazaną w PFU</w:t>
      </w:r>
    </w:p>
    <w:p w14:paraId="248A6F32"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Przedszkole – 40 dzieci, </w:t>
      </w:r>
    </w:p>
    <w:p w14:paraId="6DD8A3A8"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1-3 – 40 dzieci,</w:t>
      </w:r>
    </w:p>
    <w:p w14:paraId="2B0B63B6"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4-8 – 70 dzieci.</w:t>
      </w:r>
    </w:p>
    <w:p w14:paraId="6EFD045F" w14:textId="77777777" w:rsidR="00F437BF" w:rsidRDefault="00F437BF">
      <w:pPr>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6A12DF80" w14:textId="0785C3DF" w:rsidR="00F437BF" w:rsidRPr="00F11504" w:rsidRDefault="00F11504" w:rsidP="00F11504">
      <w:pPr>
        <w:pStyle w:val="Akapitzlist"/>
        <w:widowControl/>
        <w:numPr>
          <w:ilvl w:val="0"/>
          <w:numId w:val="15"/>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49. </w:t>
      </w: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M</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inimaln</w:t>
      </w: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a</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 ilości sal w części szkolnej wraz z określeniem maksymalnej ilości dzieci, które będą przebywać w tych salach – dot. sal dla klas 4-8. </w:t>
      </w:r>
    </w:p>
    <w:p w14:paraId="1BDA5B79"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Zgodnie z ilością wskazaną w PFU</w:t>
      </w:r>
    </w:p>
    <w:p w14:paraId="22F3EE8D"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Przedszkole – 40 dzieci, </w:t>
      </w:r>
    </w:p>
    <w:p w14:paraId="0313568B"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1-3 – 40 dzieci,</w:t>
      </w:r>
    </w:p>
    <w:p w14:paraId="17EBB245"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4-8 – 70 dzieci.</w:t>
      </w:r>
    </w:p>
    <w:p w14:paraId="4822B525" w14:textId="77777777" w:rsidR="00F437BF" w:rsidRDefault="00F437BF">
      <w:pPr>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78B9B46E" w14:textId="1D7879FD" w:rsidR="00F437BF" w:rsidRDefault="00F11504" w:rsidP="00F11504">
      <w:pPr>
        <w:pStyle w:val="Akapitzlist"/>
        <w:widowControl/>
        <w:numPr>
          <w:ilvl w:val="0"/>
          <w:numId w:val="15"/>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50. Maksymalna łączna ilości dzieci, które będą przebywać w budynku szkoły – dot. łącznie części przedszkolnej i części szkolnej. </w:t>
      </w:r>
    </w:p>
    <w:p w14:paraId="59A46B17"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Przedszkole – 40 dzieci, </w:t>
      </w:r>
    </w:p>
    <w:p w14:paraId="13AD413A"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1-3 – 40 dzieci,</w:t>
      </w:r>
    </w:p>
    <w:p w14:paraId="78AC08D0" w14:textId="77777777" w:rsidR="00F437BF" w:rsidRDefault="00000000" w:rsidP="00F11FA3">
      <w:pPr>
        <w:widowControl/>
        <w:suppressAutoHyphens w:val="0"/>
        <w:spacing w:after="68"/>
        <w:ind w:left="993"/>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klasy 4-8 – 70 dzieci.</w:t>
      </w:r>
    </w:p>
    <w:p w14:paraId="7ADAFCFC" w14:textId="77777777" w:rsidR="00F437BF" w:rsidRDefault="00F437BF">
      <w:pPr>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3D76B95E" w14:textId="5FFC0A5E" w:rsidR="007B4809" w:rsidRDefault="00F11504" w:rsidP="00F11504">
      <w:pPr>
        <w:pStyle w:val="Akapitzlist"/>
        <w:widowControl/>
        <w:numPr>
          <w:ilvl w:val="0"/>
          <w:numId w:val="15"/>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51. </w:t>
      </w:r>
      <w:r w:rsidR="007B4809">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Dopuszcza się zmianę parametrów konstrukcyjnych dachu w tym, zmianę kątów połaci, konstrukcji i pokrycia.</w:t>
      </w:r>
    </w:p>
    <w:p w14:paraId="2BD56FEF" w14:textId="77777777" w:rsidR="007B4809" w:rsidRDefault="007B4809" w:rsidP="007B4809">
      <w:pPr>
        <w:pStyle w:val="Akapitzlist"/>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4066E579" w14:textId="5A79D7B1" w:rsidR="00F437BF" w:rsidRDefault="007B4809" w:rsidP="00F11504">
      <w:pPr>
        <w:pStyle w:val="Akapitzlist"/>
        <w:widowControl/>
        <w:numPr>
          <w:ilvl w:val="0"/>
          <w:numId w:val="15"/>
        </w:numPr>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52. </w:t>
      </w:r>
      <w:r w:rsid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Wymagania akustyczne zgodnie z odpowiednimi normami do rozwiązania na etapie projektowym.</w:t>
      </w:r>
    </w:p>
    <w:p w14:paraId="6B1D8943" w14:textId="77777777" w:rsidR="00F11504" w:rsidRDefault="00F11504" w:rsidP="00F11504">
      <w:pPr>
        <w:pStyle w:val="Akapitzlist"/>
        <w:widowControl/>
        <w:suppressAutoHyphens w:val="0"/>
        <w:spacing w:after="68"/>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p>
    <w:p w14:paraId="7E8020FB" w14:textId="3A605F15" w:rsidR="00F437BF" w:rsidRPr="00F11504" w:rsidRDefault="00F11504" w:rsidP="00F11504">
      <w:pPr>
        <w:pStyle w:val="Akapitzlist"/>
        <w:widowControl/>
        <w:numPr>
          <w:ilvl w:val="0"/>
          <w:numId w:val="15"/>
        </w:numPr>
        <w:tabs>
          <w:tab w:val="left" w:pos="1464"/>
        </w:tabs>
        <w:suppressAutoHyphens w:val="0"/>
        <w:spacing w:after="68"/>
        <w:jc w:val="both"/>
        <w:textAlignment w:val="auto"/>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pP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5</w:t>
      </w:r>
      <w:r w:rsidR="007B4809">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3</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 xml:space="preserve">. </w:t>
      </w:r>
      <w:r w:rsidRPr="00F11504">
        <w:rPr>
          <w:rFonts w:ascii="Times New Roman" w:hAnsi="Times New Roman" w:cs="Times New Roman"/>
          <w:color w:val="000000"/>
          <w:kern w:val="0"/>
          <w:lang w:bidi="ar-SA"/>
        </w:rPr>
        <w:t xml:space="preserve">izolacyjność akustyczna drzwi wewnętrznych HPL – zgodnie z zapisami tiret jedenaste opisu drzwi wewnętrznych HPL </w:t>
      </w:r>
      <w:r w:rsidRPr="00F11504">
        <w:rPr>
          <w:rFonts w:ascii="Times New Roman" w:hAnsi="Times New Roman" w:cs="Times New Roman"/>
          <w:i/>
          <w:iCs/>
          <w:color w:val="000000"/>
          <w:kern w:val="0"/>
          <w:lang w:bidi="ar-SA"/>
        </w:rPr>
        <w:t>„izolacyjność akustyczna: wg zestawienia stolarki drzwiowej”</w:t>
      </w:r>
      <w:r w:rsidRPr="00F11504">
        <w:rPr>
          <w:rFonts w:ascii="Times New Roman" w:hAnsi="Times New Roman" w:cs="Times New Roman"/>
          <w:color w:val="000000"/>
          <w:kern w:val="0"/>
          <w:lang w:bidi="ar-SA"/>
        </w:rPr>
        <w:t xml:space="preserve">. </w:t>
      </w:r>
      <w:r w:rsidRPr="00F11504">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Wymagania akustyczne zgodnie z odpowiednimi normami do rozwiązania na etapie projektowym</w:t>
      </w:r>
      <w:r>
        <w:rPr>
          <w:rFonts w:ascii="Times New Roman" w:hAnsi="Times New Roman" w:cs="Times New Roman"/>
          <w:color w:val="000000"/>
          <w:kern w:val="0"/>
          <w:lang w:bidi="ar-SA"/>
          <w14:shadow w14:blurRad="63500" w14:dist="50800" w14:dir="1350000" w14:sx="0" w14:sy="0" w14:kx="0" w14:ky="0" w14:algn="none">
            <w14:srgbClr w14:val="000000">
              <w14:alpha w14:val="50000"/>
            </w14:srgbClr>
          </w14:shadow>
        </w:rPr>
        <w:t>.</w:t>
      </w:r>
    </w:p>
    <w:p w14:paraId="147E46AE" w14:textId="77777777" w:rsidR="00F437BF" w:rsidRDefault="00F437BF">
      <w:pPr>
        <w:jc w:val="both"/>
        <w:rPr>
          <w:rFonts w:ascii="Times New Roman" w:hAnsi="Times New Roman" w:cs="Times New Roman"/>
          <w:color w:val="000000"/>
          <w14:shadow w14:blurRad="63500" w14:dist="50800" w14:dir="1350000" w14:sx="0" w14:sy="0" w14:kx="0" w14:ky="0" w14:algn="none">
            <w14:srgbClr w14:val="000000">
              <w14:alpha w14:val="50000"/>
            </w14:srgbClr>
          </w14:shadow>
        </w:rPr>
      </w:pPr>
    </w:p>
    <w:sectPr w:rsidR="00F437BF">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1907" w14:textId="77777777" w:rsidR="00FA7D69" w:rsidRDefault="00FA7D69">
      <w:r>
        <w:separator/>
      </w:r>
    </w:p>
  </w:endnote>
  <w:endnote w:type="continuationSeparator" w:id="0">
    <w:p w14:paraId="6EB4330C" w14:textId="77777777" w:rsidR="00FA7D69" w:rsidRDefault="00FA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A07C" w14:textId="77777777" w:rsidR="00FA7D69" w:rsidRDefault="00FA7D69">
      <w:r>
        <w:rPr>
          <w:color w:val="000000"/>
        </w:rPr>
        <w:separator/>
      </w:r>
    </w:p>
  </w:footnote>
  <w:footnote w:type="continuationSeparator" w:id="0">
    <w:p w14:paraId="5CF3387B" w14:textId="77777777" w:rsidR="00FA7D69" w:rsidRDefault="00FA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A06"/>
    <w:multiLevelType w:val="multilevel"/>
    <w:tmpl w:val="87904156"/>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1EAF55E0"/>
    <w:multiLevelType w:val="multilevel"/>
    <w:tmpl w:val="722C79B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40A1A9D"/>
    <w:multiLevelType w:val="hybridMultilevel"/>
    <w:tmpl w:val="0C0EE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15110E"/>
    <w:multiLevelType w:val="hybridMultilevel"/>
    <w:tmpl w:val="B2865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9E6F13"/>
    <w:multiLevelType w:val="hybridMultilevel"/>
    <w:tmpl w:val="FA5E9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AF1321"/>
    <w:multiLevelType w:val="multilevel"/>
    <w:tmpl w:val="0FA80BDA"/>
    <w:styleLink w:val="WW8Num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D905B69"/>
    <w:multiLevelType w:val="hybridMultilevel"/>
    <w:tmpl w:val="A9629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2C75A3"/>
    <w:multiLevelType w:val="multilevel"/>
    <w:tmpl w:val="A46662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5FA1DB9"/>
    <w:multiLevelType w:val="multilevel"/>
    <w:tmpl w:val="D910F7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9112036"/>
    <w:multiLevelType w:val="multilevel"/>
    <w:tmpl w:val="0228F100"/>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E896D66"/>
    <w:multiLevelType w:val="hybridMultilevel"/>
    <w:tmpl w:val="8A02E854"/>
    <w:lvl w:ilvl="0" w:tplc="04150001">
      <w:start w:val="1"/>
      <w:numFmt w:val="bullet"/>
      <w:lvlText w:val=""/>
      <w:lvlJc w:val="left"/>
      <w:pPr>
        <w:ind w:left="2583" w:hanging="360"/>
      </w:pPr>
      <w:rPr>
        <w:rFonts w:ascii="Symbol" w:hAnsi="Symbol" w:hint="default"/>
      </w:rPr>
    </w:lvl>
    <w:lvl w:ilvl="1" w:tplc="04150003" w:tentative="1">
      <w:start w:val="1"/>
      <w:numFmt w:val="bullet"/>
      <w:lvlText w:val="o"/>
      <w:lvlJc w:val="left"/>
      <w:pPr>
        <w:ind w:left="3303" w:hanging="360"/>
      </w:pPr>
      <w:rPr>
        <w:rFonts w:ascii="Courier New" w:hAnsi="Courier New" w:cs="Courier New" w:hint="default"/>
      </w:rPr>
    </w:lvl>
    <w:lvl w:ilvl="2" w:tplc="04150005" w:tentative="1">
      <w:start w:val="1"/>
      <w:numFmt w:val="bullet"/>
      <w:lvlText w:val=""/>
      <w:lvlJc w:val="left"/>
      <w:pPr>
        <w:ind w:left="4023" w:hanging="360"/>
      </w:pPr>
      <w:rPr>
        <w:rFonts w:ascii="Wingdings" w:hAnsi="Wingdings" w:hint="default"/>
      </w:rPr>
    </w:lvl>
    <w:lvl w:ilvl="3" w:tplc="04150001" w:tentative="1">
      <w:start w:val="1"/>
      <w:numFmt w:val="bullet"/>
      <w:lvlText w:val=""/>
      <w:lvlJc w:val="left"/>
      <w:pPr>
        <w:ind w:left="4743" w:hanging="360"/>
      </w:pPr>
      <w:rPr>
        <w:rFonts w:ascii="Symbol" w:hAnsi="Symbol" w:hint="default"/>
      </w:rPr>
    </w:lvl>
    <w:lvl w:ilvl="4" w:tplc="04150003" w:tentative="1">
      <w:start w:val="1"/>
      <w:numFmt w:val="bullet"/>
      <w:lvlText w:val="o"/>
      <w:lvlJc w:val="left"/>
      <w:pPr>
        <w:ind w:left="5463" w:hanging="360"/>
      </w:pPr>
      <w:rPr>
        <w:rFonts w:ascii="Courier New" w:hAnsi="Courier New" w:cs="Courier New" w:hint="default"/>
      </w:rPr>
    </w:lvl>
    <w:lvl w:ilvl="5" w:tplc="04150005" w:tentative="1">
      <w:start w:val="1"/>
      <w:numFmt w:val="bullet"/>
      <w:lvlText w:val=""/>
      <w:lvlJc w:val="left"/>
      <w:pPr>
        <w:ind w:left="6183" w:hanging="360"/>
      </w:pPr>
      <w:rPr>
        <w:rFonts w:ascii="Wingdings" w:hAnsi="Wingdings" w:hint="default"/>
      </w:rPr>
    </w:lvl>
    <w:lvl w:ilvl="6" w:tplc="04150001" w:tentative="1">
      <w:start w:val="1"/>
      <w:numFmt w:val="bullet"/>
      <w:lvlText w:val=""/>
      <w:lvlJc w:val="left"/>
      <w:pPr>
        <w:ind w:left="6903" w:hanging="360"/>
      </w:pPr>
      <w:rPr>
        <w:rFonts w:ascii="Symbol" w:hAnsi="Symbol" w:hint="default"/>
      </w:rPr>
    </w:lvl>
    <w:lvl w:ilvl="7" w:tplc="04150003" w:tentative="1">
      <w:start w:val="1"/>
      <w:numFmt w:val="bullet"/>
      <w:lvlText w:val="o"/>
      <w:lvlJc w:val="left"/>
      <w:pPr>
        <w:ind w:left="7623" w:hanging="360"/>
      </w:pPr>
      <w:rPr>
        <w:rFonts w:ascii="Courier New" w:hAnsi="Courier New" w:cs="Courier New" w:hint="default"/>
      </w:rPr>
    </w:lvl>
    <w:lvl w:ilvl="8" w:tplc="04150005" w:tentative="1">
      <w:start w:val="1"/>
      <w:numFmt w:val="bullet"/>
      <w:lvlText w:val=""/>
      <w:lvlJc w:val="left"/>
      <w:pPr>
        <w:ind w:left="8343" w:hanging="360"/>
      </w:pPr>
      <w:rPr>
        <w:rFonts w:ascii="Wingdings" w:hAnsi="Wingdings" w:hint="default"/>
      </w:rPr>
    </w:lvl>
  </w:abstractNum>
  <w:abstractNum w:abstractNumId="11" w15:restartNumberingAfterBreak="0">
    <w:nsid w:val="642662E7"/>
    <w:multiLevelType w:val="hybridMultilevel"/>
    <w:tmpl w:val="F7A0654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2" w15:restartNumberingAfterBreak="0">
    <w:nsid w:val="6DB21587"/>
    <w:multiLevelType w:val="multilevel"/>
    <w:tmpl w:val="14A0C424"/>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055547">
    <w:abstractNumId w:val="5"/>
  </w:num>
  <w:num w:numId="2" w16cid:durableId="342241868">
    <w:abstractNumId w:val="12"/>
  </w:num>
  <w:num w:numId="3" w16cid:durableId="460349212">
    <w:abstractNumId w:val="9"/>
  </w:num>
  <w:num w:numId="4" w16cid:durableId="1957059448">
    <w:abstractNumId w:val="0"/>
  </w:num>
  <w:num w:numId="5" w16cid:durableId="271014488">
    <w:abstractNumId w:val="9"/>
  </w:num>
  <w:num w:numId="6" w16cid:durableId="1393576310">
    <w:abstractNumId w:val="0"/>
  </w:num>
  <w:num w:numId="7" w16cid:durableId="1234269744">
    <w:abstractNumId w:val="7"/>
  </w:num>
  <w:num w:numId="8" w16cid:durableId="1850020400">
    <w:abstractNumId w:val="1"/>
  </w:num>
  <w:num w:numId="9" w16cid:durableId="182522673">
    <w:abstractNumId w:val="8"/>
  </w:num>
  <w:num w:numId="10" w16cid:durableId="1645307775">
    <w:abstractNumId w:val="4"/>
  </w:num>
  <w:num w:numId="11" w16cid:durableId="130055011">
    <w:abstractNumId w:val="10"/>
  </w:num>
  <w:num w:numId="12" w16cid:durableId="478808029">
    <w:abstractNumId w:val="11"/>
  </w:num>
  <w:num w:numId="13" w16cid:durableId="102700628">
    <w:abstractNumId w:val="3"/>
  </w:num>
  <w:num w:numId="14" w16cid:durableId="2057582490">
    <w:abstractNumId w:val="6"/>
  </w:num>
  <w:num w:numId="15" w16cid:durableId="496923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BF"/>
    <w:rsid w:val="00025121"/>
    <w:rsid w:val="000811D6"/>
    <w:rsid w:val="000A5D3B"/>
    <w:rsid w:val="000F2983"/>
    <w:rsid w:val="00182230"/>
    <w:rsid w:val="001856BE"/>
    <w:rsid w:val="00230AF3"/>
    <w:rsid w:val="005D5056"/>
    <w:rsid w:val="005E1A67"/>
    <w:rsid w:val="007A0C40"/>
    <w:rsid w:val="007B4809"/>
    <w:rsid w:val="009C16EA"/>
    <w:rsid w:val="009E6FBA"/>
    <w:rsid w:val="00AF7B17"/>
    <w:rsid w:val="00CF4028"/>
    <w:rsid w:val="00DD3D29"/>
    <w:rsid w:val="00F11504"/>
    <w:rsid w:val="00F11FA3"/>
    <w:rsid w:val="00F437BF"/>
    <w:rsid w:val="00F83DC6"/>
    <w:rsid w:val="00FA7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EA2B"/>
  <w15:docId w15:val="{16ABA3CB-9D48-4572-824E-7B581C7C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CE" w:eastAsia="Arial CE" w:hAnsi="Arial CE" w:cs="Arial CE"/>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apunktowana">
    <w:name w:val="List Bullet"/>
    <w:basedOn w:val="Standard"/>
    <w:rPr>
      <w:iCs/>
      <w:shd w:val="clear" w:color="auto" w:fill="FFFFFF"/>
    </w:rPr>
  </w:style>
  <w:style w:type="paragraph" w:customStyle="1" w:styleId="Default">
    <w:name w:val="Default"/>
    <w:rPr>
      <w:rFonts w:ascii="Times New Roman" w:eastAsia="Times New Roman" w:hAnsi="Times New Roman" w:cs="Times New Roman"/>
      <w:color w:val="000000"/>
    </w:rPr>
  </w:style>
  <w:style w:type="paragraph" w:styleId="Akapitzlist">
    <w:name w:val="List Paragraph"/>
    <w:basedOn w:val="Standard"/>
    <w:pPr>
      <w:spacing w:after="160"/>
      <w:ind w:left="720"/>
    </w:pPr>
  </w:style>
  <w:style w:type="character" w:customStyle="1" w:styleId="WW8Num2z0">
    <w:name w:val="WW8Num2z0"/>
    <w:rPr>
      <w:rFonts w:ascii="Times New Roman" w:eastAsia="Times New Roman" w:hAnsi="Times New Roman"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basedOn w:val="Domylnaczcionkaakapitu"/>
    <w:rPr>
      <w:color w:val="0563C1"/>
      <w:u w:val="single"/>
    </w:rPr>
  </w:style>
  <w:style w:type="character" w:customStyle="1" w:styleId="VisitedInternetLink">
    <w:name w:val="Visited Internet Link"/>
    <w:basedOn w:val="Domylnaczcionkaakapitu"/>
    <w:rPr>
      <w:color w:val="954F72"/>
      <w:u w:val="single"/>
    </w:rPr>
  </w:style>
  <w:style w:type="character" w:customStyle="1" w:styleId="ListLabel1">
    <w:name w:val="ListLabel 1"/>
    <w:rPr>
      <w:rFonts w:cs="Courier New"/>
    </w:rPr>
  </w:style>
  <w:style w:type="numbering" w:customStyle="1" w:styleId="WW8Num2">
    <w:name w:val="WW8Num2"/>
    <w:basedOn w:val="Bezlisty"/>
    <w:pPr>
      <w:numPr>
        <w:numId w:val="1"/>
      </w:numPr>
    </w:pPr>
  </w:style>
  <w:style w:type="numbering" w:customStyle="1" w:styleId="WWNum1">
    <w:name w:val="WWNum1"/>
    <w:basedOn w:val="Bezlisty"/>
    <w:pPr>
      <w:numPr>
        <w:numId w:val="2"/>
      </w:numPr>
    </w:pPr>
  </w:style>
  <w:style w:type="numbering" w:customStyle="1" w:styleId="WWNum6">
    <w:name w:val="WWNum6"/>
    <w:basedOn w:val="Bezlisty"/>
    <w:pPr>
      <w:numPr>
        <w:numId w:val="3"/>
      </w:numPr>
    </w:pPr>
  </w:style>
  <w:style w:type="numbering" w:customStyle="1" w:styleId="WWNum2">
    <w:name w:val="WWNum2"/>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standardy-dostepnosci-budynkow-dla-osob-z-niepelnosprawnosciami"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2453</Words>
  <Characters>14723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Sebastian Kątek</cp:lastModifiedBy>
  <cp:revision>3</cp:revision>
  <dcterms:created xsi:type="dcterms:W3CDTF">2024-08-27T07:15:00Z</dcterms:created>
  <dcterms:modified xsi:type="dcterms:W3CDTF">2024-08-27T07:22:00Z</dcterms:modified>
</cp:coreProperties>
</file>