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556"/>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
        <w:gridCol w:w="2243"/>
        <w:gridCol w:w="8990"/>
        <w:gridCol w:w="3300"/>
      </w:tblGrid>
      <w:tr w:rsidR="00381180" w:rsidRPr="009A78AF" w:rsidTr="00773578">
        <w:trPr>
          <w:trHeight w:val="416"/>
        </w:trPr>
        <w:tc>
          <w:tcPr>
            <w:tcW w:w="488" w:type="dxa"/>
            <w:vAlign w:val="center"/>
          </w:tcPr>
          <w:p w:rsidR="00381180" w:rsidRPr="00767DBB" w:rsidRDefault="00381180" w:rsidP="00773578">
            <w:pPr>
              <w:tabs>
                <w:tab w:val="left" w:pos="567"/>
              </w:tabs>
              <w:jc w:val="center"/>
              <w:rPr>
                <w:rFonts w:ascii="Arial" w:hAnsi="Arial" w:cs="Arial"/>
                <w:sz w:val="20"/>
                <w:szCs w:val="20"/>
              </w:rPr>
            </w:pPr>
            <w:bookmarkStart w:id="0" w:name="_GoBack" w:colFirst="3" w:colLast="3"/>
            <w:r w:rsidRPr="00767DBB">
              <w:rPr>
                <w:rFonts w:ascii="Arial" w:hAnsi="Arial" w:cs="Arial"/>
                <w:sz w:val="20"/>
                <w:szCs w:val="20"/>
              </w:rPr>
              <w:t>Lp</w:t>
            </w:r>
          </w:p>
        </w:tc>
        <w:tc>
          <w:tcPr>
            <w:tcW w:w="2243" w:type="dxa"/>
            <w:vAlign w:val="center"/>
          </w:tcPr>
          <w:p w:rsidR="00381180" w:rsidRPr="00767DBB" w:rsidRDefault="00381180" w:rsidP="00773578">
            <w:pPr>
              <w:tabs>
                <w:tab w:val="left" w:pos="567"/>
              </w:tabs>
              <w:jc w:val="center"/>
              <w:rPr>
                <w:rFonts w:ascii="Arial" w:hAnsi="Arial" w:cs="Arial"/>
                <w:b/>
                <w:sz w:val="20"/>
                <w:szCs w:val="20"/>
              </w:rPr>
            </w:pPr>
            <w:r w:rsidRPr="00767DBB">
              <w:rPr>
                <w:rFonts w:ascii="Arial" w:hAnsi="Arial" w:cs="Arial"/>
                <w:b/>
                <w:sz w:val="20"/>
                <w:szCs w:val="20"/>
              </w:rPr>
              <w:t>Nazwa</w:t>
            </w:r>
          </w:p>
        </w:tc>
        <w:tc>
          <w:tcPr>
            <w:tcW w:w="8990" w:type="dxa"/>
            <w:vAlign w:val="center"/>
          </w:tcPr>
          <w:p w:rsidR="00381180" w:rsidRPr="00767DBB" w:rsidRDefault="00381180" w:rsidP="00773578">
            <w:pPr>
              <w:tabs>
                <w:tab w:val="left" w:pos="567"/>
              </w:tabs>
              <w:jc w:val="center"/>
              <w:rPr>
                <w:rFonts w:ascii="Arial" w:hAnsi="Arial" w:cs="Arial"/>
                <w:sz w:val="20"/>
                <w:szCs w:val="20"/>
              </w:rPr>
            </w:pPr>
            <w:r w:rsidRPr="00767DBB">
              <w:rPr>
                <w:rFonts w:ascii="Arial" w:hAnsi="Arial" w:cs="Arial"/>
                <w:sz w:val="20"/>
                <w:szCs w:val="20"/>
              </w:rPr>
              <w:t>Opis, parametry i wymagania techniczne</w:t>
            </w:r>
          </w:p>
        </w:tc>
        <w:tc>
          <w:tcPr>
            <w:tcW w:w="3300" w:type="dxa"/>
            <w:vAlign w:val="center"/>
          </w:tcPr>
          <w:p w:rsidR="00381180" w:rsidRPr="00767DBB" w:rsidRDefault="00381180" w:rsidP="00773578">
            <w:pPr>
              <w:tabs>
                <w:tab w:val="left" w:pos="567"/>
              </w:tabs>
              <w:jc w:val="center"/>
              <w:rPr>
                <w:rFonts w:ascii="Arial" w:hAnsi="Arial" w:cs="Arial"/>
                <w:sz w:val="20"/>
                <w:szCs w:val="20"/>
              </w:rPr>
            </w:pPr>
            <w:r w:rsidRPr="00767DBB">
              <w:rPr>
                <w:rFonts w:ascii="Arial" w:hAnsi="Arial" w:cs="Arial"/>
                <w:sz w:val="20"/>
                <w:szCs w:val="20"/>
              </w:rPr>
              <w:t>Inne wymagania</w:t>
            </w:r>
          </w:p>
        </w:tc>
      </w:tr>
      <w:tr w:rsidR="00A11187" w:rsidRPr="00362635" w:rsidTr="00773578">
        <w:trPr>
          <w:trHeight w:val="265"/>
        </w:trPr>
        <w:tc>
          <w:tcPr>
            <w:tcW w:w="488" w:type="dxa"/>
            <w:vAlign w:val="center"/>
          </w:tcPr>
          <w:p w:rsidR="00A11187" w:rsidRDefault="005D06EA" w:rsidP="00773578">
            <w:pPr>
              <w:tabs>
                <w:tab w:val="left" w:pos="567"/>
              </w:tabs>
              <w:jc w:val="center"/>
              <w:rPr>
                <w:rFonts w:ascii="Arial" w:hAnsi="Arial" w:cs="Arial"/>
                <w:sz w:val="20"/>
                <w:szCs w:val="20"/>
              </w:rPr>
            </w:pPr>
            <w:r>
              <w:rPr>
                <w:rFonts w:ascii="Arial" w:hAnsi="Arial" w:cs="Arial"/>
                <w:sz w:val="20"/>
                <w:szCs w:val="20"/>
              </w:rPr>
              <w:t>1</w:t>
            </w:r>
          </w:p>
        </w:tc>
        <w:tc>
          <w:tcPr>
            <w:tcW w:w="2243" w:type="dxa"/>
            <w:vAlign w:val="center"/>
          </w:tcPr>
          <w:p w:rsidR="00887795" w:rsidRDefault="00887795" w:rsidP="00773578">
            <w:pPr>
              <w:rPr>
                <w:rFonts w:ascii="Arial" w:hAnsi="Arial" w:cs="Arial"/>
                <w:b/>
                <w:sz w:val="20"/>
                <w:szCs w:val="20"/>
              </w:rPr>
            </w:pPr>
          </w:p>
          <w:p w:rsidR="005D06EA" w:rsidRPr="005D06EA" w:rsidRDefault="005D06EA" w:rsidP="00773578">
            <w:pPr>
              <w:rPr>
                <w:rFonts w:ascii="Arial" w:eastAsia="Calibri" w:hAnsi="Arial" w:cs="Arial"/>
                <w:b/>
                <w:lang w:eastAsia="en-US"/>
              </w:rPr>
            </w:pPr>
            <w:r w:rsidRPr="005D06EA">
              <w:rPr>
                <w:rFonts w:ascii="Arial" w:eastAsia="Calibri" w:hAnsi="Arial" w:cs="Arial"/>
                <w:b/>
                <w:lang w:eastAsia="en-US"/>
              </w:rPr>
              <w:t>Uniwersalny interfejs skanera diagnostycznego.</w:t>
            </w:r>
          </w:p>
          <w:p w:rsidR="00A11187" w:rsidRPr="00742AA4" w:rsidRDefault="00A11187" w:rsidP="00773578">
            <w:pPr>
              <w:rPr>
                <w:rFonts w:ascii="Arial" w:hAnsi="Arial" w:cs="Arial"/>
                <w:b/>
                <w:sz w:val="16"/>
                <w:szCs w:val="16"/>
              </w:rPr>
            </w:pPr>
          </w:p>
        </w:tc>
        <w:tc>
          <w:tcPr>
            <w:tcW w:w="8990" w:type="dxa"/>
            <w:vAlign w:val="center"/>
          </w:tcPr>
          <w:p w:rsidR="005D06EA" w:rsidRPr="005D06EA" w:rsidRDefault="005D06EA" w:rsidP="00773578">
            <w:pPr>
              <w:rPr>
                <w:rFonts w:ascii="Arial" w:eastAsia="Calibri" w:hAnsi="Arial" w:cs="Arial"/>
                <w:lang w:eastAsia="en-US"/>
              </w:rPr>
            </w:pPr>
            <w:r w:rsidRPr="005D06EA">
              <w:rPr>
                <w:rFonts w:ascii="Arial" w:eastAsia="Calibri" w:hAnsi="Arial" w:cs="Arial"/>
                <w:lang w:eastAsia="en-US"/>
              </w:rPr>
              <w:t>Interfejs przeznaczony do samochodów osobowych, dostawczych, ciężarowych i autobusów. Musi obsługiwać wszystkie moduły 12 i 24 V w jakie pojazdy są wyposażone:</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silnika i automatycznej skrzyni biegów;</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układów hamulcowych ABS/ESP/ASR/EBD systemów ABS/EBS Wabco, Knorr, Haldex</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systemów bezpieczeństwa w tym poduszek i kurtyn powietrznych, napinaczy pasów bezpieczeństwa;</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modułów komfortu w tym: pamięci foteli, elektroniki drzwi wspomagania parkowania i kamery cofania, klimatyzacji automatycznej, tempomatu, asystenta utrzymania pasa ruchu, czujników deszczu i zmierzchu, centralnego zamka i systemów antywłamaniowych;</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samopoziomowania świateł;</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wspomagania układów kierowniczych;</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systemów AdBlue;</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zawieszenia pneumatycznego;</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wskaźników deski rozdzielczej, nawigacji i systemów audio,</w:t>
            </w:r>
          </w:p>
          <w:p w:rsidR="005D06EA" w:rsidRPr="005D06EA" w:rsidRDefault="005D06EA" w:rsidP="00773578">
            <w:pPr>
              <w:rPr>
                <w:rFonts w:ascii="Arial" w:eastAsia="Calibri" w:hAnsi="Arial" w:cs="Arial"/>
                <w:lang w:eastAsia="en-US"/>
              </w:rPr>
            </w:pPr>
            <w:r w:rsidRPr="005D06EA">
              <w:rPr>
                <w:rFonts w:ascii="Arial" w:eastAsia="Calibri" w:hAnsi="Arial" w:cs="Arial"/>
                <w:lang w:eastAsia="en-US"/>
              </w:rPr>
              <w:t>w zakresie następujących funkcji serwisowych:</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odczytu i kasowania błędów;</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podglądu parametrów bieżących podczas pracy pojazdu (układu pojazdu);</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kodowania, adaptacji, kalibracji, testów wykonawczych elementów sterowania pojazdów;</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wypalania/regeneracji filtra cząstek stałych DPF;</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obsługi systemu AdBlue;</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adaptacji zawieszenia pneumatycznego;</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sprawdzanie grubości sprzęgła i przypisywanie nowego;</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programowania wtryskiwaczy i korekty kąta zapłonu.</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lastRenderedPageBreak/>
              <w:t>cofania zacisków elektrycznego hamulca postojowego</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resetu przeglądu serwisowego i olejowego;</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kodowania kluczyków i kart.</w:t>
            </w:r>
          </w:p>
          <w:p w:rsidR="005D06EA" w:rsidRPr="005D06EA" w:rsidRDefault="005D06EA" w:rsidP="00773578">
            <w:pPr>
              <w:ind w:left="95"/>
              <w:rPr>
                <w:rFonts w:ascii="Arial" w:eastAsia="Calibri" w:hAnsi="Arial" w:cs="Arial"/>
                <w:lang w:eastAsia="en-US"/>
              </w:rPr>
            </w:pPr>
            <w:r w:rsidRPr="005D06EA">
              <w:rPr>
                <w:rFonts w:ascii="Arial" w:eastAsia="Calibri" w:hAnsi="Arial" w:cs="Arial"/>
                <w:lang w:eastAsia="en-US"/>
              </w:rPr>
              <w:t>Razem z interfejsem powinny być dostarczone:</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kabel z wtyczką ODB2 z lampką kontrolną sygnalizującą połączenie z modułem pojazdu;</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kabel USB do połączenia z komputerem;</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wytrzymałe etui/futerał, walizkę na interfejs i okablowanie;</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instrukcję instalacji oprogramowania (krok po kroku) i w j. polskim;</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oprogramowanie na CD/DVD do skanowania systemów z bezpłatną i bezterminową licencją oraz możliwością jego aktualizacji;</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dokument potwierdzający udzielenie licencji na wyżej wymienione oprogramowanie;</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instrukcję użytkowania, konserwacji i BHP przy użytkowaniu interfejsu w formie papierowej lub elektronicznej (format .pdf) w języku polskim;</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kartę gwarancyjną na dostarczone urządzenie i jego elementy na okres min. 24 m-ce;</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zestaw adapterów do samochodów osobowych europejskich (min. kabel PSA 30pin, kabel PSA 2, kabel Mercedes Benz 38pin, kabel OPEL 10pin, kabel FIAT 3pin);</w:t>
            </w:r>
          </w:p>
          <w:p w:rsidR="005D06EA" w:rsidRPr="005D06EA" w:rsidRDefault="005D06EA" w:rsidP="00773578">
            <w:pPr>
              <w:numPr>
                <w:ilvl w:val="0"/>
                <w:numId w:val="9"/>
              </w:numPr>
              <w:spacing w:after="160"/>
              <w:ind w:left="455"/>
              <w:contextualSpacing/>
              <w:rPr>
                <w:rFonts w:ascii="Arial" w:eastAsia="Calibri" w:hAnsi="Arial" w:cs="Arial"/>
                <w:lang w:eastAsia="en-US"/>
              </w:rPr>
            </w:pPr>
            <w:r w:rsidRPr="005D06EA">
              <w:rPr>
                <w:rFonts w:ascii="Arial" w:eastAsia="Calibri" w:hAnsi="Arial" w:cs="Arial"/>
                <w:lang w:eastAsia="en-US"/>
              </w:rPr>
              <w:t>zestaw adapterów do samochodów ciężarowych (min. kabel 14pin Mercedes Benz, kabel 7pin Knorr, Wabco Trailer, kabel Scania 16pin, kabel Renault 12pin, kabel MAN 37pin, kabel MAN 12pin, kabel VOLVO 8pin, kabel IVECO 30pin);</w:t>
            </w:r>
          </w:p>
          <w:p w:rsidR="005D06EA" w:rsidRPr="005D06EA" w:rsidRDefault="005D06EA" w:rsidP="00773578">
            <w:pPr>
              <w:spacing w:after="160" w:line="259" w:lineRule="auto"/>
              <w:rPr>
                <w:rFonts w:ascii="Calibri" w:eastAsia="Calibri" w:hAnsi="Calibri"/>
                <w:sz w:val="22"/>
                <w:szCs w:val="22"/>
                <w:lang w:eastAsia="en-US"/>
              </w:rPr>
            </w:pPr>
          </w:p>
          <w:p w:rsidR="00A11187" w:rsidRPr="00742AA4" w:rsidRDefault="00A11187" w:rsidP="00773578">
            <w:pPr>
              <w:tabs>
                <w:tab w:val="left" w:pos="567"/>
              </w:tabs>
              <w:jc w:val="both"/>
              <w:rPr>
                <w:rFonts w:ascii="Arial" w:hAnsi="Arial" w:cs="Arial"/>
                <w:sz w:val="16"/>
                <w:szCs w:val="16"/>
              </w:rPr>
            </w:pPr>
          </w:p>
        </w:tc>
        <w:tc>
          <w:tcPr>
            <w:tcW w:w="3300" w:type="dxa"/>
            <w:vAlign w:val="center"/>
          </w:tcPr>
          <w:p w:rsidR="00A11187" w:rsidRPr="00742AA4" w:rsidRDefault="00A11187" w:rsidP="00773578">
            <w:pPr>
              <w:rPr>
                <w:rFonts w:ascii="Arial" w:hAnsi="Arial" w:cs="Arial"/>
                <w:bCs/>
                <w:sz w:val="16"/>
                <w:szCs w:val="16"/>
              </w:rPr>
            </w:pPr>
          </w:p>
        </w:tc>
      </w:tr>
      <w:bookmarkEnd w:id="0"/>
    </w:tbl>
    <w:p w:rsidR="001B6457" w:rsidRDefault="001B6457" w:rsidP="00EC0E3B">
      <w:pPr>
        <w:rPr>
          <w:rFonts w:ascii="Arial" w:hAnsi="Arial" w:cs="Arial"/>
          <w:b/>
          <w:i/>
          <w:sz w:val="20"/>
          <w:szCs w:val="20"/>
        </w:rPr>
      </w:pPr>
    </w:p>
    <w:sectPr w:rsidR="001B6457" w:rsidSect="00117ED8">
      <w:headerReference w:type="default" r:id="rId9"/>
      <w:footerReference w:type="default" r:id="rId10"/>
      <w:pgSz w:w="16838" w:h="11906" w:orient="landscape"/>
      <w:pgMar w:top="537" w:right="720" w:bottom="720"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BE8" w:rsidRDefault="00036BE8" w:rsidP="00B8504D">
      <w:r>
        <w:separator/>
      </w:r>
    </w:p>
  </w:endnote>
  <w:endnote w:type="continuationSeparator" w:id="0">
    <w:p w:rsidR="00036BE8" w:rsidRDefault="00036BE8" w:rsidP="00B8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7AA" w:rsidRDefault="007E57AA" w:rsidP="00B41FCA">
    <w:pPr>
      <w:pStyle w:val="Stopka"/>
      <w:tabs>
        <w:tab w:val="left" w:pos="6195"/>
        <w:tab w:val="right" w:pos="15398"/>
      </w:tabs>
    </w:pPr>
    <w:r>
      <w:tab/>
    </w:r>
    <w:r>
      <w:tab/>
    </w:r>
    <w:r>
      <w:tab/>
    </w:r>
    <w:r>
      <w:tab/>
    </w:r>
    <w:r w:rsidR="000E4E89">
      <w:fldChar w:fldCharType="begin"/>
    </w:r>
    <w:r w:rsidR="000E4E89">
      <w:instrText>PAGE   \* MERGEFORMAT</w:instrText>
    </w:r>
    <w:r w:rsidR="000E4E89">
      <w:fldChar w:fldCharType="separate"/>
    </w:r>
    <w:r w:rsidR="00CB5B3A">
      <w:rPr>
        <w:noProof/>
      </w:rPr>
      <w:t>2</w:t>
    </w:r>
    <w:r w:rsidR="000E4E89">
      <w:rPr>
        <w:noProof/>
      </w:rPr>
      <w:fldChar w:fldCharType="end"/>
    </w:r>
  </w:p>
  <w:p w:rsidR="007E57AA" w:rsidRDefault="007E57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BE8" w:rsidRDefault="00036BE8" w:rsidP="00B8504D">
      <w:r>
        <w:separator/>
      </w:r>
    </w:p>
  </w:footnote>
  <w:footnote w:type="continuationSeparator" w:id="0">
    <w:p w:rsidR="00036BE8" w:rsidRDefault="00036BE8" w:rsidP="00B85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78" w:rsidRDefault="0004539F" w:rsidP="003475E1">
    <w:pPr>
      <w:pStyle w:val="Nagwek"/>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tbl>
    <w:tblPr>
      <w:tblW w:w="15026" w:type="dxa"/>
      <w:tblCellMar>
        <w:left w:w="70" w:type="dxa"/>
        <w:right w:w="70" w:type="dxa"/>
      </w:tblCellMar>
      <w:tblLook w:val="04A0" w:firstRow="1" w:lastRow="0" w:firstColumn="1" w:lastColumn="0" w:noHBand="0" w:noVBand="1"/>
    </w:tblPr>
    <w:tblGrid>
      <w:gridCol w:w="15026"/>
    </w:tblGrid>
    <w:tr w:rsidR="00773578" w:rsidRPr="00773578" w:rsidTr="001B0936">
      <w:trPr>
        <w:trHeight w:val="300"/>
      </w:trPr>
      <w:tc>
        <w:tcPr>
          <w:tcW w:w="15026" w:type="dxa"/>
          <w:tcBorders>
            <w:top w:val="nil"/>
            <w:left w:val="nil"/>
            <w:bottom w:val="nil"/>
            <w:right w:val="nil"/>
          </w:tcBorders>
          <w:shd w:val="clear" w:color="000000" w:fill="FFFFFF"/>
          <w:noWrap/>
          <w:vAlign w:val="center"/>
          <w:hideMark/>
        </w:tcPr>
        <w:p w:rsidR="00773578" w:rsidRPr="00773578" w:rsidRDefault="00773578" w:rsidP="00CB5B3A">
          <w:pPr>
            <w:ind w:firstLine="9281"/>
            <w:jc w:val="center"/>
            <w:rPr>
              <w:rFonts w:ascii="Arial" w:hAnsi="Arial" w:cs="Arial"/>
              <w:sz w:val="22"/>
              <w:szCs w:val="22"/>
            </w:rPr>
          </w:pPr>
          <w:r w:rsidRPr="00773578">
            <w:rPr>
              <w:rFonts w:ascii="Arial" w:hAnsi="Arial" w:cs="Arial"/>
              <w:sz w:val="22"/>
              <w:szCs w:val="22"/>
            </w:rPr>
            <w:t xml:space="preserve">Załącznik nr </w:t>
          </w:r>
          <w:r w:rsidR="00CB5B3A">
            <w:rPr>
              <w:rFonts w:ascii="Arial" w:hAnsi="Arial" w:cs="Arial"/>
              <w:sz w:val="22"/>
              <w:szCs w:val="22"/>
            </w:rPr>
            <w:t>4</w:t>
          </w:r>
        </w:p>
      </w:tc>
    </w:tr>
    <w:tr w:rsidR="00773578" w:rsidRPr="00773578" w:rsidTr="001B0936">
      <w:trPr>
        <w:trHeight w:val="300"/>
      </w:trPr>
      <w:tc>
        <w:tcPr>
          <w:tcW w:w="15026" w:type="dxa"/>
          <w:tcBorders>
            <w:top w:val="nil"/>
            <w:left w:val="nil"/>
            <w:bottom w:val="nil"/>
            <w:right w:val="nil"/>
          </w:tcBorders>
          <w:shd w:val="clear" w:color="000000" w:fill="FFFFFF"/>
          <w:noWrap/>
          <w:vAlign w:val="center"/>
          <w:hideMark/>
        </w:tcPr>
        <w:p w:rsidR="00773578" w:rsidRPr="00773578" w:rsidRDefault="00773578" w:rsidP="00773578">
          <w:pPr>
            <w:ind w:firstLine="9281"/>
            <w:jc w:val="center"/>
            <w:rPr>
              <w:rFonts w:ascii="Arial" w:hAnsi="Arial" w:cs="Arial"/>
              <w:sz w:val="22"/>
              <w:szCs w:val="22"/>
            </w:rPr>
          </w:pPr>
        </w:p>
      </w:tc>
    </w:tr>
  </w:tbl>
  <w:p w:rsidR="00773578" w:rsidRPr="00773578" w:rsidRDefault="00773578" w:rsidP="00773578">
    <w:pPr>
      <w:tabs>
        <w:tab w:val="center" w:pos="4536"/>
        <w:tab w:val="right" w:pos="9072"/>
      </w:tabs>
      <w:rPr>
        <w:rFonts w:ascii="Arial" w:hAnsi="Arial" w:cs="Arial"/>
      </w:rPr>
    </w:pPr>
    <w:r w:rsidRPr="00773578">
      <w:rPr>
        <w:rFonts w:ascii="Arial" w:hAnsi="Arial" w:cs="Arial"/>
        <w:b/>
      </w:rPr>
      <w:tab/>
    </w:r>
  </w:p>
  <w:p w:rsidR="00773578" w:rsidRPr="00773578" w:rsidRDefault="00773578" w:rsidP="00773578">
    <w:pPr>
      <w:tabs>
        <w:tab w:val="center" w:pos="4536"/>
        <w:tab w:val="right" w:pos="9072"/>
      </w:tabs>
      <w:jc w:val="center"/>
      <w:rPr>
        <w:rFonts w:ascii="Arial" w:hAnsi="Arial" w:cs="Arial"/>
        <w:b/>
      </w:rPr>
    </w:pPr>
    <w:r w:rsidRPr="00773578">
      <w:rPr>
        <w:rFonts w:ascii="Arial" w:hAnsi="Arial" w:cs="Arial"/>
        <w:b/>
      </w:rPr>
      <w:t>UZUPEŁNIAJĄCY OPIS PRZEDMIOTU ZAMÓWIENIA ORAZ WYMAGANIA TECHNICZNE</w:t>
    </w:r>
  </w:p>
  <w:p w:rsidR="00773578" w:rsidRPr="00773578" w:rsidRDefault="00773578" w:rsidP="00773578">
    <w:pPr>
      <w:tabs>
        <w:tab w:val="center" w:pos="4536"/>
        <w:tab w:val="right" w:pos="9072"/>
      </w:tabs>
      <w:jc w:val="center"/>
      <w:rPr>
        <w:rFonts w:ascii="Arial" w:hAnsi="Arial" w:cs="Arial"/>
        <w:b/>
      </w:rPr>
    </w:pPr>
    <w:r w:rsidRPr="00773578">
      <w:rPr>
        <w:rFonts w:ascii="Arial" w:hAnsi="Arial" w:cs="Arial"/>
        <w:b/>
      </w:rPr>
      <w:t xml:space="preserve">dla zadania nr 5 poz. 8 </w:t>
    </w:r>
  </w:p>
  <w:p w:rsidR="00D532FD" w:rsidRPr="0004539F" w:rsidRDefault="0004539F" w:rsidP="003475E1">
    <w:pPr>
      <w:pStyle w:val="Nagwek"/>
      <w:rPr>
        <w:rFonts w:ascii="Arial" w:hAnsi="Arial" w:cs="Arial"/>
      </w:rPr>
    </w:pP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897"/>
    <w:multiLevelType w:val="hybridMultilevel"/>
    <w:tmpl w:val="29061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EB7E75"/>
    <w:multiLevelType w:val="hybridMultilevel"/>
    <w:tmpl w:val="3F60C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F74E6D"/>
    <w:multiLevelType w:val="hybridMultilevel"/>
    <w:tmpl w:val="6338E77A"/>
    <w:lvl w:ilvl="0" w:tplc="50C88A5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8804EC"/>
    <w:multiLevelType w:val="hybridMultilevel"/>
    <w:tmpl w:val="1EE22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F673F3"/>
    <w:multiLevelType w:val="hybridMultilevel"/>
    <w:tmpl w:val="FEF837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55A50B0"/>
    <w:multiLevelType w:val="hybridMultilevel"/>
    <w:tmpl w:val="7C5A1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30E4284"/>
    <w:multiLevelType w:val="hybridMultilevel"/>
    <w:tmpl w:val="02A4B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D1B42A9"/>
    <w:multiLevelType w:val="hybridMultilevel"/>
    <w:tmpl w:val="450EB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E26415A"/>
    <w:multiLevelType w:val="hybridMultilevel"/>
    <w:tmpl w:val="C63EF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7"/>
  </w:num>
  <w:num w:numId="6">
    <w:abstractNumId w:val="0"/>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88"/>
    <w:rsid w:val="000225CA"/>
    <w:rsid w:val="00036BE8"/>
    <w:rsid w:val="0003739B"/>
    <w:rsid w:val="0004056B"/>
    <w:rsid w:val="00045315"/>
    <w:rsid w:val="0004539F"/>
    <w:rsid w:val="000578FA"/>
    <w:rsid w:val="00057E98"/>
    <w:rsid w:val="000669C5"/>
    <w:rsid w:val="00073AEC"/>
    <w:rsid w:val="00073C53"/>
    <w:rsid w:val="00085622"/>
    <w:rsid w:val="00094EEE"/>
    <w:rsid w:val="00095E0D"/>
    <w:rsid w:val="000A5EA8"/>
    <w:rsid w:val="000A73D4"/>
    <w:rsid w:val="000B242B"/>
    <w:rsid w:val="000B3C8C"/>
    <w:rsid w:val="000B7F94"/>
    <w:rsid w:val="000C45E5"/>
    <w:rsid w:val="000D3A2A"/>
    <w:rsid w:val="000E4E89"/>
    <w:rsid w:val="000F729D"/>
    <w:rsid w:val="00105326"/>
    <w:rsid w:val="00117ED8"/>
    <w:rsid w:val="00130276"/>
    <w:rsid w:val="00145E3D"/>
    <w:rsid w:val="001616D3"/>
    <w:rsid w:val="00163EF0"/>
    <w:rsid w:val="00167202"/>
    <w:rsid w:val="00174ABD"/>
    <w:rsid w:val="0018479F"/>
    <w:rsid w:val="001B21A9"/>
    <w:rsid w:val="001B6457"/>
    <w:rsid w:val="001B73C5"/>
    <w:rsid w:val="001C1B41"/>
    <w:rsid w:val="001C5987"/>
    <w:rsid w:val="001C5D74"/>
    <w:rsid w:val="001E04AB"/>
    <w:rsid w:val="001F2488"/>
    <w:rsid w:val="00227C14"/>
    <w:rsid w:val="00235DBE"/>
    <w:rsid w:val="00252C0B"/>
    <w:rsid w:val="00293D38"/>
    <w:rsid w:val="002B0A94"/>
    <w:rsid w:val="002B6985"/>
    <w:rsid w:val="002C2E0D"/>
    <w:rsid w:val="002E0AF8"/>
    <w:rsid w:val="002E34DE"/>
    <w:rsid w:val="002F1B7B"/>
    <w:rsid w:val="002F35F7"/>
    <w:rsid w:val="002F599F"/>
    <w:rsid w:val="003019E8"/>
    <w:rsid w:val="00306700"/>
    <w:rsid w:val="00310748"/>
    <w:rsid w:val="00324D29"/>
    <w:rsid w:val="0033389C"/>
    <w:rsid w:val="00336F12"/>
    <w:rsid w:val="003475E1"/>
    <w:rsid w:val="00351863"/>
    <w:rsid w:val="00362635"/>
    <w:rsid w:val="00362959"/>
    <w:rsid w:val="003675CD"/>
    <w:rsid w:val="0037008C"/>
    <w:rsid w:val="00374037"/>
    <w:rsid w:val="00381180"/>
    <w:rsid w:val="00391DB1"/>
    <w:rsid w:val="00393B6E"/>
    <w:rsid w:val="003A5006"/>
    <w:rsid w:val="003A64C6"/>
    <w:rsid w:val="003A7D81"/>
    <w:rsid w:val="003B5953"/>
    <w:rsid w:val="003B7A04"/>
    <w:rsid w:val="003C4532"/>
    <w:rsid w:val="003C54A3"/>
    <w:rsid w:val="003D5D89"/>
    <w:rsid w:val="003E0B6C"/>
    <w:rsid w:val="003F4D97"/>
    <w:rsid w:val="0041663A"/>
    <w:rsid w:val="00423001"/>
    <w:rsid w:val="00425E3E"/>
    <w:rsid w:val="00433173"/>
    <w:rsid w:val="0044158D"/>
    <w:rsid w:val="00460047"/>
    <w:rsid w:val="004621A7"/>
    <w:rsid w:val="0046379B"/>
    <w:rsid w:val="00465394"/>
    <w:rsid w:val="00466428"/>
    <w:rsid w:val="00470EF9"/>
    <w:rsid w:val="004769CA"/>
    <w:rsid w:val="004A23C8"/>
    <w:rsid w:val="004A7852"/>
    <w:rsid w:val="004B13D3"/>
    <w:rsid w:val="004B1DB6"/>
    <w:rsid w:val="004B3B04"/>
    <w:rsid w:val="004D3CB0"/>
    <w:rsid w:val="004E17F9"/>
    <w:rsid w:val="0050062D"/>
    <w:rsid w:val="005163DF"/>
    <w:rsid w:val="00532AE4"/>
    <w:rsid w:val="0055025A"/>
    <w:rsid w:val="00553B16"/>
    <w:rsid w:val="0055652F"/>
    <w:rsid w:val="00556AB5"/>
    <w:rsid w:val="00566723"/>
    <w:rsid w:val="0057751D"/>
    <w:rsid w:val="00584B18"/>
    <w:rsid w:val="005A2789"/>
    <w:rsid w:val="005D06EA"/>
    <w:rsid w:val="005E2C94"/>
    <w:rsid w:val="005F18FD"/>
    <w:rsid w:val="0060774F"/>
    <w:rsid w:val="00627479"/>
    <w:rsid w:val="00630A17"/>
    <w:rsid w:val="00637058"/>
    <w:rsid w:val="00645F09"/>
    <w:rsid w:val="0065133F"/>
    <w:rsid w:val="006539A8"/>
    <w:rsid w:val="00677B1A"/>
    <w:rsid w:val="006950C2"/>
    <w:rsid w:val="006B17C5"/>
    <w:rsid w:val="006C6D7C"/>
    <w:rsid w:val="006D09BD"/>
    <w:rsid w:val="006E12CC"/>
    <w:rsid w:val="006F6AF8"/>
    <w:rsid w:val="0073160E"/>
    <w:rsid w:val="00742AA4"/>
    <w:rsid w:val="0074585E"/>
    <w:rsid w:val="00753E99"/>
    <w:rsid w:val="00766A37"/>
    <w:rsid w:val="00767DBB"/>
    <w:rsid w:val="00773578"/>
    <w:rsid w:val="00773D22"/>
    <w:rsid w:val="00780479"/>
    <w:rsid w:val="0078350B"/>
    <w:rsid w:val="00783DDA"/>
    <w:rsid w:val="00796B0F"/>
    <w:rsid w:val="007A445F"/>
    <w:rsid w:val="007D088C"/>
    <w:rsid w:val="007D2A82"/>
    <w:rsid w:val="007D3C43"/>
    <w:rsid w:val="007D3F2E"/>
    <w:rsid w:val="007E57AA"/>
    <w:rsid w:val="007E70CA"/>
    <w:rsid w:val="007F212E"/>
    <w:rsid w:val="00803069"/>
    <w:rsid w:val="008401F5"/>
    <w:rsid w:val="008438D4"/>
    <w:rsid w:val="008441B5"/>
    <w:rsid w:val="00853686"/>
    <w:rsid w:val="00857F0C"/>
    <w:rsid w:val="00860BC4"/>
    <w:rsid w:val="00874750"/>
    <w:rsid w:val="00875171"/>
    <w:rsid w:val="00880CD2"/>
    <w:rsid w:val="00886A5C"/>
    <w:rsid w:val="00887795"/>
    <w:rsid w:val="00892ADC"/>
    <w:rsid w:val="00893818"/>
    <w:rsid w:val="008C05A0"/>
    <w:rsid w:val="008C4532"/>
    <w:rsid w:val="008C4758"/>
    <w:rsid w:val="008E3D07"/>
    <w:rsid w:val="00901D7A"/>
    <w:rsid w:val="009111B7"/>
    <w:rsid w:val="00917ED3"/>
    <w:rsid w:val="00923CA1"/>
    <w:rsid w:val="009478C5"/>
    <w:rsid w:val="00972FCF"/>
    <w:rsid w:val="00993F8C"/>
    <w:rsid w:val="00995AC5"/>
    <w:rsid w:val="009A78AF"/>
    <w:rsid w:val="009D7886"/>
    <w:rsid w:val="009E492F"/>
    <w:rsid w:val="00A01D25"/>
    <w:rsid w:val="00A0491A"/>
    <w:rsid w:val="00A06B9F"/>
    <w:rsid w:val="00A06EE4"/>
    <w:rsid w:val="00A11187"/>
    <w:rsid w:val="00A37F92"/>
    <w:rsid w:val="00A44B2C"/>
    <w:rsid w:val="00A50EFC"/>
    <w:rsid w:val="00A626A4"/>
    <w:rsid w:val="00A66CF0"/>
    <w:rsid w:val="00A818A4"/>
    <w:rsid w:val="00A82D5F"/>
    <w:rsid w:val="00A90BF7"/>
    <w:rsid w:val="00A96349"/>
    <w:rsid w:val="00AA2C7B"/>
    <w:rsid w:val="00AA5717"/>
    <w:rsid w:val="00AC5DDD"/>
    <w:rsid w:val="00AD1221"/>
    <w:rsid w:val="00AE1B44"/>
    <w:rsid w:val="00AF17A5"/>
    <w:rsid w:val="00AF2A20"/>
    <w:rsid w:val="00AF6B21"/>
    <w:rsid w:val="00B0728F"/>
    <w:rsid w:val="00B1136B"/>
    <w:rsid w:val="00B41FCA"/>
    <w:rsid w:val="00B475D3"/>
    <w:rsid w:val="00B53C7E"/>
    <w:rsid w:val="00B7161B"/>
    <w:rsid w:val="00B8452F"/>
    <w:rsid w:val="00B8504D"/>
    <w:rsid w:val="00B87706"/>
    <w:rsid w:val="00B877DD"/>
    <w:rsid w:val="00B87C8B"/>
    <w:rsid w:val="00B96586"/>
    <w:rsid w:val="00BA0A94"/>
    <w:rsid w:val="00BC005E"/>
    <w:rsid w:val="00BC6308"/>
    <w:rsid w:val="00BD223B"/>
    <w:rsid w:val="00BD38ED"/>
    <w:rsid w:val="00BE688D"/>
    <w:rsid w:val="00BE729F"/>
    <w:rsid w:val="00BF7B90"/>
    <w:rsid w:val="00C006A7"/>
    <w:rsid w:val="00C020F9"/>
    <w:rsid w:val="00C0293B"/>
    <w:rsid w:val="00C11E2E"/>
    <w:rsid w:val="00C12EE6"/>
    <w:rsid w:val="00C13CB9"/>
    <w:rsid w:val="00C1507F"/>
    <w:rsid w:val="00C16E0C"/>
    <w:rsid w:val="00C277A0"/>
    <w:rsid w:val="00C3370A"/>
    <w:rsid w:val="00C40193"/>
    <w:rsid w:val="00C4442A"/>
    <w:rsid w:val="00C57D77"/>
    <w:rsid w:val="00C6373A"/>
    <w:rsid w:val="00C765DA"/>
    <w:rsid w:val="00C93A82"/>
    <w:rsid w:val="00CB03C2"/>
    <w:rsid w:val="00CB5B3A"/>
    <w:rsid w:val="00CB65BD"/>
    <w:rsid w:val="00CB73B4"/>
    <w:rsid w:val="00CD111D"/>
    <w:rsid w:val="00CD3C05"/>
    <w:rsid w:val="00CE1BCA"/>
    <w:rsid w:val="00CE2BA0"/>
    <w:rsid w:val="00CE7DEB"/>
    <w:rsid w:val="00CF4F2C"/>
    <w:rsid w:val="00D06622"/>
    <w:rsid w:val="00D06F87"/>
    <w:rsid w:val="00D22B67"/>
    <w:rsid w:val="00D402CD"/>
    <w:rsid w:val="00D517D4"/>
    <w:rsid w:val="00D532FD"/>
    <w:rsid w:val="00D54742"/>
    <w:rsid w:val="00D60D31"/>
    <w:rsid w:val="00D7381D"/>
    <w:rsid w:val="00D73D6B"/>
    <w:rsid w:val="00D74754"/>
    <w:rsid w:val="00D96B72"/>
    <w:rsid w:val="00DA205A"/>
    <w:rsid w:val="00DB6441"/>
    <w:rsid w:val="00DC3254"/>
    <w:rsid w:val="00DD3732"/>
    <w:rsid w:val="00DD3E74"/>
    <w:rsid w:val="00DE0C78"/>
    <w:rsid w:val="00DF071D"/>
    <w:rsid w:val="00E11F6D"/>
    <w:rsid w:val="00E14BFC"/>
    <w:rsid w:val="00E21527"/>
    <w:rsid w:val="00E2170E"/>
    <w:rsid w:val="00E22887"/>
    <w:rsid w:val="00E27000"/>
    <w:rsid w:val="00E42AAB"/>
    <w:rsid w:val="00E468AE"/>
    <w:rsid w:val="00E72ED1"/>
    <w:rsid w:val="00E73398"/>
    <w:rsid w:val="00E82A9D"/>
    <w:rsid w:val="00E840DB"/>
    <w:rsid w:val="00E845AC"/>
    <w:rsid w:val="00E87B56"/>
    <w:rsid w:val="00E955EE"/>
    <w:rsid w:val="00E96852"/>
    <w:rsid w:val="00EB03A5"/>
    <w:rsid w:val="00EC0E3B"/>
    <w:rsid w:val="00ED08DA"/>
    <w:rsid w:val="00ED5BCD"/>
    <w:rsid w:val="00ED5FD2"/>
    <w:rsid w:val="00ED6B14"/>
    <w:rsid w:val="00EE1199"/>
    <w:rsid w:val="00EF0D3A"/>
    <w:rsid w:val="00EF1E54"/>
    <w:rsid w:val="00F02ACB"/>
    <w:rsid w:val="00F07232"/>
    <w:rsid w:val="00F0741B"/>
    <w:rsid w:val="00F15D9B"/>
    <w:rsid w:val="00F2546F"/>
    <w:rsid w:val="00F32A85"/>
    <w:rsid w:val="00F455B7"/>
    <w:rsid w:val="00F561E9"/>
    <w:rsid w:val="00F62E66"/>
    <w:rsid w:val="00F7019B"/>
    <w:rsid w:val="00F712A0"/>
    <w:rsid w:val="00FB2EF6"/>
    <w:rsid w:val="00FB36DC"/>
    <w:rsid w:val="00FE4A37"/>
    <w:rsid w:val="00FF11DF"/>
    <w:rsid w:val="00FF4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FDE66"/>
  <w15:docId w15:val="{17C2AD7A-EBC6-471E-A1BB-45F815FF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6B1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8504D"/>
    <w:pPr>
      <w:tabs>
        <w:tab w:val="center" w:pos="4536"/>
        <w:tab w:val="right" w:pos="9072"/>
      </w:tabs>
    </w:pPr>
  </w:style>
  <w:style w:type="character" w:customStyle="1" w:styleId="NagwekZnak">
    <w:name w:val="Nagłówek Znak"/>
    <w:link w:val="Nagwek"/>
    <w:uiPriority w:val="99"/>
    <w:locked/>
    <w:rsid w:val="00B8504D"/>
    <w:rPr>
      <w:rFonts w:ascii="Times New Roman" w:hAnsi="Times New Roman" w:cs="Times New Roman"/>
      <w:sz w:val="24"/>
      <w:szCs w:val="24"/>
      <w:lang w:eastAsia="pl-PL"/>
    </w:rPr>
  </w:style>
  <w:style w:type="paragraph" w:styleId="Stopka">
    <w:name w:val="footer"/>
    <w:basedOn w:val="Normalny"/>
    <w:link w:val="StopkaZnak"/>
    <w:uiPriority w:val="99"/>
    <w:rsid w:val="00B8504D"/>
    <w:pPr>
      <w:tabs>
        <w:tab w:val="center" w:pos="4536"/>
        <w:tab w:val="right" w:pos="9072"/>
      </w:tabs>
    </w:pPr>
  </w:style>
  <w:style w:type="character" w:customStyle="1" w:styleId="StopkaZnak">
    <w:name w:val="Stopka Znak"/>
    <w:link w:val="Stopka"/>
    <w:uiPriority w:val="99"/>
    <w:locked/>
    <w:rsid w:val="00B8504D"/>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42A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2AA4"/>
    <w:rPr>
      <w:rFonts w:ascii="Segoe UI" w:eastAsia="Times New Roman" w:hAnsi="Segoe UI" w:cs="Segoe UI"/>
      <w:sz w:val="18"/>
      <w:szCs w:val="18"/>
    </w:rPr>
  </w:style>
  <w:style w:type="table" w:styleId="Tabela-Siatka">
    <w:name w:val="Table Grid"/>
    <w:basedOn w:val="Standardowy"/>
    <w:uiPriority w:val="39"/>
    <w:locked/>
    <w:rsid w:val="00E228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9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FDE6E-980F-4764-98B2-24B12FBC099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5AC6236-60AE-4B54-8689-D30C51BE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2199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Jaromin</dc:creator>
  <cp:lastModifiedBy>AUGUSTYN Roman</cp:lastModifiedBy>
  <cp:revision>2</cp:revision>
  <cp:lastPrinted>2022-04-22T08:44:00Z</cp:lastPrinted>
  <dcterms:created xsi:type="dcterms:W3CDTF">2022-05-18T08:58:00Z</dcterms:created>
  <dcterms:modified xsi:type="dcterms:W3CDTF">2022-05-18T08:58:00Z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b08e56cd-1bb3-427e-9fae-9cf5be27af08</vt:lpwstr>
  </property>
  <property fmtid="{D5CDD505-2E9C-101B-9397-08002B2CF9AE}" pid="3" name="bjSaver">
    <vt:lpwstr>A0U0odrOQ/9jL3zaQw2C9PWuuzFo0F0p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