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A92262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87B02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0796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5A2B16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4D20F9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4D20F9">
        <w:rPr>
          <w:rFonts w:asciiTheme="minorHAnsi" w:hAnsiTheme="minorHAnsi" w:cs="Tahoma"/>
          <w:b/>
          <w:bCs/>
          <w:color w:val="000000"/>
          <w:kern w:val="3"/>
          <w:sz w:val="24"/>
        </w:rPr>
        <w:t xml:space="preserve">Oświadczenie </w:t>
      </w:r>
      <w:r w:rsidRPr="004D20F9">
        <w:rPr>
          <w:rFonts w:asciiTheme="minorHAnsi" w:hAnsiTheme="minorHAnsi" w:cs="Tahoma"/>
          <w:b/>
          <w:bCs/>
          <w:kern w:val="3"/>
          <w:sz w:val="24"/>
          <w:szCs w:val="24"/>
        </w:rPr>
        <w:t>podmiotu udostępniającego zasoby</w:t>
      </w:r>
    </w:p>
    <w:p w14:paraId="76E0E0A8" w14:textId="77777777" w:rsidR="004D20F9" w:rsidRPr="005A2B16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5A2B16" w:rsidRDefault="004D20F9" w:rsidP="004D20F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  <w:bookmarkStart w:id="0" w:name="_GoBack"/>
      <w:bookmarkEnd w:id="0"/>
    </w:p>
    <w:p w14:paraId="141FC2BE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17EBD48" w14:textId="77777777" w:rsidR="004D20F9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63026DC" w14:textId="77777777" w:rsidR="004D20F9" w:rsidRPr="005A2B16" w:rsidRDefault="004D20F9" w:rsidP="004D20F9">
      <w:pPr>
        <w:rPr>
          <w:rFonts w:asciiTheme="minorHAnsi" w:eastAsia="Calibri" w:hAnsiTheme="minorHAnsi" w:cs="Arial"/>
          <w:szCs w:val="24"/>
          <w:lang w:eastAsia="en-US"/>
        </w:rPr>
      </w:pPr>
    </w:p>
    <w:p w14:paraId="504F8622" w14:textId="77777777" w:rsidR="004D20F9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5D9B9BE" w14:textId="63927D6C" w:rsidR="004D20F9" w:rsidRPr="004D20F9" w:rsidRDefault="004D20F9" w:rsidP="004D20F9">
      <w:pPr>
        <w:spacing w:after="120" w:line="259" w:lineRule="auto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4D20F9">
        <w:rPr>
          <w:rFonts w:asciiTheme="minorHAnsi" w:hAnsiTheme="minorHAnsi" w:cs="Tahoma"/>
          <w:b/>
          <w:bCs/>
          <w:kern w:val="3"/>
          <w:sz w:val="22"/>
          <w:szCs w:val="24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Default="004D20F9" w:rsidP="004D20F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19D79B4" w14:textId="77777777" w:rsidR="004D20F9" w:rsidRDefault="004D20F9" w:rsidP="004D20F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196734" w:rsidRDefault="004D20F9" w:rsidP="004D20F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FE5D78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p w14:paraId="58547D33" w14:textId="77777777" w:rsidR="004D20F9" w:rsidRDefault="004D20F9" w:rsidP="004D20F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14:paraId="7AFE44CE" w14:textId="77777777" w:rsidTr="00615D9C">
        <w:tc>
          <w:tcPr>
            <w:tcW w:w="562" w:type="dxa"/>
          </w:tcPr>
          <w:p w14:paraId="3C54035A" w14:textId="77777777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NAZWA </w:t>
            </w: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4D20F9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4D20F9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NIP, REGON, KRS PODMIOTU UDOSTĘPNIAJĄCEGO ZASOBY</w:t>
            </w:r>
          </w:p>
        </w:tc>
      </w:tr>
      <w:tr w:rsidR="004D20F9" w14:paraId="33418F3B" w14:textId="77777777" w:rsidTr="00615D9C">
        <w:tc>
          <w:tcPr>
            <w:tcW w:w="562" w:type="dxa"/>
          </w:tcPr>
          <w:p w14:paraId="07A2821C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066159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757C64E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2D5F86DD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4C59D0F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C271AF1" w14:textId="77777777" w:rsidR="004D20F9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D0E6AE0" w14:textId="546EB1A2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443431EA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0B5BEE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,</w:t>
      </w:r>
      <w:r w:rsidR="00D72EDF" w:rsidRPr="00B036EB">
        <w:rPr>
          <w:rFonts w:asciiTheme="minorHAnsi" w:hAnsiTheme="minorHAnsi"/>
          <w:lang w:eastAsia="lt-LT" w:bidi="en-US"/>
        </w:rPr>
        <w:t xml:space="preserve"> 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D72EDF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659CF">
        <w:rPr>
          <w:rFonts w:asciiTheme="minorHAnsi" w:hAnsiTheme="minorHAnsi"/>
          <w:b/>
          <w:color w:val="00000A"/>
          <w:lang w:eastAsia="en-US" w:bidi="en-US"/>
        </w:rPr>
        <w:t>1</w:t>
      </w:r>
      <w:r w:rsidR="00D72EDF">
        <w:rPr>
          <w:rFonts w:asciiTheme="minorHAnsi" w:hAnsiTheme="minorHAnsi"/>
          <w:b/>
          <w:color w:val="00000A"/>
          <w:lang w:eastAsia="en-US" w:bidi="en-US"/>
        </w:rPr>
        <w:t>/</w:t>
      </w:r>
      <w:r w:rsidR="00D72EDF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20796F">
        <w:rPr>
          <w:rFonts w:asciiTheme="minorHAnsi" w:hAnsiTheme="minorHAnsi"/>
          <w:b/>
          <w:color w:val="00000A"/>
          <w:lang w:eastAsia="en-US" w:bidi="en-US"/>
        </w:rPr>
        <w:t>3</w:t>
      </w:r>
      <w:r w:rsidR="00D72EDF" w:rsidRPr="00B036EB">
        <w:rPr>
          <w:rFonts w:asciiTheme="minorHAnsi" w:hAnsiTheme="minorHAnsi"/>
          <w:b/>
          <w:bCs/>
          <w:lang w:eastAsia="en-US" w:bidi="en-US"/>
        </w:rPr>
        <w:t>”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</w:t>
      </w:r>
      <w:r w:rsidRPr="00A42D3D">
        <w:rPr>
          <w:rFonts w:asciiTheme="minorHAnsi" w:hAnsiTheme="minorHAnsi"/>
          <w:szCs w:val="21"/>
        </w:rPr>
        <w:lastRenderedPageBreak/>
        <w:t>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245264B0" w14:textId="77777777" w:rsidR="000B5BEE" w:rsidRPr="00194C61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07ED6937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budowlano - architektonicznej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39EA1C14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instalacji 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wodno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– kanalizacyjnych, ciepłowniczych, wentylacji i klimatyzacji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(dwieście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6543EE79" w14:textId="77777777" w:rsidR="000B5BEE" w:rsidRDefault="000B5BEE" w:rsidP="000B5BEE">
      <w:pPr>
        <w:pStyle w:val="SIWZ2"/>
        <w:widowControl/>
        <w:numPr>
          <w:ilvl w:val="0"/>
          <w:numId w:val="43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elektrycznej w zakresie sieci, instalacji i urządzeń elektrycznych i elektroenergetycznych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 xml:space="preserve">.000,00 PLN netto </w:t>
      </w:r>
      <w:r>
        <w:rPr>
          <w:rFonts w:asciiTheme="minorHAnsi" w:hAnsiTheme="minorHAnsi"/>
          <w:sz w:val="20"/>
          <w:szCs w:val="20"/>
        </w:rPr>
        <w:t>(pięćset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200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7A209589" w14:textId="77777777" w:rsidR="000B5BEE" w:rsidRDefault="000B5BEE" w:rsidP="000B5BEE">
      <w:pPr>
        <w:pStyle w:val="SIWZ2"/>
        <w:widowControl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4F159318" w14:textId="77777777" w:rsidR="000B5BEE" w:rsidRPr="00B11184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uprawniona do pełnienia samodzielnych funkcji w budownictwie do kierowania budową </w:t>
      </w:r>
      <w:r w:rsidRPr="00B11184">
        <w:rPr>
          <w:rFonts w:asciiTheme="minorHAnsi" w:hAnsiTheme="minorHAnsi"/>
          <w:sz w:val="20"/>
          <w:szCs w:val="20"/>
        </w:rPr>
        <w:t>posiadająca uprawnienia budowlane</w:t>
      </w:r>
      <w:r>
        <w:rPr>
          <w:rFonts w:asciiTheme="minorHAnsi" w:hAnsiTheme="minorHAnsi"/>
          <w:sz w:val="20"/>
          <w:szCs w:val="20"/>
        </w:rPr>
        <w:t xml:space="preserve"> w specjalności konstrukcyjno budowlanej</w:t>
      </w:r>
    </w:p>
    <w:p w14:paraId="09B8CFF8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120F252E" w14:textId="77777777" w:rsidR="000B5BEE" w:rsidRDefault="000B5BEE" w:rsidP="000B5BEE">
      <w:pPr>
        <w:pStyle w:val="SIWZ2"/>
        <w:widowControl/>
        <w:numPr>
          <w:ilvl w:val="0"/>
          <w:numId w:val="50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</w:t>
      </w:r>
      <w:r>
        <w:rPr>
          <w:rFonts w:asciiTheme="minorHAnsi" w:hAnsiTheme="minorHAnsi"/>
          <w:sz w:val="20"/>
          <w:szCs w:val="20"/>
        </w:rPr>
        <w:t>w specjalności branży instalacyjnej w zakresie sieci, instalacji i urządzeń elektrycznych i elektroenergetycznych.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D20F9">
      <w:fldChar w:fldCharType="begin"/>
    </w:r>
    <w:r w:rsidR="004D20F9">
      <w:instrText>NUMPAGES  \* Arabic  \* MERGEFORMAT</w:instrText>
    </w:r>
    <w:r w:rsidR="004D20F9">
      <w:fldChar w:fldCharType="separate"/>
    </w:r>
    <w:r w:rsidR="00FF5901">
      <w:rPr>
        <w:noProof/>
      </w:rPr>
      <w:t>1</w:t>
    </w:r>
    <w:r w:rsidR="004D20F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0796F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D3BBD-DD11-4422-BF0B-3FE20522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2023-01-16T09:20:00Z</dcterms:created>
  <dcterms:modified xsi:type="dcterms:W3CDTF">2023-01-16T10:02:00Z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