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1E88" w14:textId="77777777" w:rsidR="00EF6E04" w:rsidRDefault="00EF6E04">
      <w:pPr>
        <w:rPr>
          <w:rFonts w:ascii="Arial" w:hAnsi="Arial"/>
          <w:sz w:val="22"/>
          <w:szCs w:val="22"/>
        </w:rPr>
      </w:pPr>
    </w:p>
    <w:p w14:paraId="7EB20046" w14:textId="18E0E9FB" w:rsidR="00EF6E04" w:rsidRDefault="006718E7"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Stronie Śląskie, </w:t>
      </w:r>
      <w:r w:rsidR="004F5119">
        <w:rPr>
          <w:rFonts w:ascii="Arial" w:hAnsi="Arial"/>
          <w:color w:val="000000"/>
          <w:sz w:val="22"/>
          <w:szCs w:val="22"/>
        </w:rPr>
        <w:t xml:space="preserve">09.05.2024 </w:t>
      </w:r>
      <w:r>
        <w:rPr>
          <w:rFonts w:ascii="Arial" w:hAnsi="Arial"/>
          <w:color w:val="000000"/>
          <w:sz w:val="22"/>
          <w:szCs w:val="22"/>
        </w:rPr>
        <w:t>r.</w:t>
      </w:r>
    </w:p>
    <w:p w14:paraId="0DC17877" w14:textId="77777777" w:rsidR="00EF6E04" w:rsidRDefault="00EF6E04">
      <w:pPr>
        <w:rPr>
          <w:rFonts w:ascii="Arial" w:hAnsi="Arial"/>
          <w:color w:val="000000"/>
          <w:sz w:val="22"/>
          <w:szCs w:val="22"/>
        </w:rPr>
      </w:pPr>
    </w:p>
    <w:p w14:paraId="52372A99" w14:textId="77777777" w:rsidR="00EF6E04" w:rsidRPr="003C0815" w:rsidRDefault="006718E7">
      <w:pPr>
        <w:rPr>
          <w:rFonts w:ascii="Arial" w:hAnsi="Arial" w:cs="Arial"/>
          <w:sz w:val="22"/>
          <w:szCs w:val="22"/>
        </w:rPr>
      </w:pPr>
      <w:r w:rsidRPr="003C0815">
        <w:rPr>
          <w:rFonts w:ascii="Arial" w:hAnsi="Arial" w:cs="Arial"/>
          <w:color w:val="000000"/>
          <w:sz w:val="22"/>
          <w:szCs w:val="22"/>
        </w:rPr>
        <w:t>Dotyczy: postępowania o udzielenie zamówienia publicznego, prowadzonego w trybie</w:t>
      </w:r>
    </w:p>
    <w:p w14:paraId="417DA548" w14:textId="77777777" w:rsidR="004F5119" w:rsidRDefault="006718E7" w:rsidP="004F5119">
      <w:pPr>
        <w:rPr>
          <w:rFonts w:ascii="Arial" w:hAnsi="Arial" w:cs="Arial"/>
          <w:color w:val="000000"/>
          <w:sz w:val="22"/>
          <w:szCs w:val="22"/>
        </w:rPr>
      </w:pPr>
      <w:r w:rsidRPr="003C0815">
        <w:rPr>
          <w:rFonts w:ascii="Arial" w:hAnsi="Arial" w:cs="Arial"/>
          <w:color w:val="000000"/>
          <w:sz w:val="22"/>
          <w:szCs w:val="22"/>
        </w:rPr>
        <w:t xml:space="preserve">podstawowym bez negocjacji </w:t>
      </w:r>
    </w:p>
    <w:p w14:paraId="629C758E" w14:textId="0C3AA34F" w:rsidR="00EF6E04" w:rsidRPr="003C0815" w:rsidRDefault="004F5119" w:rsidP="004F5119">
      <w:pPr>
        <w:rPr>
          <w:rFonts w:ascii="Arial" w:hAnsi="Arial" w:cs="Arial"/>
          <w:color w:val="000000"/>
          <w:sz w:val="22"/>
          <w:szCs w:val="22"/>
        </w:rPr>
      </w:pPr>
      <w:r w:rsidRPr="004F5119">
        <w:rPr>
          <w:rFonts w:ascii="Arial" w:hAnsi="Arial" w:cs="Arial"/>
          <w:color w:val="000000"/>
          <w:sz w:val="22"/>
          <w:szCs w:val="22"/>
        </w:rPr>
        <w:t>NR REJ. ZP.231.6/2024, Dostawa artykułów spożywczych (na 12 miesięcy)</w:t>
      </w:r>
    </w:p>
    <w:p w14:paraId="2756A1E7" w14:textId="77777777" w:rsidR="00EF6E04" w:rsidRPr="003C0815" w:rsidRDefault="006718E7">
      <w:pPr>
        <w:rPr>
          <w:rFonts w:ascii="Arial" w:hAnsi="Arial" w:cs="Arial"/>
          <w:sz w:val="22"/>
          <w:szCs w:val="22"/>
        </w:rPr>
      </w:pPr>
      <w:r w:rsidRPr="003C0815">
        <w:rPr>
          <w:rFonts w:ascii="Arial" w:hAnsi="Arial" w:cs="Arial"/>
          <w:color w:val="000000"/>
          <w:sz w:val="22"/>
          <w:szCs w:val="22"/>
        </w:rPr>
        <w:t>W</w:t>
      </w:r>
      <w:r w:rsidRPr="003C0815">
        <w:rPr>
          <w:rFonts w:ascii="Arial" w:hAnsi="Arial" w:cs="Arial"/>
          <w:color w:val="000000"/>
          <w:sz w:val="22"/>
          <w:szCs w:val="22"/>
        </w:rPr>
        <w:t>YJAŚNIENIE TREŚCI SWZ</w:t>
      </w:r>
    </w:p>
    <w:p w14:paraId="418DE22D" w14:textId="77777777" w:rsidR="00EF6E04" w:rsidRDefault="00EF6E04">
      <w:pPr>
        <w:rPr>
          <w:rFonts w:ascii="Arial" w:hAnsi="Arial"/>
          <w:color w:val="000000"/>
          <w:sz w:val="22"/>
          <w:szCs w:val="22"/>
        </w:rPr>
      </w:pPr>
    </w:p>
    <w:p w14:paraId="428B85A3" w14:textId="77777777" w:rsidR="006718E7" w:rsidRDefault="006718E7" w:rsidP="003C0815">
      <w:pPr>
        <w:jc w:val="both"/>
        <w:rPr>
          <w:rFonts w:ascii="Arial" w:hAnsi="Arial"/>
          <w:color w:val="000000"/>
          <w:sz w:val="22"/>
          <w:szCs w:val="22"/>
        </w:rPr>
      </w:pPr>
    </w:p>
    <w:p w14:paraId="7CB1F950" w14:textId="77777777" w:rsidR="006718E7" w:rsidRDefault="006718E7" w:rsidP="003C0815">
      <w:pPr>
        <w:jc w:val="both"/>
        <w:rPr>
          <w:rFonts w:ascii="Arial" w:hAnsi="Arial"/>
          <w:color w:val="000000"/>
          <w:sz w:val="22"/>
          <w:szCs w:val="22"/>
        </w:rPr>
      </w:pPr>
    </w:p>
    <w:p w14:paraId="3D24E29F" w14:textId="77777777" w:rsidR="006718E7" w:rsidRDefault="006718E7" w:rsidP="003C0815">
      <w:pPr>
        <w:jc w:val="both"/>
        <w:rPr>
          <w:rFonts w:ascii="Arial" w:hAnsi="Arial"/>
          <w:color w:val="000000"/>
          <w:sz w:val="22"/>
          <w:szCs w:val="22"/>
        </w:rPr>
      </w:pPr>
    </w:p>
    <w:p w14:paraId="7B2AA838" w14:textId="52B677F5" w:rsidR="00EF6E04" w:rsidRDefault="006718E7" w:rsidP="003C08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Zamawiający działając na podstawie art. 284 ust. 2 ustawy z dnia 11 września 2019 r.</w:t>
      </w:r>
    </w:p>
    <w:p w14:paraId="2E845E50" w14:textId="1FA15463" w:rsidR="00EF6E04" w:rsidRDefault="006718E7" w:rsidP="003C0815">
      <w:pPr>
        <w:jc w:val="both"/>
      </w:pPr>
      <w:r>
        <w:rPr>
          <w:rFonts w:ascii="Arial" w:hAnsi="Arial"/>
          <w:color w:val="000000"/>
          <w:sz w:val="22"/>
          <w:szCs w:val="22"/>
        </w:rPr>
        <w:t>Prawo zamówień publicznych (</w:t>
      </w:r>
      <w:r w:rsidR="003C0815" w:rsidRPr="003C0815">
        <w:rPr>
          <w:rFonts w:ascii="Arial" w:hAnsi="Arial"/>
          <w:color w:val="000000"/>
          <w:sz w:val="22"/>
          <w:szCs w:val="22"/>
        </w:rPr>
        <w:t>Dz. U. z 2023 r., poz. 1605 ze zm.</w:t>
      </w:r>
      <w:r>
        <w:rPr>
          <w:rFonts w:ascii="Arial" w:hAnsi="Arial"/>
          <w:color w:val="000000"/>
          <w:sz w:val="22"/>
          <w:szCs w:val="22"/>
        </w:rPr>
        <w:t>) wyjaśnia treść Specyfikacji</w:t>
      </w:r>
    </w:p>
    <w:p w14:paraId="2722E12E" w14:textId="77777777" w:rsidR="00EF6E04" w:rsidRDefault="006718E7" w:rsidP="003C08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Warunków Zamówienia w odpowiedzi na złożone zapytania Wykonawców: </w:t>
      </w:r>
    </w:p>
    <w:p w14:paraId="78AEB9B0" w14:textId="3368EDAC" w:rsidR="004F5119" w:rsidRPr="004F5119" w:rsidRDefault="006718E7" w:rsidP="004F5119">
      <w:pPr>
        <w:jc w:val="both"/>
        <w:rPr>
          <w:rFonts w:ascii="Arial" w:hAnsi="Arial" w:cs="Mangal"/>
          <w:color w:val="000000"/>
          <w:sz w:val="22"/>
          <w:szCs w:val="22"/>
        </w:rPr>
      </w:pPr>
      <w:r>
        <w:rPr>
          <w:rFonts w:ascii="Arial" w:hAnsi="Arial" w:cs="Mangal"/>
          <w:color w:val="000000"/>
          <w:sz w:val="22"/>
          <w:szCs w:val="22"/>
        </w:rPr>
        <w:t>„</w:t>
      </w:r>
      <w:r w:rsidR="004F5119" w:rsidRPr="004F5119">
        <w:rPr>
          <w:rFonts w:ascii="Arial" w:hAnsi="Arial" w:cs="Mangal"/>
          <w:color w:val="000000"/>
          <w:sz w:val="22"/>
          <w:szCs w:val="22"/>
        </w:rPr>
        <w:t>Proszę o informację czy Zamawiający wyrazi zgodę na produkty w n/w gramaturach w proporcjonalnym przeliczeniu:</w:t>
      </w:r>
    </w:p>
    <w:p w14:paraId="62169763" w14:textId="77777777" w:rsidR="004F5119" w:rsidRPr="004F5119" w:rsidRDefault="004F5119" w:rsidP="004F5119">
      <w:pPr>
        <w:jc w:val="both"/>
        <w:rPr>
          <w:rFonts w:ascii="Arial" w:hAnsi="Arial" w:cs="Mangal"/>
          <w:color w:val="000000"/>
          <w:sz w:val="22"/>
          <w:szCs w:val="22"/>
        </w:rPr>
      </w:pPr>
      <w:r w:rsidRPr="004F5119">
        <w:rPr>
          <w:rFonts w:ascii="Arial" w:hAnsi="Arial" w:cs="Mangal"/>
          <w:color w:val="000000"/>
          <w:sz w:val="22"/>
          <w:szCs w:val="22"/>
        </w:rPr>
        <w:t>Poz. 19 dynia-pestki łuskane – 300g</w:t>
      </w:r>
    </w:p>
    <w:p w14:paraId="17BA93F3" w14:textId="77777777" w:rsidR="004F5119" w:rsidRPr="004F5119" w:rsidRDefault="004F5119" w:rsidP="004F5119">
      <w:pPr>
        <w:jc w:val="both"/>
        <w:rPr>
          <w:rFonts w:ascii="Arial" w:hAnsi="Arial" w:cs="Mangal"/>
          <w:color w:val="000000"/>
          <w:sz w:val="22"/>
          <w:szCs w:val="22"/>
        </w:rPr>
      </w:pPr>
      <w:r w:rsidRPr="004F5119">
        <w:rPr>
          <w:rFonts w:ascii="Arial" w:hAnsi="Arial" w:cs="Mangal"/>
          <w:color w:val="000000"/>
          <w:sz w:val="22"/>
          <w:szCs w:val="22"/>
        </w:rPr>
        <w:t>Poz. 100 powidła śliwkowe – 290g</w:t>
      </w:r>
    </w:p>
    <w:p w14:paraId="6BCA82BA" w14:textId="77777777" w:rsidR="004F5119" w:rsidRPr="004F5119" w:rsidRDefault="004F5119" w:rsidP="004F5119">
      <w:pPr>
        <w:jc w:val="both"/>
        <w:rPr>
          <w:rFonts w:ascii="Arial" w:hAnsi="Arial" w:cs="Mangal"/>
          <w:color w:val="000000"/>
          <w:sz w:val="22"/>
          <w:szCs w:val="22"/>
        </w:rPr>
      </w:pPr>
      <w:r w:rsidRPr="004F5119">
        <w:rPr>
          <w:rFonts w:ascii="Arial" w:hAnsi="Arial" w:cs="Mangal"/>
          <w:color w:val="000000"/>
          <w:sz w:val="22"/>
          <w:szCs w:val="22"/>
        </w:rPr>
        <w:t>Poz. 101 proszek do pieczenia – 36g</w:t>
      </w:r>
    </w:p>
    <w:p w14:paraId="57C3A64B" w14:textId="59C92E8F" w:rsidR="004F5119" w:rsidRDefault="004F5119" w:rsidP="004F5119">
      <w:pPr>
        <w:jc w:val="both"/>
        <w:rPr>
          <w:rFonts w:ascii="Arial" w:hAnsi="Arial" w:cs="Mangal"/>
          <w:color w:val="000000"/>
          <w:sz w:val="22"/>
          <w:szCs w:val="22"/>
        </w:rPr>
      </w:pPr>
      <w:r w:rsidRPr="004F5119">
        <w:rPr>
          <w:rFonts w:ascii="Arial" w:hAnsi="Arial" w:cs="Mangal"/>
          <w:color w:val="000000"/>
          <w:sz w:val="22"/>
          <w:szCs w:val="22"/>
        </w:rPr>
        <w:t>Poz. 110 słonecznik – ziarna łuskane – 300g</w:t>
      </w:r>
      <w:r w:rsidR="006718E7">
        <w:rPr>
          <w:rFonts w:ascii="Arial" w:hAnsi="Arial" w:cs="Mangal"/>
          <w:color w:val="000000"/>
          <w:sz w:val="22"/>
          <w:szCs w:val="22"/>
        </w:rPr>
        <w:t>”</w:t>
      </w:r>
    </w:p>
    <w:p w14:paraId="43FC48BA" w14:textId="2BBD6D7B" w:rsidR="003C0815" w:rsidRPr="003C0815" w:rsidRDefault="003C0815" w:rsidP="004F5119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Odp. </w:t>
      </w:r>
      <w:r w:rsidRPr="003C0815">
        <w:rPr>
          <w:rFonts w:ascii="Arial" w:hAnsi="Arial"/>
          <w:color w:val="000000"/>
          <w:sz w:val="22"/>
          <w:szCs w:val="22"/>
        </w:rPr>
        <w:t>Zamawiający dopuszcza, ale nie wymaga złożenia oferty na</w:t>
      </w:r>
      <w:r w:rsidRPr="003C0815">
        <w:t xml:space="preserve"> </w:t>
      </w:r>
      <w:r w:rsidR="004F5119">
        <w:rPr>
          <w:rFonts w:ascii="Arial" w:hAnsi="Arial"/>
          <w:color w:val="000000"/>
          <w:sz w:val="22"/>
          <w:szCs w:val="22"/>
        </w:rPr>
        <w:t>w/w artykuły</w:t>
      </w:r>
      <w:r>
        <w:rPr>
          <w:rFonts w:ascii="Arial" w:hAnsi="Arial"/>
          <w:color w:val="000000"/>
          <w:sz w:val="22"/>
          <w:szCs w:val="22"/>
        </w:rPr>
        <w:t>, z odpowiednim przeliczeniem zamawianej ilości w/w artykuł</w:t>
      </w:r>
      <w:r w:rsidR="0095672B">
        <w:rPr>
          <w:rFonts w:ascii="Arial" w:hAnsi="Arial"/>
          <w:color w:val="000000"/>
          <w:sz w:val="22"/>
          <w:szCs w:val="22"/>
        </w:rPr>
        <w:t>ów</w:t>
      </w:r>
      <w:r>
        <w:rPr>
          <w:rFonts w:ascii="Arial" w:hAnsi="Arial"/>
          <w:color w:val="000000"/>
          <w:sz w:val="22"/>
          <w:szCs w:val="22"/>
        </w:rPr>
        <w:t xml:space="preserve">. </w:t>
      </w:r>
      <w:r w:rsidRPr="003C0815">
        <w:rPr>
          <w:rFonts w:ascii="Arial" w:hAnsi="Arial"/>
          <w:color w:val="000000"/>
          <w:sz w:val="22"/>
          <w:szCs w:val="22"/>
        </w:rPr>
        <w:t xml:space="preserve">Przy określaniu </w:t>
      </w:r>
      <w:r>
        <w:rPr>
          <w:rFonts w:ascii="Arial" w:hAnsi="Arial"/>
          <w:color w:val="000000"/>
          <w:sz w:val="22"/>
          <w:szCs w:val="22"/>
        </w:rPr>
        <w:t xml:space="preserve">liczby </w:t>
      </w:r>
      <w:r w:rsidRPr="003C0815">
        <w:rPr>
          <w:rFonts w:ascii="Arial" w:hAnsi="Arial"/>
          <w:color w:val="000000"/>
          <w:sz w:val="22"/>
          <w:szCs w:val="22"/>
        </w:rPr>
        <w:t>opakowań, gdy wielkość produktu w opakowaniach nie przystaje do opisu wielkości w formularzu cenowym, Zamawiający wymaga, aby Wykonawca wycenił ułamkową ilość opakowań, zgodną z podaną wielkością w formularzu ofertowym, co spowoduje jednoznaczne podejście do oceny ofert a także spowoduje brak wątpliwości, co wyceny składanych ofert na leki, zaokrąglenia liczby ułamkowej opakowań należy dokonać do dwóch miejsc po przecinku według zasady, że trzecia cyfra po przecinku od 5 w górę powoduje zaokrąglenie drugiej cyfry po przecinku w górę o 1, a jeżeli trzecia cyfra po przecinku jest niższa od 5, to druga cyfra po przecinku nie ulega zmianie.</w:t>
      </w:r>
    </w:p>
    <w:p w14:paraId="3490FC89" w14:textId="77777777" w:rsidR="00EF6E04" w:rsidRDefault="00EF6E04">
      <w:pPr>
        <w:pStyle w:val="Akapitzlist"/>
        <w:rPr>
          <w:rFonts w:ascii="Arial" w:hAnsi="Arial" w:cstheme="minorHAnsi"/>
          <w:color w:val="000000"/>
          <w:sz w:val="22"/>
          <w:szCs w:val="22"/>
        </w:rPr>
      </w:pPr>
    </w:p>
    <w:p w14:paraId="43FCD03B" w14:textId="77777777" w:rsidR="006718E7" w:rsidRDefault="006718E7">
      <w:pPr>
        <w:pStyle w:val="Akapitzlist"/>
        <w:rPr>
          <w:rFonts w:ascii="Arial" w:hAnsi="Arial" w:cstheme="minorHAnsi"/>
          <w:color w:val="000000"/>
          <w:sz w:val="22"/>
          <w:szCs w:val="22"/>
        </w:rPr>
      </w:pPr>
      <w:r>
        <w:rPr>
          <w:rFonts w:ascii="Arial" w:hAnsi="Arial" w:cstheme="minorHAnsi"/>
          <w:color w:val="000000"/>
          <w:sz w:val="22"/>
          <w:szCs w:val="22"/>
        </w:rPr>
        <w:tab/>
      </w:r>
      <w:r>
        <w:rPr>
          <w:rFonts w:ascii="Arial" w:hAnsi="Arial" w:cstheme="minorHAnsi"/>
          <w:color w:val="000000"/>
          <w:sz w:val="22"/>
          <w:szCs w:val="22"/>
        </w:rPr>
        <w:tab/>
      </w:r>
      <w:r>
        <w:rPr>
          <w:rFonts w:ascii="Arial" w:hAnsi="Arial" w:cstheme="minorHAnsi"/>
          <w:color w:val="000000"/>
          <w:sz w:val="22"/>
          <w:szCs w:val="22"/>
        </w:rPr>
        <w:tab/>
      </w:r>
      <w:r>
        <w:rPr>
          <w:rFonts w:ascii="Arial" w:hAnsi="Arial" w:cstheme="minorHAnsi"/>
          <w:color w:val="000000"/>
          <w:sz w:val="22"/>
          <w:szCs w:val="22"/>
        </w:rPr>
        <w:tab/>
      </w:r>
    </w:p>
    <w:p w14:paraId="5F626237" w14:textId="77777777" w:rsidR="006718E7" w:rsidRDefault="006718E7">
      <w:pPr>
        <w:pStyle w:val="Akapitzlist"/>
        <w:rPr>
          <w:rFonts w:ascii="Arial" w:hAnsi="Arial" w:cstheme="minorHAnsi"/>
          <w:color w:val="000000"/>
          <w:sz w:val="22"/>
          <w:szCs w:val="22"/>
        </w:rPr>
      </w:pPr>
    </w:p>
    <w:p w14:paraId="39E69F4C" w14:textId="77777777" w:rsidR="006718E7" w:rsidRDefault="006718E7">
      <w:pPr>
        <w:pStyle w:val="Akapitzlist"/>
        <w:rPr>
          <w:rFonts w:ascii="Arial" w:hAnsi="Arial" w:cstheme="minorHAnsi"/>
          <w:color w:val="000000"/>
          <w:sz w:val="22"/>
          <w:szCs w:val="22"/>
        </w:rPr>
      </w:pPr>
    </w:p>
    <w:p w14:paraId="3934D8A1" w14:textId="5C5EBF88" w:rsidR="00EF6E04" w:rsidRDefault="006718E7">
      <w:pPr>
        <w:pStyle w:val="Akapitzlist"/>
        <w:rPr>
          <w:rFonts w:ascii="Arial" w:hAnsi="Arial" w:cstheme="minorHAnsi"/>
          <w:color w:val="000000"/>
          <w:sz w:val="22"/>
          <w:szCs w:val="22"/>
        </w:rPr>
      </w:pPr>
      <w:r>
        <w:rPr>
          <w:rFonts w:ascii="Arial" w:hAnsi="Arial" w:cstheme="minorHAnsi"/>
          <w:color w:val="000000"/>
          <w:sz w:val="22"/>
          <w:szCs w:val="22"/>
        </w:rPr>
        <w:t>Z poważaniem</w:t>
      </w:r>
    </w:p>
    <w:p w14:paraId="3B676F8E" w14:textId="77777777" w:rsidR="00EF6E04" w:rsidRDefault="00EF6E04">
      <w:pPr>
        <w:pStyle w:val="Akapitzlist"/>
        <w:ind w:left="360"/>
      </w:pPr>
    </w:p>
    <w:sectPr w:rsidR="00EF6E04">
      <w:pgSz w:w="11906" w:h="16838"/>
      <w:pgMar w:top="1134" w:right="1121" w:bottom="1134" w:left="1155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6724B"/>
    <w:multiLevelType w:val="hybridMultilevel"/>
    <w:tmpl w:val="B2D8A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E04"/>
    <w:rsid w:val="003C0815"/>
    <w:rsid w:val="004F5119"/>
    <w:rsid w:val="006718E7"/>
    <w:rsid w:val="006920A1"/>
    <w:rsid w:val="0095672B"/>
    <w:rsid w:val="00EF6E04"/>
    <w:rsid w:val="00F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7FBE"/>
  <w15:docId w15:val="{CB7A7708-9DA8-4834-8A4B-1765C61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F3"/>
    <w:pPr>
      <w:spacing w:line="271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b/>
      <w:sz w:val="20"/>
    </w:rPr>
  </w:style>
  <w:style w:type="character" w:customStyle="1" w:styleId="ListLabel2">
    <w:name w:val="ListLabel 2"/>
    <w:qFormat/>
    <w:rPr>
      <w:rFonts w:eastAsia="Calibri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10AF3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16</cp:revision>
  <cp:lastPrinted>2024-05-09T05:56:00Z</cp:lastPrinted>
  <dcterms:created xsi:type="dcterms:W3CDTF">2021-06-24T07:53:00Z</dcterms:created>
  <dcterms:modified xsi:type="dcterms:W3CDTF">2024-05-09T05:57:00Z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