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9C82" w14:textId="1B508721" w:rsidR="005B4323" w:rsidRPr="005B4323" w:rsidRDefault="005B4323" w:rsidP="005B4323">
      <w:pPr>
        <w:pStyle w:val="Default"/>
        <w:jc w:val="both"/>
        <w:rPr>
          <w:b/>
          <w:bCs/>
        </w:rPr>
      </w:pPr>
      <w:r w:rsidRPr="005B4323">
        <w:rPr>
          <w:b/>
          <w:bCs/>
        </w:rPr>
        <w:t>Pytanie z 05.06.2023 r.</w:t>
      </w:r>
    </w:p>
    <w:p w14:paraId="2DE1F74B" w14:textId="77777777" w:rsidR="005B4323" w:rsidRPr="005B4323" w:rsidRDefault="005B4323" w:rsidP="005B4323">
      <w:pPr>
        <w:pStyle w:val="Default"/>
        <w:jc w:val="both"/>
      </w:pPr>
    </w:p>
    <w:p w14:paraId="0CEDEFD6" w14:textId="50D8B7B6" w:rsidR="005B4323" w:rsidRPr="005B4323" w:rsidRDefault="005B4323" w:rsidP="005B4323">
      <w:pPr>
        <w:pStyle w:val="Default"/>
        <w:jc w:val="both"/>
      </w:pPr>
      <w:r w:rsidRPr="005B4323">
        <w:rPr>
          <w:b/>
          <w:bCs/>
        </w:rPr>
        <w:t xml:space="preserve">Dotyczy: RG.V.271.4.2023 Remont kompleksu sportowego "Moje boisko Orlik - 2012" w Lubaszu </w:t>
      </w:r>
    </w:p>
    <w:p w14:paraId="1F169898" w14:textId="77777777" w:rsidR="005B4323" w:rsidRPr="005B4323" w:rsidRDefault="005B4323" w:rsidP="005B4323">
      <w:pPr>
        <w:pStyle w:val="Default"/>
        <w:jc w:val="both"/>
      </w:pPr>
      <w:r w:rsidRPr="005B4323">
        <w:t xml:space="preserve">W związku z prowadzonym postępowaniem przetargowym na wyżej wymienione zadanie wnosimy o dopuszczenie wariantu sztucznej trawy o parametrach wskazanych poniżej, jako rozwiązania równoważnego. Działanie takie przełoży się na zwiększoną liczbę złożonych ofert i realniejsze wyceny Wykonawców, którzy będą mogli wybrać odpowiednią nawierzchnię spośród większej liczby produktów. </w:t>
      </w:r>
    </w:p>
    <w:p w14:paraId="40E8CD5F" w14:textId="77777777" w:rsidR="005B4323" w:rsidRPr="005B4323" w:rsidRDefault="005B4323" w:rsidP="005B4323">
      <w:pPr>
        <w:pStyle w:val="Default"/>
        <w:jc w:val="both"/>
      </w:pPr>
      <w:r w:rsidRPr="005B4323">
        <w:rPr>
          <w:b/>
          <w:bCs/>
        </w:rPr>
        <w:t xml:space="preserve">W związku z powyższym w ramach rozszerzenia konkurencyjności, prosimy o dopuszczenie ogólnodostępnej na rynku trawy o poniższych parametrach, jako rozwiązania równoważnego: </w:t>
      </w:r>
    </w:p>
    <w:p w14:paraId="3E1B7A4C" w14:textId="77777777" w:rsidR="005B4323" w:rsidRPr="005B4323" w:rsidRDefault="005B4323" w:rsidP="005B4323">
      <w:pPr>
        <w:pStyle w:val="Default"/>
        <w:jc w:val="both"/>
      </w:pPr>
      <w:r w:rsidRPr="005B4323">
        <w:t xml:space="preserve">a) skład włókna: polietylen (PE) 100%, </w:t>
      </w:r>
    </w:p>
    <w:p w14:paraId="3F2F85B5" w14:textId="77777777" w:rsidR="005B4323" w:rsidRPr="005B4323" w:rsidRDefault="005B4323" w:rsidP="005B4323">
      <w:pPr>
        <w:pStyle w:val="Default"/>
        <w:jc w:val="both"/>
      </w:pPr>
      <w:r w:rsidRPr="005B4323">
        <w:t xml:space="preserve">b) rodzaj i przekrój włókna: włókna </w:t>
      </w:r>
      <w:proofErr w:type="spellStart"/>
      <w:r w:rsidRPr="005B4323">
        <w:t>monofilowe</w:t>
      </w:r>
      <w:proofErr w:type="spellEnd"/>
      <w:r w:rsidRPr="005B4323">
        <w:t xml:space="preserve"> (100%), o przekroju diamentu, wzmocnione rdzeniem zapewniające wyjątkową sztywność i wytrzymałość. </w:t>
      </w:r>
    </w:p>
    <w:p w14:paraId="1D295144" w14:textId="77777777" w:rsidR="005B4323" w:rsidRPr="005B4323" w:rsidRDefault="005B4323" w:rsidP="005B4323">
      <w:pPr>
        <w:pStyle w:val="Default"/>
        <w:jc w:val="both"/>
      </w:pPr>
      <w:r w:rsidRPr="005B4323">
        <w:t xml:space="preserve">c) wysokość włókna: 60 mm </w:t>
      </w:r>
    </w:p>
    <w:p w14:paraId="551F4F61" w14:textId="77777777" w:rsidR="005B4323" w:rsidRPr="005B4323" w:rsidRDefault="005B4323" w:rsidP="005B4323">
      <w:pPr>
        <w:pStyle w:val="Default"/>
        <w:jc w:val="both"/>
      </w:pPr>
      <w:r w:rsidRPr="005B4323">
        <w:t xml:space="preserve">d) grubość włókna: min. 370 </w:t>
      </w:r>
      <w:proofErr w:type="spellStart"/>
      <w:r w:rsidRPr="005B4323">
        <w:t>μm</w:t>
      </w:r>
      <w:proofErr w:type="spellEnd"/>
      <w:r w:rsidRPr="005B4323">
        <w:t xml:space="preserve">, </w:t>
      </w:r>
    </w:p>
    <w:p w14:paraId="2D35267D" w14:textId="77777777" w:rsidR="005B4323" w:rsidRPr="005B4323" w:rsidRDefault="005B4323" w:rsidP="005B4323">
      <w:pPr>
        <w:pStyle w:val="Default"/>
        <w:jc w:val="both"/>
      </w:pPr>
      <w:r w:rsidRPr="005B4323">
        <w:t xml:space="preserve">e) ciężar włókna – </w:t>
      </w:r>
      <w:proofErr w:type="spellStart"/>
      <w:r w:rsidRPr="005B4323">
        <w:t>Dtex</w:t>
      </w:r>
      <w:proofErr w:type="spellEnd"/>
      <w:r w:rsidRPr="005B4323">
        <w:t xml:space="preserve">: min. 14 750, </w:t>
      </w:r>
    </w:p>
    <w:p w14:paraId="6B12529D" w14:textId="77777777" w:rsidR="005B4323" w:rsidRPr="005B4323" w:rsidRDefault="005B4323" w:rsidP="005B4323">
      <w:pPr>
        <w:pStyle w:val="Default"/>
        <w:jc w:val="both"/>
      </w:pPr>
      <w:r w:rsidRPr="005B4323">
        <w:t xml:space="preserve">f) waga pojedynczego włókna: min. 2000 g/m2 </w:t>
      </w:r>
    </w:p>
    <w:p w14:paraId="38F83CA2" w14:textId="77777777" w:rsidR="005B4323" w:rsidRPr="005B4323" w:rsidRDefault="005B4323" w:rsidP="005B4323">
      <w:pPr>
        <w:pStyle w:val="Default"/>
        <w:jc w:val="both"/>
      </w:pPr>
      <w:r w:rsidRPr="005B4323">
        <w:t xml:space="preserve">g) ilość pęczków: min. 10 000 /m2 </w:t>
      </w:r>
    </w:p>
    <w:p w14:paraId="263AE666" w14:textId="77777777" w:rsidR="005B4323" w:rsidRPr="005B4323" w:rsidRDefault="005B4323" w:rsidP="005B4323">
      <w:pPr>
        <w:pStyle w:val="Default"/>
        <w:jc w:val="both"/>
      </w:pPr>
      <w:r w:rsidRPr="005B4323">
        <w:t xml:space="preserve">h) ilość włókien: min. 140 000 /m2 </w:t>
      </w:r>
    </w:p>
    <w:p w14:paraId="3CA59ED6" w14:textId="77777777" w:rsidR="005B4323" w:rsidRPr="005B4323" w:rsidRDefault="005B4323" w:rsidP="005B4323">
      <w:pPr>
        <w:pStyle w:val="Default"/>
        <w:jc w:val="both"/>
      </w:pPr>
      <w:r w:rsidRPr="005B4323">
        <w:t xml:space="preserve">i) waga całkowita trawy: min. 3100 g/m2 </w:t>
      </w:r>
    </w:p>
    <w:p w14:paraId="38CB5208" w14:textId="77777777" w:rsidR="005B4323" w:rsidRPr="005B4323" w:rsidRDefault="005B4323" w:rsidP="005B4323">
      <w:pPr>
        <w:pStyle w:val="Default"/>
        <w:jc w:val="both"/>
      </w:pPr>
      <w:r w:rsidRPr="005B4323">
        <w:t xml:space="preserve">j) przepuszczalność wody dla kompletnego systemu: min 2000 mm/h </w:t>
      </w:r>
    </w:p>
    <w:p w14:paraId="6B16D206" w14:textId="77777777" w:rsidR="005B4323" w:rsidRPr="005B4323" w:rsidRDefault="005B4323" w:rsidP="005B4323">
      <w:pPr>
        <w:pStyle w:val="Default"/>
        <w:jc w:val="both"/>
      </w:pPr>
      <w:r w:rsidRPr="005B4323">
        <w:t xml:space="preserve">k) wytrzymałość łączenia klejonego: po starzeniu: min 155N/ 100mm, </w:t>
      </w:r>
    </w:p>
    <w:p w14:paraId="65841734" w14:textId="77777777" w:rsidR="005B4323" w:rsidRPr="005B4323" w:rsidRDefault="005B4323" w:rsidP="005B4323">
      <w:pPr>
        <w:pStyle w:val="Default"/>
        <w:jc w:val="both"/>
      </w:pPr>
      <w:r w:rsidRPr="005B4323">
        <w:t xml:space="preserve">l) wytrzymałość na wyrywanie pęczka: min 80N postarzone </w:t>
      </w:r>
    </w:p>
    <w:p w14:paraId="177B1CCE" w14:textId="77777777" w:rsidR="005B4323" w:rsidRPr="005B4323" w:rsidRDefault="005B4323" w:rsidP="005B4323">
      <w:pPr>
        <w:pStyle w:val="Default"/>
        <w:jc w:val="both"/>
      </w:pPr>
      <w:r w:rsidRPr="005B4323">
        <w:t xml:space="preserve">m) podkład trawy: poliuretanowy. Nie dopuszcza się podkładu lateksowego. </w:t>
      </w:r>
    </w:p>
    <w:p w14:paraId="690CC86D" w14:textId="77777777" w:rsidR="005B4323" w:rsidRPr="005B4323" w:rsidRDefault="005B4323" w:rsidP="005B4323">
      <w:pPr>
        <w:pStyle w:val="Default"/>
        <w:jc w:val="both"/>
      </w:pPr>
      <w:r w:rsidRPr="005B4323">
        <w:t xml:space="preserve">n) wypełnienie trawy: piasek kwarcowy oraz granulat gumowy EPDM z recyklingu </w:t>
      </w:r>
    </w:p>
    <w:p w14:paraId="2A71E347" w14:textId="77777777" w:rsidR="005B4323" w:rsidRPr="005B4323" w:rsidRDefault="005B4323" w:rsidP="005B4323">
      <w:pPr>
        <w:pStyle w:val="Default"/>
        <w:jc w:val="both"/>
      </w:pPr>
      <w:r w:rsidRPr="005B4323">
        <w:t xml:space="preserve">o) szerokość włókna: 1 mm </w:t>
      </w:r>
    </w:p>
    <w:p w14:paraId="6E28E0EC" w14:textId="77777777" w:rsidR="005B4323" w:rsidRPr="005B4323" w:rsidRDefault="005B4323" w:rsidP="005B4323">
      <w:pPr>
        <w:pStyle w:val="Default"/>
        <w:jc w:val="both"/>
      </w:pPr>
      <w:r w:rsidRPr="005B4323">
        <w:rPr>
          <w:b/>
          <w:bCs/>
        </w:rPr>
        <w:t xml:space="preserve">Dokumenty potwierdzające najwyższą jakość oferowanej nawierzchni: </w:t>
      </w:r>
    </w:p>
    <w:p w14:paraId="7D015376" w14:textId="559CCE98" w:rsidR="006C5521" w:rsidRPr="005B4323" w:rsidRDefault="005B4323" w:rsidP="005B432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B4323">
        <w:rPr>
          <w:sz w:val="24"/>
          <w:szCs w:val="24"/>
        </w:rPr>
        <w:t xml:space="preserve">Raport z badań dotyczący oferowanego systemu nawierzchni (trawa, wypełnienie) przeprowadzonego przez specjalistyczne laboratorium (np. </w:t>
      </w:r>
      <w:proofErr w:type="spellStart"/>
      <w:r w:rsidRPr="005B4323">
        <w:rPr>
          <w:sz w:val="24"/>
          <w:szCs w:val="24"/>
        </w:rPr>
        <w:t>Labosport</w:t>
      </w:r>
      <w:proofErr w:type="spellEnd"/>
      <w:r w:rsidRPr="005B4323">
        <w:rPr>
          <w:sz w:val="24"/>
          <w:szCs w:val="24"/>
        </w:rPr>
        <w:t xml:space="preserve"> lub ISA-Sport lub Sports </w:t>
      </w:r>
      <w:proofErr w:type="spellStart"/>
      <w:r w:rsidRPr="005B4323">
        <w:rPr>
          <w:sz w:val="24"/>
          <w:szCs w:val="24"/>
        </w:rPr>
        <w:t>Labs</w:t>
      </w:r>
      <w:proofErr w:type="spellEnd"/>
      <w:r w:rsidRPr="005B4323">
        <w:rPr>
          <w:sz w:val="24"/>
          <w:szCs w:val="24"/>
        </w:rPr>
        <w:t xml:space="preserve"> </w:t>
      </w:r>
      <w:proofErr w:type="spellStart"/>
      <w:r w:rsidRPr="005B4323">
        <w:rPr>
          <w:sz w:val="24"/>
          <w:szCs w:val="24"/>
        </w:rPr>
        <w:t>Ltd</w:t>
      </w:r>
      <w:proofErr w:type="spellEnd"/>
      <w:r w:rsidRPr="005B4323">
        <w:rPr>
          <w:sz w:val="24"/>
          <w:szCs w:val="24"/>
        </w:rPr>
        <w:t xml:space="preserve">), potwierdzający wszystkie wymagane parametry oraz potwierdzający zgodność jego parametrów z FIFA </w:t>
      </w:r>
      <w:proofErr w:type="spellStart"/>
      <w:r w:rsidRPr="005B4323">
        <w:rPr>
          <w:sz w:val="24"/>
          <w:szCs w:val="24"/>
        </w:rPr>
        <w:t>Quality</w:t>
      </w:r>
      <w:proofErr w:type="spellEnd"/>
      <w:r w:rsidRPr="005B4323">
        <w:rPr>
          <w:sz w:val="24"/>
          <w:szCs w:val="24"/>
        </w:rPr>
        <w:t xml:space="preserve"> </w:t>
      </w:r>
      <w:proofErr w:type="spellStart"/>
      <w:r w:rsidRPr="005B4323">
        <w:rPr>
          <w:sz w:val="24"/>
          <w:szCs w:val="24"/>
        </w:rPr>
        <w:t>Programme</w:t>
      </w:r>
      <w:proofErr w:type="spellEnd"/>
      <w:r w:rsidRPr="005B4323">
        <w:rPr>
          <w:sz w:val="24"/>
          <w:szCs w:val="24"/>
        </w:rPr>
        <w:t xml:space="preserve"> for Football Turf, test </w:t>
      </w:r>
      <w:proofErr w:type="spellStart"/>
      <w:r w:rsidRPr="005B4323">
        <w:rPr>
          <w:sz w:val="24"/>
          <w:szCs w:val="24"/>
        </w:rPr>
        <w:t>method</w:t>
      </w:r>
      <w:proofErr w:type="spellEnd"/>
      <w:r w:rsidRPr="005B4323">
        <w:rPr>
          <w:sz w:val="24"/>
          <w:szCs w:val="24"/>
        </w:rPr>
        <w:t xml:space="preserve"> 2015 (dostępny na </w:t>
      </w:r>
      <w:r w:rsidRPr="005B4323">
        <w:rPr>
          <w:color w:val="0000FF"/>
          <w:sz w:val="24"/>
          <w:szCs w:val="24"/>
        </w:rPr>
        <w:t>www.FIFA.com</w:t>
      </w:r>
      <w:r w:rsidRPr="005B4323">
        <w:rPr>
          <w:sz w:val="24"/>
          <w:szCs w:val="24"/>
        </w:rPr>
        <w:t xml:space="preserve">) dla poziomu FIFA </w:t>
      </w:r>
      <w:proofErr w:type="spellStart"/>
      <w:r w:rsidRPr="005B4323">
        <w:rPr>
          <w:sz w:val="24"/>
          <w:szCs w:val="24"/>
        </w:rPr>
        <w:t>Quality</w:t>
      </w:r>
      <w:proofErr w:type="spellEnd"/>
      <w:r w:rsidRPr="005B4323">
        <w:rPr>
          <w:sz w:val="24"/>
          <w:szCs w:val="24"/>
        </w:rPr>
        <w:t xml:space="preserve"> oraz FIFA </w:t>
      </w:r>
      <w:proofErr w:type="spellStart"/>
      <w:r w:rsidRPr="005B4323">
        <w:rPr>
          <w:sz w:val="24"/>
          <w:szCs w:val="24"/>
        </w:rPr>
        <w:t>Quality</w:t>
      </w:r>
      <w:proofErr w:type="spellEnd"/>
      <w:r w:rsidRPr="005B4323">
        <w:rPr>
          <w:sz w:val="24"/>
          <w:szCs w:val="24"/>
        </w:rPr>
        <w:t xml:space="preserve"> PRO.</w:t>
      </w:r>
    </w:p>
    <w:p w14:paraId="743BF9C4" w14:textId="77777777" w:rsidR="005B4323" w:rsidRPr="005B4323" w:rsidRDefault="005B4323" w:rsidP="005B4323">
      <w:pPr>
        <w:pStyle w:val="Default"/>
        <w:jc w:val="both"/>
      </w:pPr>
      <w:r w:rsidRPr="005B4323">
        <w:t xml:space="preserve">b) Badanie laboratoryjne oferowanego systemu sztucznej trawy (trawa, wypełnienie) na zgodność z normą PN-EN 15330-1:2013 wykonane przez specjalistyczne laboratorium posiadające odpowiednią akredytację. </w:t>
      </w:r>
    </w:p>
    <w:p w14:paraId="3BE9BED4" w14:textId="77777777" w:rsidR="005B4323" w:rsidRPr="005B4323" w:rsidRDefault="005B4323" w:rsidP="005B4323">
      <w:pPr>
        <w:pStyle w:val="Default"/>
        <w:jc w:val="both"/>
      </w:pPr>
      <w:r w:rsidRPr="005B4323">
        <w:t xml:space="preserve">c) Kartę techniczna oferowanej nawierzchni, potwierdzoną przez jej producenta oraz jej próbkę o wymiarach 20 x 30 cm. </w:t>
      </w:r>
    </w:p>
    <w:p w14:paraId="114A90C7" w14:textId="77777777" w:rsidR="005B4323" w:rsidRPr="005B4323" w:rsidRDefault="005B4323" w:rsidP="005B4323">
      <w:pPr>
        <w:pStyle w:val="Default"/>
        <w:jc w:val="both"/>
      </w:pPr>
      <w:r w:rsidRPr="005B4323">
        <w:t xml:space="preserve">d) Aktualny certyfikat FPP dla producenta trawy (FIFA </w:t>
      </w:r>
      <w:proofErr w:type="spellStart"/>
      <w:r w:rsidRPr="005B4323">
        <w:t>Preferred</w:t>
      </w:r>
      <w:proofErr w:type="spellEnd"/>
      <w:r w:rsidRPr="005B4323">
        <w:t xml:space="preserve"> Producer) </w:t>
      </w:r>
    </w:p>
    <w:p w14:paraId="74A0D9E3" w14:textId="77777777" w:rsidR="005B4323" w:rsidRPr="005B4323" w:rsidRDefault="005B4323" w:rsidP="005B4323">
      <w:pPr>
        <w:pStyle w:val="Default"/>
        <w:jc w:val="both"/>
      </w:pPr>
      <w:r w:rsidRPr="005B4323">
        <w:t xml:space="preserve">e) Atest PZH lub równoważny dla oferowanej nawierzchni i wypełnienia. Oba testy mają dopuszczać zastosowanie materiałów pod balonem pneumatycznym. </w:t>
      </w:r>
    </w:p>
    <w:p w14:paraId="59D3D120" w14:textId="77777777" w:rsidR="005B4323" w:rsidRPr="005B4323" w:rsidRDefault="005B4323" w:rsidP="005B4323">
      <w:pPr>
        <w:pStyle w:val="Default"/>
        <w:jc w:val="both"/>
      </w:pPr>
      <w:r w:rsidRPr="005B4323">
        <w:t xml:space="preserve">f) Autoryzację producenta trawy syntetycznej, wystawiona dla wykonawcy na realizowaną inwestycję </w:t>
      </w:r>
    </w:p>
    <w:p w14:paraId="2E0A959D" w14:textId="77777777" w:rsidR="005B4323" w:rsidRPr="005B4323" w:rsidRDefault="005B4323" w:rsidP="005B4323">
      <w:pPr>
        <w:pStyle w:val="Default"/>
        <w:jc w:val="both"/>
      </w:pPr>
      <w:r w:rsidRPr="005B4323">
        <w:t xml:space="preserve">g) raport z badań testu </w:t>
      </w:r>
      <w:proofErr w:type="spellStart"/>
      <w:r w:rsidRPr="005B4323">
        <w:t>Lisport</w:t>
      </w:r>
      <w:proofErr w:type="spellEnd"/>
      <w:r w:rsidRPr="005B4323">
        <w:t xml:space="preserve"> na min 200 000 cykli dla włókna </w:t>
      </w:r>
      <w:proofErr w:type="spellStart"/>
      <w:r w:rsidRPr="005B4323">
        <w:t>mofilowego</w:t>
      </w:r>
      <w:proofErr w:type="spellEnd"/>
      <w:r w:rsidRPr="005B4323">
        <w:t xml:space="preserve"> oferowanej trawy syntetycznej zgodnie z normą EN 1506 ”Nawierzchnie do otwartych terenów sportowych – </w:t>
      </w:r>
      <w:r w:rsidRPr="005B4323">
        <w:lastRenderedPageBreak/>
        <w:t xml:space="preserve">narażenie trawy na oddziaływanie” potwierdzający, że nawierzchnia po min. 150 000 cyklach nie wykazuje poważnych uszkodzeń. Badanie musi być przeprowadzone przez laboratorium niezależne, akredytowane zgodnie z ISO/IEC 17025:2018. </w:t>
      </w:r>
    </w:p>
    <w:p w14:paraId="671A6B78" w14:textId="77777777" w:rsidR="005B4323" w:rsidRPr="005B4323" w:rsidRDefault="005B4323" w:rsidP="005B4323">
      <w:pPr>
        <w:pStyle w:val="Default"/>
        <w:jc w:val="both"/>
      </w:pPr>
      <w:r w:rsidRPr="005B4323">
        <w:t xml:space="preserve">h) Dokument potwierdzający, że oferowana sztuczna trawa nadaje się w 100% do recyklingu. </w:t>
      </w:r>
    </w:p>
    <w:p w14:paraId="7B99C6B6" w14:textId="77777777" w:rsidR="005B4323" w:rsidRPr="005B4323" w:rsidRDefault="005B4323" w:rsidP="005B4323">
      <w:pPr>
        <w:pStyle w:val="Default"/>
        <w:jc w:val="both"/>
      </w:pPr>
      <w:r w:rsidRPr="005B4323">
        <w:t xml:space="preserve">i) Sprawozdanie z badań na zawartość metali ciężkich oraz wielopierścieniowych węglowodanów aromatyzowanych (WWA) potwierdzających zgodność z Rozporządzeniem (WE) 1907/2006 REACH wystawionych dla oferowanej partii wypełnienia (granulat gumowy EPDM z recyklingu/techniczny) nie starsze niż 6 miesiące. </w:t>
      </w:r>
    </w:p>
    <w:p w14:paraId="55693871" w14:textId="77777777" w:rsidR="005B4323" w:rsidRPr="005B4323" w:rsidRDefault="005B4323" w:rsidP="005B4323">
      <w:pPr>
        <w:pStyle w:val="Default"/>
        <w:jc w:val="both"/>
      </w:pPr>
      <w:r w:rsidRPr="005B4323">
        <w:t xml:space="preserve">Wnosimy również o zniesienie wymogu dostarczenia raportu </w:t>
      </w:r>
      <w:proofErr w:type="spellStart"/>
      <w:r w:rsidRPr="005B4323">
        <w:t>Lisport</w:t>
      </w:r>
      <w:proofErr w:type="spellEnd"/>
      <w:r w:rsidRPr="005B4323">
        <w:t xml:space="preserve"> na 500 000 cykli. Dodatkowo informujemy, że zgodnie z informacją uzyskaną z akredytowanego laboratorium, jeden cykl </w:t>
      </w:r>
      <w:proofErr w:type="spellStart"/>
      <w:r w:rsidRPr="005B4323">
        <w:t>Lisport</w:t>
      </w:r>
      <w:proofErr w:type="spellEnd"/>
      <w:r w:rsidRPr="005B4323">
        <w:t xml:space="preserve"> odpowiada 1 h użytkowania boiska, czyli 500 000 cykli = 500 000 h. Jeżeli Zamawiający użytkowałby boisko po 10h dziennie x 365 dni (to założenie już jest przyjęte na wyrost), czyli 3650 h / rok, będzie to znaczyło, iż dana nawierzchnia może być użytkowana bez straty jakości przez okres ponad 135 lat. Założenie to stoi w oczywistej sprzeczności nie tylko z oczekiwaniami gwarancyjnymi Zamawiającego, z przyjętymi realiami rynkowymi, ale co najważniejsze ze zdrowym rozsądkiem. Pozostawienie wymogu dostarczenia tego badania dla tak wygórowanej liczby cykli </w:t>
      </w:r>
      <w:proofErr w:type="spellStart"/>
      <w:r w:rsidRPr="005B4323">
        <w:t>Lisport</w:t>
      </w:r>
      <w:proofErr w:type="spellEnd"/>
      <w:r w:rsidRPr="005B4323">
        <w:t xml:space="preserve"> może mieć tylko na celu ograniczenie konkurencji poprzez opisanie systemu sztucznej trawy konkretnego producenta. </w:t>
      </w:r>
    </w:p>
    <w:p w14:paraId="40A71880" w14:textId="77777777" w:rsidR="005B4323" w:rsidRPr="005B4323" w:rsidRDefault="005B4323" w:rsidP="005B4323">
      <w:pPr>
        <w:pStyle w:val="Default"/>
        <w:jc w:val="both"/>
      </w:pPr>
      <w:r w:rsidRPr="005B4323">
        <w:t xml:space="preserve">Oferowane rozwiązanie w żaden sposób nie spowoduje obniżenia jakości budowanego boiska. Pozytywnie rozpatrując naszą prośbę, Zamawiający jedynie poszerza grono Wykonawców i Oferentów, a co za tym idzie, jest w stanie uzyskać bardziej konkurencyjne oferty, sama jakość wykonanej nawierzchni pozostaje bez zmian. Producent oferowanej przez nas trawy jest jednym z ośmiu na świecie Preferowanych Producentów FIFA, co daje całkowitą gwarancję, że oferowany produkt jest najwyższej jakości. </w:t>
      </w:r>
    </w:p>
    <w:p w14:paraId="6563AAFC" w14:textId="77777777" w:rsidR="005B4323" w:rsidRPr="005B4323" w:rsidRDefault="005B4323" w:rsidP="005B4323">
      <w:pPr>
        <w:pStyle w:val="Default"/>
        <w:jc w:val="both"/>
      </w:pPr>
      <w:r w:rsidRPr="005B4323">
        <w:t xml:space="preserve">Nadmieniamy, że Zamawiający wydatkuje środki publiczne i jego rolą jest wybranie oferty jak najkorzystniejszej zarówno jakościowo jak i finansowo, dlatego powinien tak opisać przedmiot zamówienia, aby jak największa ilość Oferentów mogła wystartować w tym przetargu, nie utrudniając dostępu do zamówienia potencjalnym Wykonawcom. Zamawiający winien również dołożyć wszelkich starań aby określić wymagania w sposób nie budzący jakichkolwiek podejrzeń i niezgodności z wytycznymi i standardami obowiązującymi w branży. </w:t>
      </w:r>
    </w:p>
    <w:p w14:paraId="774CBA87" w14:textId="3BA36023" w:rsidR="005B4323" w:rsidRDefault="005B4323" w:rsidP="005B4323">
      <w:pPr>
        <w:jc w:val="both"/>
        <w:rPr>
          <w:sz w:val="24"/>
          <w:szCs w:val="24"/>
        </w:rPr>
      </w:pPr>
      <w:r w:rsidRPr="005B4323">
        <w:rPr>
          <w:sz w:val="24"/>
          <w:szCs w:val="24"/>
        </w:rPr>
        <w:t>Mając powyższe na uwadze, prosimy o przychylenie się do naszego wniosku.</w:t>
      </w:r>
    </w:p>
    <w:p w14:paraId="2E46D82C" w14:textId="77777777" w:rsidR="005B4323" w:rsidRDefault="005B4323" w:rsidP="005B4323">
      <w:pPr>
        <w:jc w:val="both"/>
        <w:rPr>
          <w:sz w:val="24"/>
          <w:szCs w:val="24"/>
        </w:rPr>
      </w:pPr>
    </w:p>
    <w:p w14:paraId="1A93A972" w14:textId="3A5027FF" w:rsidR="005B4323" w:rsidRDefault="005B4323" w:rsidP="005B4323">
      <w:pPr>
        <w:jc w:val="both"/>
        <w:rPr>
          <w:b/>
          <w:bCs/>
          <w:sz w:val="24"/>
          <w:szCs w:val="24"/>
        </w:rPr>
      </w:pPr>
      <w:r w:rsidRPr="005B4323">
        <w:rPr>
          <w:b/>
          <w:bCs/>
          <w:sz w:val="24"/>
          <w:szCs w:val="24"/>
        </w:rPr>
        <w:t>Odpowiedź na pytanie</w:t>
      </w:r>
    </w:p>
    <w:p w14:paraId="1077BC90" w14:textId="77777777" w:rsidR="005B4323" w:rsidRPr="005B4323" w:rsidRDefault="005B4323" w:rsidP="005B4323">
      <w:pPr>
        <w:pStyle w:val="Zwykytekst"/>
        <w:jc w:val="both"/>
        <w:rPr>
          <w:sz w:val="24"/>
          <w:szCs w:val="24"/>
        </w:rPr>
      </w:pPr>
      <w:r w:rsidRPr="005B4323">
        <w:rPr>
          <w:sz w:val="24"/>
          <w:szCs w:val="24"/>
        </w:rPr>
        <w:t xml:space="preserve">Zamawiający określił minimalne parametry co do nawierzchni i dopuści wszystkie sztuczne trawy o parametrach spełniających minimalne wymagania lub wyższe. Zamawiający zatem nie wyraża zgody na zastosowanie innych minimalnych parametrów nawierzchni z trawy syntetycznej, niż te dla których wymogi określił w dokumentacji. </w:t>
      </w:r>
    </w:p>
    <w:p w14:paraId="202FE436" w14:textId="77777777" w:rsidR="005B4323" w:rsidRPr="005B4323" w:rsidRDefault="005B4323" w:rsidP="005B4323">
      <w:pPr>
        <w:jc w:val="both"/>
        <w:rPr>
          <w:b/>
          <w:bCs/>
          <w:sz w:val="24"/>
          <w:szCs w:val="24"/>
        </w:rPr>
      </w:pPr>
    </w:p>
    <w:sectPr w:rsidR="005B4323" w:rsidRPr="005B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645E7"/>
    <w:multiLevelType w:val="hybridMultilevel"/>
    <w:tmpl w:val="876E2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B258A"/>
    <w:multiLevelType w:val="hybridMultilevel"/>
    <w:tmpl w:val="876E2F7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936564">
    <w:abstractNumId w:val="0"/>
  </w:num>
  <w:num w:numId="2" w16cid:durableId="1532258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23"/>
    <w:rsid w:val="005B4323"/>
    <w:rsid w:val="006C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849E"/>
  <w15:chartTrackingRefBased/>
  <w15:docId w15:val="{9B0BDE53-4E28-4D66-B74F-5F54E25E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43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5B432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5B432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B432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812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1</cp:revision>
  <dcterms:created xsi:type="dcterms:W3CDTF">2023-06-07T05:10:00Z</dcterms:created>
  <dcterms:modified xsi:type="dcterms:W3CDTF">2023-06-07T05:13:00Z</dcterms:modified>
</cp:coreProperties>
</file>