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8C0" w:rsidRPr="00A628B4" w:rsidRDefault="00C968C0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7720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7720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F77205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bookmarkStart w:id="0" w:name="_GoBack"/>
      <w:bookmarkEnd w:id="0"/>
      <w:r w:rsidR="00F77205">
        <w:rPr>
          <w:rFonts w:ascii="Arial" w:eastAsia="Times New Roman" w:hAnsi="Arial" w:cs="Arial"/>
          <w:bCs/>
          <w:sz w:val="20"/>
          <w:szCs w:val="20"/>
          <w:lang w:eastAsia="pl-PL"/>
        </w:rPr>
        <w:t>.03.2022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7205">
        <w:rPr>
          <w:rFonts w:ascii="Arial" w:eastAsia="Times New Roman" w:hAnsi="Arial" w:cs="Arial"/>
          <w:sz w:val="20"/>
          <w:szCs w:val="20"/>
          <w:lang w:eastAsia="pl-PL"/>
        </w:rPr>
        <w:t xml:space="preserve">Dotyczy: 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 xml:space="preserve">postępowania o udzielenie zamówienia publicznego pn.: </w:t>
      </w:r>
      <w:r w:rsidR="00F77205" w:rsidRPr="00F77205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77205" w:rsidRPr="00F77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kompleksu sportowego z salą gimnastyczną, boiskiem i placem zabaw w miejscowości Bytonia</w:t>
      </w:r>
      <w:r w:rsidR="00F77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7720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>Ogłoszenie nr 2022/BZP 00052905/01 z dnia 2022-02-10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7205" w:rsidRDefault="00F77205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</w:p>
    <w:p w:rsidR="00F77205" w:rsidRDefault="00F77205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7205" w:rsidRPr="00F77205" w:rsidRDefault="006B275D" w:rsidP="00F772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1 i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publicznych (Dz. U. z 20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 xml:space="preserve">1129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. zm.), dalej ustawą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unieważni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eniu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postępowani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na realizację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77205" w:rsidRPr="00F77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kompleksu sportowego z salą gimnastyczną, boiskiem i placem zabaw w miejscowości Bytonia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tryb udzielania zamówienia: podstawowy zgodnie z art. 275 pkt 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ze zm.),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>2022/BZP 00052905/01 z dnia 2022-02-10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W postępowaniu na realizację robót budowlanych w ramach zadania: „</w:t>
      </w:r>
      <w:r w:rsidR="00F77205" w:rsidRPr="00F77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kompleksu sportowego z salą gimnastyczną, boiskiem i placem zabaw w miejscowości Bytonia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ogłoszonego w BZP pod numerem: 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 xml:space="preserve">2022/BZP 00052905/01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>2022-02-10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15.03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r. do godz. 1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:00, wpłynęł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następując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843"/>
        <w:gridCol w:w="1843"/>
      </w:tblGrid>
      <w:tr w:rsidR="006141EC" w:rsidRPr="006141EC" w:rsidTr="00F77205">
        <w:tc>
          <w:tcPr>
            <w:tcW w:w="1089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969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843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843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F77205" w:rsidRPr="006141EC" w:rsidTr="00F77205">
        <w:tc>
          <w:tcPr>
            <w:tcW w:w="1089" w:type="dxa"/>
            <w:vAlign w:val="center"/>
          </w:tcPr>
          <w:p w:rsidR="00F77205" w:rsidRPr="006141EC" w:rsidRDefault="00F77205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3969" w:type="dxa"/>
          </w:tcPr>
          <w:p w:rsidR="00F77205" w:rsidRDefault="00F77205" w:rsidP="00851F8E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Zakład Robót Ogólnobudowlanych Stanisław </w:t>
            </w:r>
            <w:proofErr w:type="spellStart"/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Repiński</w:t>
            </w:r>
            <w:proofErr w:type="spellEnd"/>
          </w:p>
          <w:p w:rsidR="00F77205" w:rsidRDefault="00F77205" w:rsidP="00851F8E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Fałata 10</w:t>
            </w:r>
          </w:p>
          <w:p w:rsidR="00F77205" w:rsidRPr="0011707E" w:rsidRDefault="00F77205" w:rsidP="00851F8E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 – 400 Kościerzyna</w:t>
            </w:r>
          </w:p>
        </w:tc>
        <w:tc>
          <w:tcPr>
            <w:tcW w:w="1843" w:type="dxa"/>
            <w:vAlign w:val="center"/>
          </w:tcPr>
          <w:p w:rsidR="00F77205" w:rsidRPr="0011707E" w:rsidRDefault="00F77205" w:rsidP="00851F8E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 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257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454,25</w:t>
            </w:r>
          </w:p>
        </w:tc>
        <w:tc>
          <w:tcPr>
            <w:tcW w:w="1843" w:type="dxa"/>
            <w:vAlign w:val="center"/>
          </w:tcPr>
          <w:p w:rsidR="00F77205" w:rsidRPr="0011707E" w:rsidRDefault="00F77205" w:rsidP="00851F8E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Kwota, jaką zamawiający zamierzał przeznaczyć na sfinansowanie zamówienia wynosi: 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>8 592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77205" w:rsidRPr="00F77205">
        <w:rPr>
          <w:rFonts w:ascii="Arial" w:eastAsia="Times New Roman" w:hAnsi="Arial" w:cs="Arial"/>
          <w:sz w:val="20"/>
          <w:szCs w:val="20"/>
          <w:lang w:eastAsia="pl-PL"/>
        </w:rPr>
        <w:t>326,28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20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brutto.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Cena złożon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ej jedynej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F77205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znacznie przewyższa kwotę, którą zamawiający zamierzał przeznaczyć na sfinansowanie zamówienia. Zamawiający nie może </w:t>
      </w:r>
      <w:r w:rsidR="00CA65C8">
        <w:rPr>
          <w:rFonts w:ascii="Arial" w:eastAsia="Times New Roman" w:hAnsi="Arial" w:cs="Arial"/>
          <w:sz w:val="20"/>
          <w:szCs w:val="20"/>
          <w:lang w:eastAsia="pl-PL"/>
        </w:rPr>
        <w:t>zwiększyć tej kwoty do ceny złożonej oferty. Wobec powyższego postępowanie podlega unieważnieniu.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</w:p>
    <w:p w:rsidR="006B275D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w Dziale IX ustawy </w:t>
      </w:r>
      <w:proofErr w:type="spellStart"/>
      <w:r w:rsidRPr="006141E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(art. 505-590).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E0152F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F77205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89" w:rsidRDefault="007C5189" w:rsidP="0028607D">
      <w:pPr>
        <w:spacing w:after="0" w:line="240" w:lineRule="auto"/>
      </w:pPr>
      <w:r>
        <w:separator/>
      </w:r>
    </w:p>
  </w:endnote>
  <w:endnote w:type="continuationSeparator" w:id="0">
    <w:p w:rsidR="007C5189" w:rsidRDefault="007C518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C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89" w:rsidRDefault="007C5189" w:rsidP="0028607D">
      <w:pPr>
        <w:spacing w:after="0" w:line="240" w:lineRule="auto"/>
      </w:pPr>
      <w:r>
        <w:separator/>
      </w:r>
    </w:p>
  </w:footnote>
  <w:footnote w:type="continuationSeparator" w:id="0">
    <w:p w:rsidR="007C5189" w:rsidRDefault="007C518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C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96E60"/>
    <w:rsid w:val="007B4B87"/>
    <w:rsid w:val="007C5189"/>
    <w:rsid w:val="007E694D"/>
    <w:rsid w:val="00812335"/>
    <w:rsid w:val="00813476"/>
    <w:rsid w:val="00814128"/>
    <w:rsid w:val="00830657"/>
    <w:rsid w:val="0083119D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E04E6"/>
    <w:rsid w:val="00CF3AB3"/>
    <w:rsid w:val="00D22C2B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54B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77205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2022-03-15T14:28:00Z</cp:lastPrinted>
  <dcterms:created xsi:type="dcterms:W3CDTF">2022-03-15T14:18:00Z</dcterms:created>
  <dcterms:modified xsi:type="dcterms:W3CDTF">2022-03-15T14:41:00Z</dcterms:modified>
</cp:coreProperties>
</file>