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626DD6E7" w:rsidR="00A23D2B" w:rsidRPr="00A46478" w:rsidRDefault="00FC515B" w:rsidP="00B27AE4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A46478">
        <w:rPr>
          <w:rFonts w:ascii="Open Sans" w:hAnsi="Open Sans" w:cs="Open Sans"/>
          <w:b/>
          <w:sz w:val="20"/>
          <w:szCs w:val="20"/>
        </w:rPr>
        <w:t>Umowa</w:t>
      </w:r>
      <w:r w:rsidR="00A23D2B" w:rsidRPr="00A46478">
        <w:rPr>
          <w:rFonts w:ascii="Open Sans" w:hAnsi="Open Sans" w:cs="Open Sans"/>
          <w:b/>
          <w:sz w:val="20"/>
          <w:szCs w:val="20"/>
        </w:rPr>
        <w:t xml:space="preserve"> </w:t>
      </w:r>
      <w:r w:rsidR="00F7119C" w:rsidRPr="00A46478">
        <w:rPr>
          <w:rFonts w:ascii="Open Sans" w:hAnsi="Open Sans" w:cs="Open Sans"/>
          <w:b/>
          <w:sz w:val="20"/>
          <w:szCs w:val="20"/>
        </w:rPr>
        <w:br/>
        <w:t xml:space="preserve">na część </w:t>
      </w:r>
      <w:r w:rsidRPr="00A46478">
        <w:rPr>
          <w:rFonts w:ascii="Open Sans" w:hAnsi="Open Sans" w:cs="Open Sans"/>
          <w:b/>
          <w:sz w:val="20"/>
          <w:szCs w:val="20"/>
        </w:rPr>
        <w:t>1</w:t>
      </w:r>
      <w:r w:rsidR="00F7119C" w:rsidRPr="00A46478">
        <w:rPr>
          <w:rFonts w:ascii="Open Sans" w:hAnsi="Open Sans" w:cs="Open Sans"/>
          <w:b/>
          <w:sz w:val="20"/>
          <w:szCs w:val="20"/>
        </w:rPr>
        <w:t xml:space="preserve"> – </w:t>
      </w:r>
      <w:r w:rsidR="006A31A2" w:rsidRPr="00A46478">
        <w:rPr>
          <w:rFonts w:ascii="Open Sans" w:hAnsi="Open Sans" w:cs="Open Sans"/>
          <w:b/>
          <w:sz w:val="20"/>
          <w:szCs w:val="20"/>
        </w:rPr>
        <w:t>usługa ubezpieczenia mienia, sprzętu elektronicznego i odpowiedzialności cywilnej</w:t>
      </w:r>
    </w:p>
    <w:p w14:paraId="177DD91E" w14:textId="77777777" w:rsidR="00A34DDD" w:rsidRPr="00A46478" w:rsidRDefault="00A34DDD" w:rsidP="00B27AE4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79043C49" w14:textId="1AB1675F" w:rsidR="00A23D2B" w:rsidRPr="00A46478" w:rsidRDefault="00A23D2B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6E302683" w14:textId="433F0EFC" w:rsidR="004976DE" w:rsidRPr="001E38A3" w:rsidRDefault="004976DE" w:rsidP="004976DE">
      <w:pPr>
        <w:spacing w:line="268" w:lineRule="auto"/>
        <w:jc w:val="both"/>
        <w:rPr>
          <w:rFonts w:ascii="Open Sans" w:hAnsi="Open Sans" w:cs="Open Sans"/>
          <w:bCs/>
          <w:sz w:val="20"/>
          <w:szCs w:val="20"/>
          <w:lang w:val="x-none"/>
        </w:rPr>
      </w:pPr>
      <w:r>
        <w:rPr>
          <w:rFonts w:ascii="Open Sans" w:hAnsi="Open Sans" w:cs="Open Sans"/>
          <w:bCs/>
          <w:sz w:val="20"/>
          <w:szCs w:val="20"/>
        </w:rPr>
        <w:t>W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 wyniku rozstrzygniętego postępowania o udzielenie zamówienia publicznego prowadzonego </w:t>
      </w:r>
      <w:r>
        <w:rPr>
          <w:rFonts w:ascii="Open Sans" w:hAnsi="Open Sans" w:cs="Open Sans"/>
          <w:sz w:val="20"/>
          <w:szCs w:val="20"/>
        </w:rPr>
        <w:t xml:space="preserve">w trybie podstawowym – nr sprawy </w:t>
      </w:r>
      <w:r w:rsidR="00E510E6">
        <w:rPr>
          <w:rFonts w:ascii="Open Sans" w:hAnsi="Open Sans" w:cs="Open Sans"/>
          <w:sz w:val="20"/>
          <w:szCs w:val="20"/>
        </w:rPr>
        <w:t xml:space="preserve">1/12/2023/G. Alwernia </w:t>
      </w:r>
      <w:r>
        <w:rPr>
          <w:rFonts w:ascii="Open Sans" w:hAnsi="Open Sans" w:cs="Open Sans"/>
          <w:sz w:val="20"/>
          <w:szCs w:val="20"/>
        </w:rPr>
        <w:t xml:space="preserve">na podstawie art. art. 275 pkt. 1 ustawy z dnia 11 września 2019 r. Prawo zamówień </w:t>
      </w:r>
      <w:r w:rsidRPr="001E38A3">
        <w:rPr>
          <w:rFonts w:ascii="Open Sans" w:hAnsi="Open Sans" w:cs="Open Sans"/>
          <w:sz w:val="20"/>
          <w:szCs w:val="20"/>
        </w:rPr>
        <w:t>publicznych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(tj. Dz.U. z 202</w:t>
      </w:r>
      <w:r w:rsidRPr="001E38A3">
        <w:rPr>
          <w:rFonts w:ascii="Open Sans" w:hAnsi="Open Sans" w:cs="Open Sans"/>
          <w:bCs/>
          <w:sz w:val="20"/>
          <w:szCs w:val="20"/>
        </w:rPr>
        <w:t>3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r. poz. 1</w:t>
      </w:r>
      <w:r w:rsidRPr="001E38A3">
        <w:rPr>
          <w:rFonts w:ascii="Open Sans" w:hAnsi="Open Sans" w:cs="Open Sans"/>
          <w:bCs/>
          <w:sz w:val="20"/>
          <w:szCs w:val="20"/>
        </w:rPr>
        <w:t>605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ze zm.) , zwaną dalej „ustawą </w:t>
      </w:r>
      <w:r w:rsidRPr="001E38A3">
        <w:rPr>
          <w:rFonts w:ascii="Open Sans" w:hAnsi="Open Sans" w:cs="Open Sans"/>
          <w:bCs/>
          <w:sz w:val="20"/>
          <w:szCs w:val="20"/>
        </w:rPr>
        <w:t>PZP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”,  została zawarta </w:t>
      </w:r>
      <w:r w:rsidRPr="001E38A3">
        <w:rPr>
          <w:rFonts w:ascii="Open Sans" w:hAnsi="Open Sans" w:cs="Open Sans"/>
          <w:bCs/>
          <w:sz w:val="20"/>
          <w:szCs w:val="20"/>
        </w:rPr>
        <w:t>U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mowa </w:t>
      </w:r>
      <w:r w:rsidRPr="001E38A3">
        <w:rPr>
          <w:rFonts w:ascii="Open Sans" w:hAnsi="Open Sans" w:cs="Open Sans"/>
          <w:bCs/>
          <w:sz w:val="20"/>
          <w:szCs w:val="20"/>
        </w:rPr>
        <w:t>nr……………………………. pomiędzy:</w:t>
      </w:r>
    </w:p>
    <w:p w14:paraId="6E104761" w14:textId="77777777" w:rsidR="00C76A7A" w:rsidRPr="001E38A3" w:rsidRDefault="00C76A7A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1371BFEA" w14:textId="7EB88335" w:rsidR="006A31A2" w:rsidRPr="001E38A3" w:rsidRDefault="008A35CF" w:rsidP="00B27AE4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1E38A3">
        <w:rPr>
          <w:rFonts w:ascii="Open Sans" w:hAnsi="Open Sans" w:cs="Open Sans"/>
          <w:b/>
          <w:sz w:val="20"/>
          <w:szCs w:val="20"/>
          <w:lang w:val="x-none"/>
        </w:rPr>
        <w:t>Zamawiającym</w:t>
      </w:r>
    </w:p>
    <w:p w14:paraId="10DF1967" w14:textId="4CE5E29A" w:rsidR="006A31A2" w:rsidRPr="001E38A3" w:rsidRDefault="006A31A2" w:rsidP="00B27AE4">
      <w:pPr>
        <w:spacing w:line="271" w:lineRule="auto"/>
        <w:rPr>
          <w:rFonts w:ascii="Open Sans" w:hAnsi="Open Sans" w:cs="Open Sans"/>
          <w:sz w:val="20"/>
          <w:szCs w:val="20"/>
        </w:rPr>
      </w:pPr>
      <w:r w:rsidRPr="001E38A3">
        <w:rPr>
          <w:rFonts w:ascii="Open Sans" w:hAnsi="Open Sans" w:cs="Open Sans"/>
          <w:b/>
          <w:sz w:val="20"/>
          <w:szCs w:val="20"/>
        </w:rPr>
        <w:t xml:space="preserve">Gminą </w:t>
      </w:r>
      <w:r w:rsidR="00E510E6">
        <w:rPr>
          <w:rFonts w:ascii="Open Sans" w:hAnsi="Open Sans" w:cs="Open Sans"/>
          <w:b/>
          <w:sz w:val="20"/>
          <w:szCs w:val="20"/>
        </w:rPr>
        <w:t>Alwernia</w:t>
      </w:r>
      <w:r w:rsidRPr="001E38A3">
        <w:rPr>
          <w:rFonts w:ascii="Open Sans" w:hAnsi="Open Sans" w:cs="Open Sans"/>
          <w:bCs/>
          <w:sz w:val="20"/>
          <w:szCs w:val="20"/>
        </w:rPr>
        <w:t xml:space="preserve"> z siedzibą przy ul. </w:t>
      </w:r>
      <w:r w:rsidR="00E510E6">
        <w:rPr>
          <w:rFonts w:ascii="Open Sans" w:hAnsi="Open Sans" w:cs="Open Sans"/>
          <w:bCs/>
          <w:sz w:val="20"/>
          <w:szCs w:val="20"/>
        </w:rPr>
        <w:t xml:space="preserve">Zbigniewa </w:t>
      </w:r>
      <w:proofErr w:type="spellStart"/>
      <w:r w:rsidR="00E510E6">
        <w:rPr>
          <w:rFonts w:ascii="Open Sans" w:hAnsi="Open Sans" w:cs="Open Sans"/>
          <w:bCs/>
          <w:sz w:val="20"/>
          <w:szCs w:val="20"/>
        </w:rPr>
        <w:t>Gęsikowskiego</w:t>
      </w:r>
      <w:proofErr w:type="spellEnd"/>
      <w:r w:rsidR="00E510E6">
        <w:rPr>
          <w:rFonts w:ascii="Open Sans" w:hAnsi="Open Sans" w:cs="Open Sans"/>
          <w:bCs/>
          <w:sz w:val="20"/>
          <w:szCs w:val="20"/>
        </w:rPr>
        <w:t xml:space="preserve"> 7</w:t>
      </w:r>
      <w:r w:rsidRPr="001E38A3">
        <w:rPr>
          <w:rFonts w:ascii="Open Sans" w:hAnsi="Open Sans" w:cs="Open Sans"/>
          <w:bCs/>
          <w:sz w:val="20"/>
          <w:szCs w:val="20"/>
        </w:rPr>
        <w:t xml:space="preserve">, </w:t>
      </w:r>
      <w:r w:rsidR="00E510E6">
        <w:rPr>
          <w:rFonts w:ascii="Open Sans" w:hAnsi="Open Sans" w:cs="Open Sans"/>
          <w:bCs/>
          <w:sz w:val="20"/>
          <w:szCs w:val="20"/>
        </w:rPr>
        <w:t>32-566 Alwernia</w:t>
      </w:r>
      <w:r w:rsidR="008A35CF" w:rsidRPr="001E38A3">
        <w:rPr>
          <w:rFonts w:ascii="Open Sans" w:hAnsi="Open Sans" w:cs="Open Sans"/>
          <w:bCs/>
          <w:sz w:val="20"/>
          <w:szCs w:val="20"/>
        </w:rPr>
        <w:t xml:space="preserve">, </w:t>
      </w:r>
      <w:r w:rsidR="009B4E19" w:rsidRPr="001E38A3">
        <w:rPr>
          <w:rFonts w:ascii="Open Sans" w:hAnsi="Open Sans" w:cs="Open Sans"/>
          <w:bCs/>
          <w:sz w:val="20"/>
          <w:szCs w:val="20"/>
          <w:lang w:val="x-none"/>
        </w:rPr>
        <w:t>posiadając</w:t>
      </w:r>
      <w:r w:rsidRPr="001E38A3">
        <w:rPr>
          <w:rFonts w:ascii="Open Sans" w:hAnsi="Open Sans" w:cs="Open Sans"/>
          <w:bCs/>
          <w:sz w:val="20"/>
          <w:szCs w:val="20"/>
        </w:rPr>
        <w:t>ą</w:t>
      </w:r>
      <w:r w:rsidR="009B4E19"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</w:t>
      </w:r>
      <w:r w:rsidRPr="001E38A3">
        <w:rPr>
          <w:rFonts w:ascii="Open Sans" w:hAnsi="Open Sans" w:cs="Open Sans"/>
          <w:bCs/>
          <w:sz w:val="20"/>
          <w:szCs w:val="20"/>
        </w:rPr>
        <w:t>REGON:</w:t>
      </w:r>
      <w:r w:rsidR="00E15390" w:rsidRPr="001E38A3">
        <w:rPr>
          <w:rFonts w:ascii="Open Sans" w:hAnsi="Open Sans" w:cs="Open Sans"/>
          <w:bCs/>
          <w:sz w:val="20"/>
          <w:szCs w:val="20"/>
        </w:rPr>
        <w:t xml:space="preserve"> </w:t>
      </w:r>
      <w:r w:rsidR="00E510E6">
        <w:rPr>
          <w:rFonts w:ascii="Open Sans" w:hAnsi="Open Sans" w:cs="Open Sans"/>
          <w:bCs/>
          <w:sz w:val="20"/>
          <w:szCs w:val="20"/>
        </w:rPr>
        <w:t>351555967</w:t>
      </w:r>
      <w:r w:rsidRPr="001E38A3">
        <w:rPr>
          <w:rFonts w:ascii="Open Sans" w:hAnsi="Open Sans" w:cs="Open Sans"/>
          <w:bCs/>
          <w:sz w:val="20"/>
          <w:szCs w:val="20"/>
        </w:rPr>
        <w:t>, NIP:</w:t>
      </w:r>
      <w:r w:rsidR="00E15390" w:rsidRPr="001E38A3">
        <w:rPr>
          <w:rFonts w:ascii="Open Sans" w:hAnsi="Open Sans" w:cs="Open Sans"/>
          <w:bCs/>
          <w:sz w:val="20"/>
          <w:szCs w:val="20"/>
          <w:lang w:eastAsia="pl-PL"/>
        </w:rPr>
        <w:t xml:space="preserve"> </w:t>
      </w:r>
      <w:r w:rsidR="00E510E6">
        <w:rPr>
          <w:rFonts w:ascii="Open Sans" w:hAnsi="Open Sans" w:cs="Open Sans"/>
          <w:bCs/>
          <w:sz w:val="20"/>
          <w:szCs w:val="20"/>
        </w:rPr>
        <w:t>6282074477</w:t>
      </w:r>
      <w:r w:rsidRPr="001E38A3">
        <w:rPr>
          <w:rFonts w:ascii="Open Sans" w:hAnsi="Open Sans" w:cs="Open Sans"/>
          <w:bCs/>
          <w:sz w:val="20"/>
          <w:szCs w:val="20"/>
        </w:rPr>
        <w:t>,</w:t>
      </w:r>
      <w:r w:rsidR="009B4E19"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</w:t>
      </w:r>
      <w:r w:rsidR="009B4E19" w:rsidRPr="001E38A3">
        <w:rPr>
          <w:rFonts w:ascii="Open Sans" w:hAnsi="Open Sans" w:cs="Open Sans"/>
          <w:bCs/>
          <w:sz w:val="20"/>
          <w:szCs w:val="20"/>
          <w:lang w:val="x-none"/>
        </w:rPr>
        <w:tab/>
      </w:r>
    </w:p>
    <w:p w14:paraId="16A19FBB" w14:textId="3C336153" w:rsidR="00045F5C" w:rsidRPr="001E38A3" w:rsidRDefault="009B4E19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1E38A3">
        <w:rPr>
          <w:rFonts w:ascii="Open Sans" w:hAnsi="Open Sans" w:cs="Open Sans"/>
          <w:bCs/>
          <w:sz w:val="20"/>
          <w:szCs w:val="20"/>
          <w:lang w:val="x-none"/>
        </w:rPr>
        <w:t>reprezentowan</w:t>
      </w:r>
      <w:r w:rsidR="006A31A2" w:rsidRPr="001E38A3">
        <w:rPr>
          <w:rFonts w:ascii="Open Sans" w:hAnsi="Open Sans" w:cs="Open Sans"/>
          <w:bCs/>
          <w:sz w:val="20"/>
          <w:szCs w:val="20"/>
        </w:rPr>
        <w:t>ą</w:t>
      </w:r>
      <w:r w:rsidRPr="001E38A3">
        <w:rPr>
          <w:rFonts w:ascii="Open Sans" w:hAnsi="Open Sans" w:cs="Open Sans"/>
          <w:bCs/>
          <w:sz w:val="20"/>
          <w:szCs w:val="20"/>
          <w:lang w:val="x-none"/>
        </w:rPr>
        <w:t xml:space="preserve"> przez:</w:t>
      </w:r>
    </w:p>
    <w:p w14:paraId="287AE7F9" w14:textId="41A62F67" w:rsidR="00E15390" w:rsidRPr="001E38A3" w:rsidRDefault="00E15390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1E38A3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………………………………………………………………….</w:t>
      </w:r>
    </w:p>
    <w:p w14:paraId="27712F61" w14:textId="150AF36E" w:rsidR="00045F5C" w:rsidRPr="00A46478" w:rsidRDefault="00045F5C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1E38A3">
        <w:rPr>
          <w:rFonts w:ascii="Open Sans" w:hAnsi="Open Sans" w:cs="Open Sans"/>
          <w:bCs/>
          <w:sz w:val="20"/>
          <w:szCs w:val="20"/>
        </w:rPr>
        <w:t xml:space="preserve">Przy kontrasygnacie Skarbnika Gminy </w:t>
      </w:r>
      <w:r w:rsidR="00E510E6">
        <w:rPr>
          <w:rFonts w:ascii="Open Sans" w:hAnsi="Open Sans" w:cs="Open Sans"/>
          <w:bCs/>
          <w:sz w:val="20"/>
          <w:szCs w:val="20"/>
        </w:rPr>
        <w:t>Alwernia</w:t>
      </w:r>
    </w:p>
    <w:p w14:paraId="419840E7" w14:textId="55AEA09E" w:rsidR="00B27AE4" w:rsidRPr="00A46478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zwanym w treści umowy “</w:t>
      </w:r>
      <w:r w:rsidR="006A31A2" w:rsidRPr="00A46478">
        <w:rPr>
          <w:rFonts w:ascii="Open Sans" w:hAnsi="Open Sans" w:cs="Open Sans"/>
          <w:b/>
          <w:sz w:val="20"/>
          <w:szCs w:val="20"/>
        </w:rPr>
        <w:t>Zamawiającym</w:t>
      </w:r>
      <w:r w:rsidRPr="00A46478">
        <w:rPr>
          <w:rFonts w:ascii="Open Sans" w:hAnsi="Open Sans" w:cs="Open Sans"/>
          <w:bCs/>
          <w:sz w:val="20"/>
          <w:szCs w:val="20"/>
          <w:lang w:val="x-none"/>
        </w:rPr>
        <w:t>”</w:t>
      </w:r>
    </w:p>
    <w:p w14:paraId="2754C3C9" w14:textId="77777777" w:rsidR="006A31A2" w:rsidRPr="00A46478" w:rsidRDefault="006A31A2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0BC8692C" w14:textId="319F2697" w:rsidR="00FC515B" w:rsidRPr="00A46478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a:</w:t>
      </w:r>
    </w:p>
    <w:p w14:paraId="22778511" w14:textId="77777777" w:rsidR="00FC515B" w:rsidRPr="00A46478" w:rsidRDefault="00FC515B" w:rsidP="00B27AE4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A46478">
        <w:rPr>
          <w:rFonts w:ascii="Open Sans" w:hAnsi="Open Sans" w:cs="Open Sans"/>
          <w:b/>
          <w:sz w:val="20"/>
          <w:szCs w:val="20"/>
          <w:lang w:val="x-none"/>
        </w:rPr>
        <w:t>Wykonawcą:</w:t>
      </w:r>
    </w:p>
    <w:p w14:paraId="5E38ACF9" w14:textId="77777777" w:rsidR="00FC515B" w:rsidRPr="00A46478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……………………….………………………………………..…………………………………..........................................................,</w:t>
      </w:r>
    </w:p>
    <w:p w14:paraId="3F50B774" w14:textId="77777777" w:rsidR="00FC515B" w:rsidRPr="00A46478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z siedzibą w ........................................................................................................., 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reprezentowanym przez:</w:t>
      </w:r>
    </w:p>
    <w:p w14:paraId="169AC5AB" w14:textId="77777777" w:rsidR="00FC515B" w:rsidRPr="00A46478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6562BEF2" w14:textId="77777777" w:rsidR="00B27AE4" w:rsidRPr="00A46478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zwanym w treści umowy “Ubezpieczycielem”</w:t>
      </w:r>
    </w:p>
    <w:p w14:paraId="3627C95B" w14:textId="0E3A15CB" w:rsidR="00FC515B" w:rsidRPr="00A46478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zwanymi dalej łącznie „Stronami”, a każda z nich z osobna „Stroną”,</w:t>
      </w:r>
    </w:p>
    <w:p w14:paraId="02A721FE" w14:textId="77777777" w:rsidR="00B27AE4" w:rsidRPr="00A46478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22D75B24" w14:textId="6C864E25" w:rsidR="00FC515B" w:rsidRPr="00A46478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A46478">
        <w:rPr>
          <w:rFonts w:ascii="Open Sans" w:hAnsi="Open Sans" w:cs="Open Sans"/>
          <w:bCs/>
          <w:sz w:val="20"/>
          <w:szCs w:val="20"/>
          <w:lang w:val="x-none"/>
        </w:rPr>
        <w:t>o następującej treści:</w:t>
      </w:r>
    </w:p>
    <w:p w14:paraId="7770D667" w14:textId="3EDE1C16" w:rsidR="00B27AE4" w:rsidRPr="00A46478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215D3CAC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§1</w:t>
      </w:r>
    </w:p>
    <w:p w14:paraId="10ED5061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PRZEDMIOT UMOWY</w:t>
      </w:r>
    </w:p>
    <w:p w14:paraId="2F1512D4" w14:textId="167F1572" w:rsidR="001A4D7A" w:rsidRPr="00A46478" w:rsidRDefault="00B27AE4" w:rsidP="001A4D7A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Przedmiotem umowy jest świadczenie przez Ubezpieczyciela na rzecz </w:t>
      </w:r>
      <w:r w:rsidR="00045F5C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1A4D7A" w:rsidRPr="00A46478">
        <w:rPr>
          <w:rFonts w:ascii="Open Sans" w:hAnsi="Open Sans" w:cs="Open Sans"/>
          <w:sz w:val="20"/>
          <w:szCs w:val="20"/>
          <w:lang w:eastAsia="pl-PL"/>
        </w:rPr>
        <w:t>usługi ubezpieczenia obejmującej:</w:t>
      </w:r>
    </w:p>
    <w:p w14:paraId="0B509D65" w14:textId="2F28393D" w:rsidR="001A4D7A" w:rsidRPr="00A46478" w:rsidRDefault="001A4D7A" w:rsidP="001A4D7A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- ubezpieczenie mienia od wszystkich ryzyk</w:t>
      </w:r>
    </w:p>
    <w:p w14:paraId="2EB2EB15" w14:textId="79E7CF8E" w:rsidR="001A4D7A" w:rsidRPr="00A46478" w:rsidRDefault="001A4D7A" w:rsidP="001A4D7A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- ubezpieczenie sprzętu elektronicznego od wszystkich ryzyk</w:t>
      </w:r>
    </w:p>
    <w:p w14:paraId="4D127D1C" w14:textId="14A3029A" w:rsidR="006A31A2" w:rsidRPr="00A46478" w:rsidRDefault="006A31A2" w:rsidP="001A4D7A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- ubezpieczenie odpowiedzialności cywilnej</w:t>
      </w:r>
    </w:p>
    <w:p w14:paraId="2D8C97D3" w14:textId="2BDD10B9" w:rsidR="00B27AE4" w:rsidRPr="00A46478" w:rsidRDefault="00B27AE4" w:rsidP="001A4D7A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zakresie określonym w opisie przedmiotu zamówienia zawartym w niniejszej Specyfikacji Warunków Zamówienia (zwanej dalej „SWZ”) oraz załącznikach do niej, zgodnie z</w:t>
      </w:r>
      <w:r w:rsidR="001A4D7A" w:rsidRPr="00A46478">
        <w:rPr>
          <w:rFonts w:ascii="Open Sans" w:hAnsi="Open Sans" w:cs="Open Sans"/>
          <w:sz w:val="20"/>
          <w:szCs w:val="20"/>
          <w:lang w:eastAsia="pl-PL"/>
        </w:rPr>
        <w:t xml:space="preserve">e złożoną na Formularzu ofertowym przez Wykonawcę </w:t>
      </w:r>
      <w:r w:rsidRPr="00A46478">
        <w:rPr>
          <w:rFonts w:ascii="Open Sans" w:hAnsi="Open Sans" w:cs="Open Sans"/>
          <w:sz w:val="20"/>
          <w:szCs w:val="20"/>
          <w:lang w:eastAsia="pl-PL"/>
        </w:rPr>
        <w:t>ofertą.</w:t>
      </w:r>
    </w:p>
    <w:p w14:paraId="0C227A73" w14:textId="77777777" w:rsidR="001A4D7A" w:rsidRPr="00A46478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Wykonawca zobowiązuje się wykonywać przedmiot Umowy zgodnie z warunkami określonymi w SWZ oraz Ofercie Wykonawcy.</w:t>
      </w:r>
    </w:p>
    <w:p w14:paraId="224A73F9" w14:textId="705B4A18" w:rsidR="001A4D7A" w:rsidRPr="00A46478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Wykonawca oświadcza, iż jest mu znany, w momencie zawierania umowy ubezpieczenia, stan zabezpieczeń przeciwpożarowych, </w:t>
      </w:r>
      <w:proofErr w:type="spellStart"/>
      <w:r w:rsidRPr="00A46478">
        <w:rPr>
          <w:rFonts w:ascii="Open Sans" w:hAnsi="Open Sans" w:cs="Open Sans"/>
          <w:sz w:val="20"/>
          <w:szCs w:val="20"/>
          <w:lang w:eastAsia="pl-PL"/>
        </w:rPr>
        <w:t>przeciwkradzieżowych</w:t>
      </w:r>
      <w:proofErr w:type="spellEnd"/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ubezpieczanego majątku, uznaje je </w:t>
      </w: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>za wystarczające i nie będzie powoływał się na zapisy OWU dotyczące</w:t>
      </w:r>
      <w:r w:rsidR="0014750F" w:rsidRPr="00A46478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A46478">
        <w:rPr>
          <w:rFonts w:ascii="Open Sans" w:hAnsi="Open Sans" w:cs="Open Sans"/>
          <w:sz w:val="20"/>
          <w:szCs w:val="20"/>
          <w:lang w:eastAsia="pl-PL"/>
        </w:rPr>
        <w:t>minimalnych wymogów dotyczących zabezpieczeń, o ile stan ten w momencie powstania szkody nie ulegnie pogorszeniu w stosunku do opisanego w materiałach przekazanych Wykonawcy w dokumentacji przetargowej.</w:t>
      </w:r>
    </w:p>
    <w:p w14:paraId="11A29DE6" w14:textId="77777777" w:rsidR="003121DA" w:rsidRPr="00A46478" w:rsidRDefault="003121DA" w:rsidP="003121DA">
      <w:pPr>
        <w:pStyle w:val="Akapitzlist"/>
        <w:numPr>
          <w:ilvl w:val="0"/>
          <w:numId w:val="28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Wszystkie limity odpowiedzialności wskazane w opisie przedmiotu zamówienia odnoszą się do rocznego okresu ubezpieczenia. </w:t>
      </w:r>
    </w:p>
    <w:p w14:paraId="1D4FDFEA" w14:textId="30C159B5" w:rsidR="001A4D7A" w:rsidRPr="00A46478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kwestiach nieuregulowanych w SWZ lub w Ofercie Wykonawcy zastosowanie będą mieć ogólne warunki ubezpieczenia lub inne wzorce umowy Wykonawcy (dalej OWU), wymienione w Ofercie Wykonawcy.</w:t>
      </w:r>
    </w:p>
    <w:p w14:paraId="1C4DE04A" w14:textId="40A8D639" w:rsidR="001A4D7A" w:rsidRPr="00A46478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 powodów innych niż konieczność dostosowania ich do przepisów prawa, nie mają zastosowania jeśli są mniej korzystne dla Zamawiającego niż w OWU wymienionych w Ofercie Wykonawcy.</w:t>
      </w:r>
    </w:p>
    <w:p w14:paraId="0529A970" w14:textId="77D92320" w:rsidR="0014750F" w:rsidRPr="00A46478" w:rsidRDefault="0014750F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7DF019D4" w14:textId="793674C6" w:rsidR="001A4D7A" w:rsidRPr="00A46478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Brokerem odpowiedzialnym za obsługę umowy oraz pośredniczącym w jej zawarciu jest:</w:t>
      </w:r>
    </w:p>
    <w:p w14:paraId="748DB998" w14:textId="77777777" w:rsidR="007650B6" w:rsidRPr="00A46478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val="en-US" w:eastAsia="pl-PL"/>
        </w:rPr>
        <w:t xml:space="preserve">Attis Broker Sp. z </w:t>
      </w:r>
      <w:proofErr w:type="spellStart"/>
      <w:r w:rsidRPr="00A46478">
        <w:rPr>
          <w:rFonts w:ascii="Open Sans" w:hAnsi="Open Sans" w:cs="Open Sans"/>
          <w:sz w:val="20"/>
          <w:szCs w:val="20"/>
          <w:lang w:val="en-US" w:eastAsia="pl-PL"/>
        </w:rPr>
        <w:t>o.o.</w:t>
      </w:r>
      <w:proofErr w:type="spellEnd"/>
      <w:r w:rsidRPr="00A46478">
        <w:rPr>
          <w:rFonts w:ascii="Open Sans" w:hAnsi="Open Sans" w:cs="Open Sans"/>
          <w:sz w:val="20"/>
          <w:szCs w:val="20"/>
          <w:lang w:val="en-US" w:eastAsia="pl-PL"/>
        </w:rPr>
        <w:t xml:space="preserve">, </w:t>
      </w:r>
      <w:proofErr w:type="spellStart"/>
      <w:r w:rsidRPr="00A46478">
        <w:rPr>
          <w:rFonts w:ascii="Open Sans" w:hAnsi="Open Sans" w:cs="Open Sans"/>
          <w:sz w:val="20"/>
          <w:szCs w:val="20"/>
          <w:lang w:val="en-US" w:eastAsia="pl-PL"/>
        </w:rPr>
        <w:t>ul</w:t>
      </w:r>
      <w:proofErr w:type="spellEnd"/>
      <w:r w:rsidRPr="00A46478">
        <w:rPr>
          <w:rFonts w:ascii="Open Sans" w:hAnsi="Open Sans" w:cs="Open Sans"/>
          <w:sz w:val="20"/>
          <w:szCs w:val="20"/>
          <w:lang w:val="en-US" w:eastAsia="pl-PL"/>
        </w:rPr>
        <w:t xml:space="preserve">. 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Klimczaka 1, 02-797 Warszawa. </w:t>
      </w:r>
    </w:p>
    <w:p w14:paraId="5DA975DB" w14:textId="4804A07D" w:rsidR="007650B6" w:rsidRPr="00A46478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NIP: 952 18 66 994, REGON: 017260707</w:t>
      </w:r>
    </w:p>
    <w:p w14:paraId="491B407A" w14:textId="77777777" w:rsidR="007650B6" w:rsidRPr="001E38A3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Licencja Brokera </w:t>
      </w:r>
      <w:r w:rsidRPr="001E38A3">
        <w:rPr>
          <w:rFonts w:ascii="Open Sans" w:hAnsi="Open Sans" w:cs="Open Sans"/>
          <w:sz w:val="20"/>
          <w:szCs w:val="20"/>
          <w:lang w:eastAsia="pl-PL"/>
        </w:rPr>
        <w:t>Ubezpieczeniowego nr 1215/03</w:t>
      </w:r>
    </w:p>
    <w:p w14:paraId="2DC7A5FB" w14:textId="77777777" w:rsidR="007650B6" w:rsidRPr="001E38A3" w:rsidRDefault="007650B6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</w:p>
    <w:p w14:paraId="1B20B5BF" w14:textId="62A9F923" w:rsidR="00B27AE4" w:rsidRPr="001E38A3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1E38A3">
        <w:rPr>
          <w:rFonts w:ascii="Open Sans" w:hAnsi="Open Sans" w:cs="Open Sans"/>
          <w:color w:val="auto"/>
          <w:sz w:val="20"/>
          <w:szCs w:val="20"/>
          <w:lang w:eastAsia="pl-PL"/>
        </w:rPr>
        <w:t>§2</w:t>
      </w:r>
    </w:p>
    <w:p w14:paraId="50E912BD" w14:textId="77777777" w:rsidR="00B27AE4" w:rsidRPr="001E38A3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1E38A3">
        <w:rPr>
          <w:rFonts w:ascii="Open Sans" w:hAnsi="Open Sans" w:cs="Open Sans"/>
          <w:color w:val="auto"/>
          <w:sz w:val="20"/>
          <w:szCs w:val="20"/>
          <w:lang w:eastAsia="pl-PL"/>
        </w:rPr>
        <w:t>TERMIN REALIZACJI UMOWY</w:t>
      </w:r>
    </w:p>
    <w:p w14:paraId="1A5FE290" w14:textId="77777777" w:rsidR="007650B6" w:rsidRPr="001E38A3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E38A3">
        <w:rPr>
          <w:rFonts w:ascii="Open Sans" w:hAnsi="Open Sans" w:cs="Open Sans"/>
          <w:sz w:val="20"/>
          <w:szCs w:val="20"/>
          <w:lang w:eastAsia="pl-PL"/>
        </w:rPr>
        <w:t>Termin realizacji umowy wynosi 36 miesięcy.</w:t>
      </w:r>
    </w:p>
    <w:p w14:paraId="1880B8E6" w14:textId="7022840E" w:rsidR="00B27AE4" w:rsidRPr="001E38A3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E38A3">
        <w:rPr>
          <w:rFonts w:ascii="Open Sans" w:hAnsi="Open Sans" w:cs="Open Sans"/>
          <w:sz w:val="20"/>
          <w:szCs w:val="20"/>
          <w:lang w:eastAsia="pl-PL"/>
        </w:rPr>
        <w:t xml:space="preserve">Termin wykonania umowy ustalany jest na okres </w:t>
      </w:r>
      <w:r w:rsidR="00B27AE4" w:rsidRPr="001E38A3">
        <w:rPr>
          <w:rFonts w:ascii="Open Sans" w:hAnsi="Open Sans" w:cs="Open Sans"/>
          <w:sz w:val="20"/>
          <w:szCs w:val="20"/>
          <w:lang w:eastAsia="pl-PL"/>
        </w:rPr>
        <w:t xml:space="preserve">: </w:t>
      </w:r>
      <w:bookmarkStart w:id="0" w:name="_Hlk146626164"/>
      <w:r w:rsidR="00B27AE4" w:rsidRPr="001E38A3">
        <w:rPr>
          <w:rFonts w:ascii="Open Sans" w:hAnsi="Open Sans" w:cs="Open Sans"/>
          <w:sz w:val="20"/>
          <w:szCs w:val="20"/>
          <w:lang w:eastAsia="pl-PL"/>
        </w:rPr>
        <w:t xml:space="preserve">od dnia </w:t>
      </w:r>
      <w:r w:rsidR="00E510E6">
        <w:rPr>
          <w:rFonts w:ascii="Open Sans" w:hAnsi="Open Sans" w:cs="Open Sans"/>
          <w:sz w:val="20"/>
          <w:szCs w:val="20"/>
          <w:lang w:eastAsia="pl-PL"/>
        </w:rPr>
        <w:t>14 stycznia 2024 r. do dnia 13 stycznia 2027 r.</w:t>
      </w:r>
    </w:p>
    <w:bookmarkEnd w:id="0"/>
    <w:p w14:paraId="68658136" w14:textId="77777777" w:rsidR="007650B6" w:rsidRPr="00A46478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E38A3">
        <w:rPr>
          <w:rFonts w:ascii="Open Sans" w:hAnsi="Open Sans" w:cs="Open Sans"/>
          <w:sz w:val="20"/>
          <w:szCs w:val="20"/>
          <w:lang w:eastAsia="pl-PL"/>
        </w:rPr>
        <w:t>Termin realizacji zobowiązań Wykonawcy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wobec Zamawiającego może wykraczać poza termin realizacji Umowy, zgodnie z obowiązującymi przepisami prawa. </w:t>
      </w:r>
    </w:p>
    <w:p w14:paraId="36BC2DE4" w14:textId="6454395F" w:rsidR="007650B6" w:rsidRPr="00A46478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Niezależnie od ustalonego w polisie terminu zapłaty składki, odpowiedzialność Wykonawcy rozpoczyna się z chwilą określoną w Umowie lub polisie, jako początek okresu ubezpieczenia. </w:t>
      </w:r>
    </w:p>
    <w:p w14:paraId="1D421A09" w14:textId="77777777" w:rsidR="00B27AE4" w:rsidRPr="00A46478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BED93E1" w14:textId="77777777" w:rsidR="00B27AE4" w:rsidRPr="00A46478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84C8B7C" w14:textId="3E52105C" w:rsidR="00162380" w:rsidRPr="00A46478" w:rsidRDefault="00162380" w:rsidP="00162380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§3</w:t>
      </w:r>
    </w:p>
    <w:p w14:paraId="344ED297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SKŁADKA</w:t>
      </w:r>
    </w:p>
    <w:p w14:paraId="6CFDB40B" w14:textId="77777777" w:rsidR="007650B6" w:rsidRPr="00A46478" w:rsidRDefault="007650B6" w:rsidP="007650B6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Stawki i składki (gdy brak stawki) wynikające z Oferty Wykonawcy obowiązywać będą przez cały okres realizacji Umowy.</w:t>
      </w:r>
    </w:p>
    <w:p w14:paraId="4EF1B901" w14:textId="737C9C04" w:rsidR="00B27AE4" w:rsidRPr="00A46478" w:rsidRDefault="00B27AE4" w:rsidP="007650B6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Składka </w:t>
      </w:r>
      <w:r w:rsidR="007650B6" w:rsidRPr="00A46478">
        <w:rPr>
          <w:rFonts w:ascii="Open Sans" w:hAnsi="Open Sans" w:cs="Open Sans"/>
          <w:sz w:val="20"/>
          <w:szCs w:val="20"/>
          <w:lang w:eastAsia="pl-PL"/>
        </w:rPr>
        <w:t xml:space="preserve">łączna </w:t>
      </w:r>
      <w:r w:rsidRPr="00A46478">
        <w:rPr>
          <w:rFonts w:ascii="Open Sans" w:hAnsi="Open Sans" w:cs="Open Sans"/>
          <w:sz w:val="20"/>
          <w:szCs w:val="20"/>
          <w:lang w:eastAsia="pl-PL"/>
        </w:rPr>
        <w:t>za wykonanie przedmiotu umowy</w:t>
      </w:r>
      <w:r w:rsidR="00D3192E" w:rsidRPr="00A46478">
        <w:rPr>
          <w:rFonts w:ascii="Open Sans" w:hAnsi="Open Sans" w:cs="Open Sans"/>
          <w:sz w:val="20"/>
          <w:szCs w:val="20"/>
          <w:lang w:eastAsia="pl-PL"/>
        </w:rPr>
        <w:t xml:space="preserve"> za cały okres realizacji umowy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wynosi:</w:t>
      </w:r>
      <w:r w:rsidR="00D3192E" w:rsidRPr="00A46478">
        <w:rPr>
          <w:rFonts w:ascii="Open Sans" w:hAnsi="Open Sans" w:cs="Open Sans"/>
          <w:sz w:val="20"/>
          <w:szCs w:val="20"/>
          <w:lang w:eastAsia="pl-PL"/>
        </w:rPr>
        <w:t xml:space="preserve"> brutto ……………………………………………… zł, w tym VAT zwolniony.</w:t>
      </w:r>
    </w:p>
    <w:p w14:paraId="42456EE0" w14:textId="77777777" w:rsidR="00D3192E" w:rsidRPr="00A46478" w:rsidRDefault="00D3192E" w:rsidP="00D3192E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Ostateczna składka może różnić się od składki zadeklarowanej w Ofercie Wykonawcy z uwagi na zwiększenie lub zmniejszenie majątku Zamawiającego (zgodnie z postanowieniami Klauzul automatycznego ubezpieczenia) lub zmianę, uzupełnienie sum ubezpieczenia lub limitów odpowiedzialności.</w:t>
      </w:r>
    </w:p>
    <w:p w14:paraId="1D2DC32B" w14:textId="77777777" w:rsidR="00303898" w:rsidRPr="00A46478" w:rsidRDefault="00303898" w:rsidP="00303898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>Przed wystawieniem polis na kolejne roczne okresy ubezpieczenia Zamawiający może zaktualizować sumy ubezpieczenia mienia. Składka zostanie wyliczona z zastosowaniem stawek wynikających z Oferty Wykonawcy.</w:t>
      </w:r>
    </w:p>
    <w:p w14:paraId="435B9562" w14:textId="6F5E9BBF" w:rsidR="00303898" w:rsidRPr="00A46478" w:rsidRDefault="00303898" w:rsidP="00303898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Dokonując aktualizacji sum ubezpieczenia Zamawiający może ustalić dla wybranych przedmiotów ubezpieczenia inny rodzaj wartości ubezpieczenia, będącej podstawą określenia sum ubezpieczenia.</w:t>
      </w:r>
    </w:p>
    <w:p w14:paraId="2A534683" w14:textId="77777777" w:rsidR="00B27AE4" w:rsidRPr="00A46478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6C64372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§4</w:t>
      </w:r>
    </w:p>
    <w:p w14:paraId="6F164474" w14:textId="77777777" w:rsidR="00B27AE4" w:rsidRPr="00A46478" w:rsidRDefault="00B27AE4" w:rsidP="00B27AE4">
      <w:pPr>
        <w:spacing w:line="271" w:lineRule="auto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KLAUZULA WALORYZACYJNA</w:t>
      </w:r>
    </w:p>
    <w:p w14:paraId="590F02EA" w14:textId="77777777" w:rsidR="00BB7EF1" w:rsidRPr="00A46478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Zamawiający dopuszcza możliwość zmiany wysokości wynagrodzenia całkowitego jeżeli wskaźnik zmiany cen towarów i usług konsumpcyjnych ustalany przez Prezesa Głównego Urzędu Statystycznego i ogłaszanego w Dzienniku Urzędowym RP „Monitor Polski” (Wskaźnik) ulegnie zmianie o co najmniej 10% w okresie kolejnych 12 miesięcy od pierwszego dnia obowiązywania umowy (w stosunku do roku poprzedniego). </w:t>
      </w:r>
    </w:p>
    <w:p w14:paraId="19237888" w14:textId="77777777" w:rsidR="00BB7EF1" w:rsidRPr="00A46478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Pierwsza zmiana będzie możliwa nie wcześniej niż po upływie pierwszego rocznego okresu obowiązywania umowy i będzie wyliczona jako średnia arytmetyczna ze Wskaźnika za okres poprzednich 12 miesięcy o ile Wykonawca lub Zamawiający wstąpi z wnioskiem o zmianę. </w:t>
      </w:r>
    </w:p>
    <w:p w14:paraId="5EFF5DD7" w14:textId="1CE9335B" w:rsidR="00BB7EF1" w:rsidRPr="00A46478" w:rsidRDefault="00BB7EF1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Wysokość dodatkowego wynagrodzenia dla Wykonawcy zostanie ustalona najpóźniej w ciągu 30 dni od zakończenia pierwszego roku trwania umowy tj. do </w:t>
      </w:r>
      <w:r w:rsidR="00E510E6">
        <w:rPr>
          <w:rFonts w:ascii="Open Sans" w:hAnsi="Open Sans" w:cs="Open Sans"/>
          <w:sz w:val="20"/>
          <w:szCs w:val="20"/>
          <w:lang w:eastAsia="pl-PL"/>
        </w:rPr>
        <w:t>13.02.2024 r.</w:t>
      </w:r>
    </w:p>
    <w:p w14:paraId="53EF8806" w14:textId="1669416B" w:rsidR="00BB7EF1" w:rsidRPr="00A46478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Każda kolejna waloryzacja dokonywana będzie możliwa po upływie 12 miesięcy od poprzedniej waloryzacji i będzie wyliczana jako średnia arytmetyczna ze Wskaźnika za okres, który upłynął od poprzedniej waloryzacji. </w:t>
      </w:r>
    </w:p>
    <w:p w14:paraId="150AFEE9" w14:textId="59C5AAD8" w:rsidR="00BB7EF1" w:rsidRPr="00A46478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Łączna wartość korekt dla oddania wzrostu cen, począwszy od</w:t>
      </w:r>
      <w:r w:rsidR="000F233A" w:rsidRPr="00A46478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D44267" w:rsidRPr="00A46478">
        <w:rPr>
          <w:rFonts w:ascii="Open Sans" w:hAnsi="Open Sans" w:cs="Open Sans"/>
          <w:sz w:val="20"/>
          <w:szCs w:val="20"/>
          <w:lang w:eastAsia="pl-PL"/>
        </w:rPr>
        <w:t>listopada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202</w:t>
      </w:r>
      <w:r w:rsidR="00D44267" w:rsidRPr="00A46478">
        <w:rPr>
          <w:rFonts w:ascii="Open Sans" w:hAnsi="Open Sans" w:cs="Open Sans"/>
          <w:sz w:val="20"/>
          <w:szCs w:val="20"/>
          <w:lang w:eastAsia="pl-PL"/>
        </w:rPr>
        <w:t>4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r. do czasu zakończenia realizacji umowy, wynikających z niniejszego wskaźnika, nie może przekroczyć limitu +2% całkowitego wynagrodzenia Wykonawcy – powyżej tego limitu waloryzacja nie będzie miała zastosowania.</w:t>
      </w:r>
    </w:p>
    <w:p w14:paraId="0EC315D6" w14:textId="77777777" w:rsidR="00B27AE4" w:rsidRPr="00A46478" w:rsidRDefault="00B27AE4" w:rsidP="00B27AE4">
      <w:pPr>
        <w:pStyle w:val="Akapitzlist"/>
        <w:spacing w:line="271" w:lineRule="auto"/>
        <w:ind w:left="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6D295F9F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§5</w:t>
      </w:r>
    </w:p>
    <w:p w14:paraId="67464F65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ROZLICZENIA</w:t>
      </w:r>
    </w:p>
    <w:p w14:paraId="0F60C09E" w14:textId="1771B527" w:rsidR="00B27AE4" w:rsidRPr="00A46478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Płatność składki </w:t>
      </w:r>
      <w:r w:rsidR="00BB7EF1" w:rsidRPr="00A46478">
        <w:rPr>
          <w:rFonts w:ascii="Open Sans" w:hAnsi="Open Sans" w:cs="Open Sans"/>
          <w:sz w:val="20"/>
          <w:szCs w:val="20"/>
          <w:lang w:eastAsia="pl-PL"/>
        </w:rPr>
        <w:t>dokonywana będzie przelewem</w:t>
      </w:r>
      <w:r w:rsidR="009E47CD">
        <w:rPr>
          <w:rFonts w:ascii="Open Sans" w:hAnsi="Open Sans" w:cs="Open Sans"/>
          <w:sz w:val="20"/>
          <w:szCs w:val="20"/>
          <w:lang w:eastAsia="pl-PL"/>
        </w:rPr>
        <w:t>, jednorazowo</w:t>
      </w:r>
      <w:r w:rsidR="00BB7EF1" w:rsidRPr="00A46478">
        <w:rPr>
          <w:rFonts w:ascii="Open Sans" w:hAnsi="Open Sans" w:cs="Open Sans"/>
          <w:sz w:val="20"/>
          <w:szCs w:val="20"/>
          <w:lang w:eastAsia="pl-PL"/>
        </w:rPr>
        <w:t xml:space="preserve"> w odniesieniu do rocznego okresu ubezpieczenia</w:t>
      </w:r>
      <w:r w:rsidR="009E47CD">
        <w:rPr>
          <w:rFonts w:ascii="Open Sans" w:hAnsi="Open Sans" w:cs="Open Sans"/>
          <w:sz w:val="20"/>
          <w:szCs w:val="20"/>
          <w:lang w:eastAsia="pl-PL"/>
        </w:rPr>
        <w:t xml:space="preserve">, </w:t>
      </w:r>
      <w:r w:rsidR="00BB7EF1" w:rsidRPr="00A46478">
        <w:rPr>
          <w:rFonts w:ascii="Open Sans" w:hAnsi="Open Sans" w:cs="Open Sans"/>
          <w:sz w:val="20"/>
          <w:szCs w:val="20"/>
          <w:lang w:eastAsia="pl-PL"/>
        </w:rPr>
        <w:t>przy czym termin płatności</w:t>
      </w:r>
      <w:r w:rsidR="009E47CD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BB7EF1" w:rsidRPr="00A46478">
        <w:rPr>
          <w:rFonts w:ascii="Open Sans" w:hAnsi="Open Sans" w:cs="Open Sans"/>
          <w:sz w:val="20"/>
          <w:szCs w:val="20"/>
          <w:lang w:eastAsia="pl-PL"/>
        </w:rPr>
        <w:t>winien przypadać nie wcześniej niż 1</w:t>
      </w:r>
      <w:r w:rsidR="0074771C" w:rsidRPr="00A46478">
        <w:rPr>
          <w:rFonts w:ascii="Open Sans" w:hAnsi="Open Sans" w:cs="Open Sans"/>
          <w:sz w:val="20"/>
          <w:szCs w:val="20"/>
          <w:lang w:eastAsia="pl-PL"/>
        </w:rPr>
        <w:t>4</w:t>
      </w:r>
      <w:r w:rsidR="00BB7EF1" w:rsidRPr="00A46478">
        <w:rPr>
          <w:rFonts w:ascii="Open Sans" w:hAnsi="Open Sans" w:cs="Open Sans"/>
          <w:sz w:val="20"/>
          <w:szCs w:val="20"/>
          <w:lang w:eastAsia="pl-PL"/>
        </w:rPr>
        <w:t xml:space="preserve"> dni po dniu wystawienia polisy.</w:t>
      </w:r>
    </w:p>
    <w:p w14:paraId="0DCA2898" w14:textId="5915D753" w:rsidR="00B27AE4" w:rsidRPr="00A46478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Składka za ubezpieczenie płatna będzie przez </w:t>
      </w:r>
      <w:r w:rsidR="00045F5C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przelewem na rachunek bankowy Wykonawcy wskazany</w:t>
      </w:r>
      <w:r w:rsidR="00732C5C" w:rsidRPr="00A46478">
        <w:rPr>
          <w:rFonts w:ascii="Open Sans" w:hAnsi="Open Sans" w:cs="Open Sans"/>
          <w:sz w:val="20"/>
          <w:szCs w:val="20"/>
          <w:lang w:eastAsia="pl-PL"/>
        </w:rPr>
        <w:t xml:space="preserve"> w polisach ubezpieczeniowych.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0E20CBE1" w14:textId="1E96B2EF" w:rsidR="00162380" w:rsidRPr="00A46478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</w:t>
      </w:r>
      <w:r w:rsidR="00045F5C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znajdowała się wystarczająca ilość środków płatniczych.</w:t>
      </w:r>
    </w:p>
    <w:p w14:paraId="1B3A3AB3" w14:textId="77777777" w:rsidR="00162380" w:rsidRPr="00A46478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Niezależnie od ustalonego w umowie ubezpieczenia terminu zapłaty składki (pierwszej raty składki), odpowiedzialność ubezpieczyciela rozpoczyna się z chwilą określoną w umowie ubezpieczenia jako początek okresu ubezpieczenia.</w:t>
      </w:r>
    </w:p>
    <w:p w14:paraId="23EAB534" w14:textId="0E352653" w:rsidR="00162380" w:rsidRPr="00A46478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Nieopłacenie przez Zamawiającego raty składki z polisy w terminie przewidzianym w umowie ubezpieczenia nie powoduje ustania odpowiedzialności Wykonawcy. Wykonawca zobowiązany jest do </w:t>
      </w: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>powiadomienia Z</w:t>
      </w:r>
      <w:r w:rsidR="00FD6CC5">
        <w:rPr>
          <w:rFonts w:ascii="Open Sans" w:hAnsi="Open Sans" w:cs="Open Sans"/>
          <w:sz w:val="20"/>
          <w:szCs w:val="20"/>
          <w:lang w:eastAsia="pl-PL"/>
        </w:rPr>
        <w:t>a</w:t>
      </w:r>
      <w:r w:rsidRPr="00A46478">
        <w:rPr>
          <w:rFonts w:ascii="Open Sans" w:hAnsi="Open Sans" w:cs="Open Sans"/>
          <w:sz w:val="20"/>
          <w:szCs w:val="20"/>
          <w:lang w:eastAsia="pl-PL"/>
        </w:rPr>
        <w:t>mawiającego na piśmie o braku zapłaty składki z wyznaczeniem terminu jej płatności.</w:t>
      </w:r>
    </w:p>
    <w:p w14:paraId="7E364D00" w14:textId="6B4F71CF" w:rsidR="00162380" w:rsidRPr="00A46478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 przypadku rozłożenia płatności składki na raty, z chwilą uznania przez Ubezpieczyciela roszczenia z tytułu szkody objętej ubezpieczeniem, </w:t>
      </w:r>
      <w:r w:rsidR="00045F5C" w:rsidRPr="00A46478">
        <w:rPr>
          <w:rFonts w:ascii="Open Sans" w:hAnsi="Open Sans" w:cs="Open Sans"/>
          <w:sz w:val="20"/>
          <w:szCs w:val="20"/>
          <w:lang w:eastAsia="pl-PL"/>
        </w:rPr>
        <w:t>Zamawiający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nie może zostać zobowiązany do natychmiastowego uregulowania pozostałej do zapłacenia części składki. Jednocześnie z wypłaconego odszkodowania nie zostanie potrącona kwota odpowiadająca wysokości nieopłaconych dotychczas rat składki, które płatne będą zgodnie z harmonogramem określonym w umowie ubezpieczenia.</w:t>
      </w:r>
    </w:p>
    <w:p w14:paraId="0434F349" w14:textId="77777777" w:rsidR="00162380" w:rsidRPr="00A46478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zmniejszenia (w okresie ubezpieczenia) limitu sumy ubezpieczenia wynikającego z jej redukcji o wypłacone odszkodowanie, na wniosek Zamawiającego (za zgodą Wykonawcy) oraz za dodatkową składką Wykonawca przywróci pierwotną wysokość sumy ubezpieczenia.</w:t>
      </w:r>
    </w:p>
    <w:p w14:paraId="7E65FBC7" w14:textId="329CDE55" w:rsidR="00162380" w:rsidRPr="00A46478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doubezpieczenia, uzupełnienia lub podwyższenia sumy ubezpieczenia lub limitu odpowiedzialności w okresie ubezpieczenia,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2978ED57" w14:textId="77777777" w:rsidR="00162380" w:rsidRPr="00A46478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2942577D" w14:textId="5CF145F3" w:rsidR="00B27AE4" w:rsidRPr="00A46478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Bez pisemnej zgody </w:t>
      </w:r>
      <w:r w:rsidR="00045F5C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>, Wykonawcy nie wolno dokonywać cesji wierzytelności wynikających z umowy na rzecz osób trzecich.</w:t>
      </w:r>
    </w:p>
    <w:p w14:paraId="712324DB" w14:textId="77777777" w:rsidR="00B27AE4" w:rsidRPr="00A46478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C49EC94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§6</w:t>
      </w:r>
    </w:p>
    <w:p w14:paraId="6B05CFE4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OBOWIĄZKI UBEZPIECZYCIELA</w:t>
      </w:r>
    </w:p>
    <w:p w14:paraId="04A5B2BE" w14:textId="77777777" w:rsidR="00162380" w:rsidRPr="00A46478" w:rsidRDefault="00B27AE4" w:rsidP="00162380">
      <w:pPr>
        <w:pStyle w:val="Akapitzlist"/>
        <w:numPr>
          <w:ilvl w:val="0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Do obowiązków Wykonawcy należy</w:t>
      </w:r>
      <w:r w:rsidR="00162380" w:rsidRPr="00A46478">
        <w:rPr>
          <w:rFonts w:ascii="Open Sans" w:hAnsi="Open Sans" w:cs="Open Sans"/>
          <w:sz w:val="20"/>
          <w:szCs w:val="20"/>
          <w:lang w:eastAsia="pl-PL"/>
        </w:rPr>
        <w:t>:</w:t>
      </w:r>
    </w:p>
    <w:p w14:paraId="7A22B26A" w14:textId="77777777" w:rsidR="00162380" w:rsidRPr="00A46478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wykonanie przedmiotu umowy - ubezpieczenie wskazanych ryzyk,</w:t>
      </w:r>
    </w:p>
    <w:p w14:paraId="0CCE896B" w14:textId="7198DC16" w:rsidR="00162380" w:rsidRPr="00A46478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zapłata </w:t>
      </w:r>
      <w:r w:rsidR="00305B3A" w:rsidRPr="00A46478">
        <w:rPr>
          <w:rFonts w:ascii="Open Sans" w:hAnsi="Open Sans" w:cs="Open Sans"/>
          <w:sz w:val="20"/>
          <w:szCs w:val="20"/>
          <w:lang w:eastAsia="pl-PL"/>
        </w:rPr>
        <w:t>odszkodowania/</w:t>
      </w:r>
      <w:r w:rsidRPr="00A46478">
        <w:rPr>
          <w:rFonts w:ascii="Open Sans" w:hAnsi="Open Sans" w:cs="Open Sans"/>
          <w:sz w:val="20"/>
          <w:szCs w:val="20"/>
          <w:lang w:eastAsia="pl-PL"/>
        </w:rPr>
        <w:t>świadczenia zgodnie z obowiązującymi warunkami ubezpieczeń,</w:t>
      </w:r>
    </w:p>
    <w:p w14:paraId="0A0C79EA" w14:textId="77777777" w:rsidR="00162380" w:rsidRPr="00A46478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współpraca z Ubezpieczającym,</w:t>
      </w:r>
    </w:p>
    <w:p w14:paraId="4B2EDBA7" w14:textId="1DCC9DCF" w:rsidR="00162380" w:rsidRPr="00A46478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dostarczenie do </w:t>
      </w:r>
      <w:r w:rsidR="00A607C0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przed rozpoczęciem okresu ubezpieczenia dokumentów stwierdzających zawarcie ubezpieczenia, zgodnie z § 1 Umowy,</w:t>
      </w:r>
    </w:p>
    <w:p w14:paraId="1A2D25DD" w14:textId="5FAD781F" w:rsidR="00B27AE4" w:rsidRPr="00A46478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ostateczne rozliczenie polis. </w:t>
      </w:r>
    </w:p>
    <w:p w14:paraId="43C80A1B" w14:textId="77777777" w:rsidR="002F23C5" w:rsidRPr="00A46478" w:rsidRDefault="002F23C5" w:rsidP="002F23C5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180D8EB" w14:textId="45A2FB25" w:rsidR="002F23C5" w:rsidRPr="00A46478" w:rsidRDefault="002F23C5" w:rsidP="002F23C5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§7</w:t>
      </w:r>
    </w:p>
    <w:p w14:paraId="4D9C554A" w14:textId="4099D017" w:rsidR="002F23C5" w:rsidRPr="00A46478" w:rsidRDefault="002F23C5" w:rsidP="00F24B33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LIKWIDACJA SZKODY</w:t>
      </w:r>
    </w:p>
    <w:p w14:paraId="44690A9D" w14:textId="2A204955" w:rsidR="00162380" w:rsidRPr="00A46478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 przypadku zaistnienia szkody w ubezpieczonym mieniu </w:t>
      </w:r>
      <w:r w:rsidR="00A607C0" w:rsidRPr="00A46478">
        <w:rPr>
          <w:rFonts w:ascii="Open Sans" w:hAnsi="Open Sans" w:cs="Open Sans"/>
          <w:sz w:val="20"/>
          <w:szCs w:val="20"/>
          <w:lang w:eastAsia="pl-PL"/>
        </w:rPr>
        <w:t>Zamawiający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ma obowiązek powiadomić </w:t>
      </w:r>
      <w:r w:rsidR="002F23C5" w:rsidRPr="00A46478">
        <w:rPr>
          <w:rFonts w:ascii="Open Sans" w:hAnsi="Open Sans" w:cs="Open Sans"/>
          <w:sz w:val="20"/>
          <w:szCs w:val="20"/>
          <w:lang w:eastAsia="pl-PL"/>
        </w:rPr>
        <w:t>Ubezpieczyciela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o jej zaistnieniu, nie później niż w ciągu 14 dni od chwili uzyskania wiadomości o szkodzie, podając rodzaj i rozmiar szkody.</w:t>
      </w:r>
    </w:p>
    <w:p w14:paraId="0CC8F47E" w14:textId="464553EC" w:rsidR="00162380" w:rsidRPr="00A46478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</w:t>
      </w:r>
      <w:r w:rsidR="002F23C5" w:rsidRPr="00A46478">
        <w:rPr>
          <w:rFonts w:ascii="Open Sans" w:hAnsi="Open Sans" w:cs="Open Sans"/>
          <w:sz w:val="20"/>
          <w:szCs w:val="20"/>
          <w:lang w:eastAsia="pl-PL"/>
        </w:rPr>
        <w:t>,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gdy istnieje podejrzenie, iż szkoda jest wynikiem przestępstwa </w:t>
      </w:r>
      <w:r w:rsidR="00A607C0" w:rsidRPr="00A46478">
        <w:rPr>
          <w:rFonts w:ascii="Open Sans" w:hAnsi="Open Sans" w:cs="Open Sans"/>
          <w:sz w:val="20"/>
          <w:szCs w:val="20"/>
          <w:lang w:eastAsia="pl-PL"/>
        </w:rPr>
        <w:t>Zamawiający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zobowiązany jest powiadomić Policję.</w:t>
      </w:r>
    </w:p>
    <w:p w14:paraId="145835E1" w14:textId="2FD65EE3" w:rsidR="00162380" w:rsidRPr="00A46478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 przypadku szkody </w:t>
      </w:r>
      <w:r w:rsidR="002F23C5" w:rsidRPr="00A46478">
        <w:rPr>
          <w:rFonts w:ascii="Open Sans" w:hAnsi="Open Sans" w:cs="Open Sans"/>
          <w:sz w:val="20"/>
          <w:szCs w:val="20"/>
          <w:lang w:eastAsia="pl-PL"/>
        </w:rPr>
        <w:t>Ubezpieczyciel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zobowiązany jest do dokonania oględzin w terminie nie dłuższym niż 3 dni robocze od momentu zgłoszenia szkody, o ile uzna, że oględziny są konieczne.</w:t>
      </w:r>
    </w:p>
    <w:p w14:paraId="1717C3BF" w14:textId="7BC5B91C" w:rsidR="00162380" w:rsidRPr="00A46478" w:rsidRDefault="002F23C5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Ubezpieczyciel</w:t>
      </w:r>
      <w:r w:rsidR="00162380" w:rsidRPr="00A46478">
        <w:rPr>
          <w:rFonts w:ascii="Open Sans" w:hAnsi="Open Sans" w:cs="Open Sans"/>
          <w:sz w:val="20"/>
          <w:szCs w:val="20"/>
          <w:lang w:eastAsia="pl-PL"/>
        </w:rPr>
        <w:t xml:space="preserve"> dokona weryfikacji kosztorysu w terminie 7 dni roboczych od momentu przedłożenia go przez </w:t>
      </w:r>
      <w:r w:rsidR="00A607C0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="00162380" w:rsidRPr="00A46478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591DF058" w14:textId="6FBDB37C" w:rsidR="00162380" w:rsidRPr="00A46478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Kwota należnego odszkodowania z tytułu umowy ubezpieczenia mienia zostanie przekazana na rachunek bankowy wskazany przez </w:t>
      </w:r>
      <w:r w:rsidR="00A607C0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C9A3276" w14:textId="10EA3482" w:rsidR="00162380" w:rsidRPr="00A46478" w:rsidRDefault="002F23C5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 uwagi na uwzględnienie w wartości sumy ubezpieczenia podatku VAT, w</w:t>
      </w:r>
      <w:r w:rsidR="00162380" w:rsidRPr="00A46478">
        <w:rPr>
          <w:rFonts w:ascii="Open Sans" w:hAnsi="Open Sans" w:cs="Open Sans"/>
          <w:sz w:val="20"/>
          <w:szCs w:val="20"/>
          <w:lang w:eastAsia="pl-PL"/>
        </w:rPr>
        <w:t>ypłata odszkodowania nastąpi według wartości uwzględniającej ten podatek.</w:t>
      </w:r>
    </w:p>
    <w:p w14:paraId="728ED88B" w14:textId="082D740D" w:rsidR="00162380" w:rsidRPr="00A46478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Na wniosek </w:t>
      </w:r>
      <w:r w:rsidR="00A607C0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2F23C5" w:rsidRPr="00A46478">
        <w:rPr>
          <w:rFonts w:ascii="Open Sans" w:hAnsi="Open Sans" w:cs="Open Sans"/>
          <w:sz w:val="20"/>
          <w:szCs w:val="20"/>
          <w:lang w:eastAsia="pl-PL"/>
        </w:rPr>
        <w:t>Ubezpieczyciel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udostępnieni informacje na temat zgłaszanych szkód i wartości wypłaconych odszkodowań oraz rezerw w podziale na ryzyka. Raport winien zawierać w szczególności: daty szkód/zdarzeń, daty zgłoszenia i wypłat, kwoty wypłat i rezerw, nr szkód, daty odmowy, nr polis, których szkody dotyczą oraz rodzaje zdarzeń.</w:t>
      </w:r>
    </w:p>
    <w:p w14:paraId="6D163A1D" w14:textId="532C69AE" w:rsidR="00162380" w:rsidRPr="00A46478" w:rsidRDefault="002F23C5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Ubezpieczyciel</w:t>
      </w:r>
      <w:r w:rsidR="00162380" w:rsidRPr="00A46478">
        <w:rPr>
          <w:rFonts w:ascii="Open Sans" w:hAnsi="Open Sans" w:cs="Open Sans"/>
          <w:sz w:val="20"/>
          <w:szCs w:val="20"/>
          <w:lang w:eastAsia="pl-PL"/>
        </w:rPr>
        <w:t xml:space="preserve"> zrzeka się przysługującego mu na podstawie art. 828 §1. Kodeksu cywilnego prawa do roszczenia przeciwko osobie trzeciej odpowiedzialnej za szkodę z tytułu zapłaty odszkodowania ubezpieczonemu lub poszkodowanemu, w przypadku gdy osobą tą jest pracownik lub osoba świadcząca na rzecz </w:t>
      </w:r>
      <w:r w:rsidR="00A607C0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="00162380" w:rsidRPr="00A46478">
        <w:rPr>
          <w:rFonts w:ascii="Open Sans" w:hAnsi="Open Sans" w:cs="Open Sans"/>
          <w:sz w:val="20"/>
          <w:szCs w:val="20"/>
          <w:lang w:eastAsia="pl-PL"/>
        </w:rPr>
        <w:t xml:space="preserve"> pracę na podstawie umowy cywilnoprawnej. Postanowienie nie ma zastosowania do szkód wyrządzonych przez te osoby umyślnie.</w:t>
      </w:r>
    </w:p>
    <w:p w14:paraId="1CE63107" w14:textId="2AC5CC56" w:rsidR="00162380" w:rsidRPr="00A46478" w:rsidRDefault="00A607C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Zamawiający</w:t>
      </w:r>
      <w:r w:rsidR="00162380" w:rsidRPr="00A46478">
        <w:rPr>
          <w:rFonts w:ascii="Open Sans" w:hAnsi="Open Sans" w:cs="Open Sans"/>
          <w:sz w:val="20"/>
          <w:szCs w:val="20"/>
          <w:lang w:eastAsia="pl-PL"/>
        </w:rPr>
        <w:t xml:space="preserve"> uprawniony jest do odszkodowania z tytułu szkody w ubezpieczonym mieniu powierzonym w użytkowanie, dzierżawionym z uwagi na zobowiązanie do ponoszenia kosztów odbudowy majątku po szkodzie.</w:t>
      </w:r>
    </w:p>
    <w:p w14:paraId="32A5A096" w14:textId="77777777" w:rsidR="005902D0" w:rsidRPr="00A46478" w:rsidRDefault="005902D0" w:rsidP="005902D0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52D26DE" w14:textId="27CA3C85" w:rsidR="00B1429C" w:rsidRPr="00A46478" w:rsidRDefault="00B1429C" w:rsidP="00B1429C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§8</w:t>
      </w:r>
    </w:p>
    <w:p w14:paraId="5F1732E0" w14:textId="50A61C1A" w:rsidR="00122A44" w:rsidRPr="00A46478" w:rsidRDefault="00B1429C" w:rsidP="00B1429C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PRZENIESIENIE WŁASNOŚCI MIENIA</w:t>
      </w:r>
    </w:p>
    <w:p w14:paraId="1807ACAB" w14:textId="170E693C" w:rsidR="00122A44" w:rsidRPr="00A46478" w:rsidRDefault="00122A44" w:rsidP="00B1429C">
      <w:pPr>
        <w:pStyle w:val="Akapitzlist"/>
        <w:numPr>
          <w:ilvl w:val="0"/>
          <w:numId w:val="3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Ochrona ubezpieczeniowa nie wygasa, lecz jest kontynuowana na dotychczasowych warunkach w przypadku przewłaszczenia na zabezpieczenie mienia objętego umową. Ochrona jest także kontynuowana w przypadku przeniesienia własności mienia na inną jednostkę Zamawiającego oraz w 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1EE7E9B8" w14:textId="77777777" w:rsidR="005902D0" w:rsidRPr="00A46478" w:rsidRDefault="005902D0" w:rsidP="005902D0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977E82C" w14:textId="55DC919D" w:rsidR="00122A44" w:rsidRPr="00A46478" w:rsidRDefault="00122A44" w:rsidP="00B1429C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 xml:space="preserve">§ </w:t>
      </w:r>
      <w:r w:rsidR="00B1429C"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9</w:t>
      </w: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.</w:t>
      </w:r>
    </w:p>
    <w:p w14:paraId="448C8507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OSOBY DO KONTAKTU</w:t>
      </w:r>
    </w:p>
    <w:p w14:paraId="1E035527" w14:textId="77777777" w:rsidR="00282F47" w:rsidRPr="00A46478" w:rsidRDefault="00B27AE4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sprawach związanych z wykonaniem niniejszej umowy:</w:t>
      </w:r>
    </w:p>
    <w:p w14:paraId="65701D93" w14:textId="36420162" w:rsidR="00282F47" w:rsidRPr="00A46478" w:rsidRDefault="00233D1B" w:rsidP="00B27AE4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Zamawiający</w:t>
      </w:r>
      <w:r w:rsidR="00B27AE4" w:rsidRPr="00A46478">
        <w:rPr>
          <w:rFonts w:ascii="Open Sans" w:hAnsi="Open Sans" w:cs="Open Sans"/>
          <w:sz w:val="20"/>
          <w:szCs w:val="20"/>
          <w:lang w:eastAsia="pl-PL"/>
        </w:rPr>
        <w:t xml:space="preserve"> wyznacza do kontaktów z Wykonawcą na etapie realizacji umowy: </w:t>
      </w:r>
    </w:p>
    <w:p w14:paraId="1F2A19F1" w14:textId="4918DC01" w:rsidR="000F233A" w:rsidRPr="00A46478" w:rsidRDefault="00233D1B" w:rsidP="00B43C02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bookmarkStart w:id="1" w:name="_Hlk146626387"/>
      <w:r w:rsidRPr="00A46478">
        <w:rPr>
          <w:rFonts w:ascii="Open Sans" w:hAnsi="Open Sans" w:cs="Open Sans"/>
          <w:sz w:val="20"/>
          <w:szCs w:val="20"/>
          <w:lang w:eastAsia="pl-PL"/>
        </w:rPr>
        <w:t>Pan</w:t>
      </w:r>
      <w:r w:rsidR="00E510E6">
        <w:rPr>
          <w:rFonts w:ascii="Open Sans" w:hAnsi="Open Sans" w:cs="Open Sans"/>
          <w:sz w:val="20"/>
          <w:szCs w:val="20"/>
          <w:lang w:eastAsia="pl-PL"/>
        </w:rPr>
        <w:t>a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E510E6">
        <w:rPr>
          <w:rFonts w:ascii="Open Sans" w:hAnsi="Open Sans" w:cs="Open Sans"/>
          <w:sz w:val="20"/>
          <w:szCs w:val="20"/>
          <w:lang w:eastAsia="pl-PL"/>
        </w:rPr>
        <w:t>Pawła Łukasika</w:t>
      </w:r>
      <w:r w:rsidR="00B43C02" w:rsidRPr="00A46478">
        <w:rPr>
          <w:rFonts w:ascii="Open Sans" w:hAnsi="Open Sans" w:cs="Open Sans"/>
          <w:sz w:val="20"/>
          <w:szCs w:val="20"/>
          <w:lang w:eastAsia="pl-PL"/>
        </w:rPr>
        <w:t xml:space="preserve">, tel. </w:t>
      </w:r>
      <w:r w:rsidR="00E510E6">
        <w:rPr>
          <w:rFonts w:ascii="Open Sans" w:hAnsi="Open Sans" w:cs="Open Sans"/>
          <w:sz w:val="20"/>
          <w:szCs w:val="20"/>
          <w:lang w:eastAsia="pl-PL"/>
        </w:rPr>
        <w:t>501 943 181</w:t>
      </w:r>
      <w:r w:rsidR="00B43C02" w:rsidRPr="00A46478">
        <w:rPr>
          <w:rFonts w:ascii="Open Sans" w:hAnsi="Open Sans" w:cs="Open Sans"/>
          <w:sz w:val="20"/>
          <w:szCs w:val="20"/>
          <w:lang w:eastAsia="pl-PL"/>
        </w:rPr>
        <w:t xml:space="preserve">, email: </w:t>
      </w:r>
      <w:hyperlink r:id="rId8" w:history="1">
        <w:r w:rsidR="00E510E6" w:rsidRPr="00F31A3E">
          <w:rPr>
            <w:rStyle w:val="Hipercze"/>
            <w:rFonts w:ascii="Open Sans" w:hAnsi="Open Sans" w:cs="Open Sans"/>
            <w:sz w:val="20"/>
            <w:szCs w:val="20"/>
            <w:lang w:eastAsia="pl-PL"/>
          </w:rPr>
          <w:t>p.lukasik@attis.pl</w:t>
        </w:r>
      </w:hyperlink>
      <w:r w:rsidR="00B43C02" w:rsidRPr="00A46478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0F233A" w:rsidRPr="00A46478">
        <w:rPr>
          <w:rFonts w:ascii="Open Sans" w:hAnsi="Open Sans" w:cs="Open Sans"/>
          <w:sz w:val="20"/>
          <w:szCs w:val="20"/>
          <w:lang w:eastAsia="pl-PL"/>
        </w:rPr>
        <w:t>brokera ubezpieczeniowego w Attis Broker Sp. z o.o.</w:t>
      </w:r>
    </w:p>
    <w:bookmarkEnd w:id="1"/>
    <w:p w14:paraId="6114B02F" w14:textId="7B1811EC" w:rsidR="00282F47" w:rsidRPr="00A46478" w:rsidRDefault="00B27AE4" w:rsidP="00282F47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działając</w:t>
      </w:r>
      <w:r w:rsidR="00805BCE" w:rsidRPr="00A46478">
        <w:rPr>
          <w:rFonts w:ascii="Open Sans" w:hAnsi="Open Sans" w:cs="Open Sans"/>
          <w:sz w:val="20"/>
          <w:szCs w:val="20"/>
          <w:lang w:eastAsia="pl-PL"/>
        </w:rPr>
        <w:t>e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na podstawie umowy o świadczenie usług brokerskich na rzecz </w:t>
      </w:r>
      <w:r w:rsidR="00233D1B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163BEBE9" w14:textId="2EE9F97B" w:rsidR="00B27AE4" w:rsidRPr="00A46478" w:rsidRDefault="00B27AE4" w:rsidP="00282F47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Ubezpieczyciel wyznacza do koordynacji prac: </w:t>
      </w:r>
    </w:p>
    <w:p w14:paraId="13D5FCAC" w14:textId="77777777" w:rsidR="00B27AE4" w:rsidRPr="00A46478" w:rsidRDefault="00B27AE4" w:rsidP="00282F47">
      <w:pPr>
        <w:spacing w:line="271" w:lineRule="auto"/>
        <w:ind w:left="851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A46478">
        <w:rPr>
          <w:rFonts w:ascii="Open Sans" w:hAnsi="Open Sans" w:cs="Open Sans"/>
          <w:sz w:val="20"/>
          <w:szCs w:val="20"/>
          <w:lang w:eastAsia="pl-PL"/>
        </w:rPr>
        <w:br/>
        <w:t>…………………………………………………………………………………………………..</w:t>
      </w:r>
    </w:p>
    <w:p w14:paraId="134B20B6" w14:textId="77777777" w:rsidR="00B27AE4" w:rsidRPr="00A46478" w:rsidRDefault="00B27AE4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O zmianie wyznaczonej osoby Strony niezwłocznie powiadomią się wzajemnie. Szkody powstałe w wyniku nie dopełnienia tego obowiązku obciążają stronę zobowiązaną.</w:t>
      </w:r>
    </w:p>
    <w:p w14:paraId="4432B1DF" w14:textId="4F4B0F3A" w:rsidR="00B27AE4" w:rsidRPr="00A46478" w:rsidRDefault="00B27AE4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ewentualne koszty mogące wyniknąć wskutek zaniechania.</w:t>
      </w:r>
    </w:p>
    <w:p w14:paraId="0D940E79" w14:textId="40C8103E" w:rsidR="00282F47" w:rsidRPr="00A46478" w:rsidRDefault="00282F47" w:rsidP="00B27AE4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>Zmiana osób do kontaktu nie jest uważana za zmianę Umowy i nie jest wymagana forma pisemna.</w:t>
      </w:r>
    </w:p>
    <w:p w14:paraId="5623FE2D" w14:textId="77777777" w:rsidR="00B1429C" w:rsidRPr="00A46478" w:rsidRDefault="00B1429C" w:rsidP="00B1429C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F5FD7C7" w14:textId="77777777" w:rsidR="00D44267" w:rsidRPr="00A46478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  <w:t>§10</w:t>
      </w:r>
    </w:p>
    <w:p w14:paraId="5AE5BD3D" w14:textId="77777777" w:rsidR="00D44267" w:rsidRPr="00A46478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ZMIANA UMOWY</w:t>
      </w:r>
    </w:p>
    <w:p w14:paraId="3A99C618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zmian umowy, które nie wywołują skutków o których mowa w art. 454 ust. 2 pkt 1-4 Prawa zamówień publicznych. Zamawiający przewiduje możliwość dokonywania innych zmian postanowień umowy, także w stosunku do treści oferty, na podstawie której dokonano wyboru Wykonawcy, w szczególności w następujących przypadkach:</w:t>
      </w:r>
    </w:p>
    <w:p w14:paraId="38516701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konieczna jest zmiana terminu realizacji zamówienia; </w:t>
      </w:r>
    </w:p>
    <w:p w14:paraId="25E95480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035B82C1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prawa;</w:t>
      </w:r>
    </w:p>
    <w:p w14:paraId="68B3C7D4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 organizacyjnych stron, np. zmiana reprezentacji, adresu siedziby firmy, itp.;</w:t>
      </w:r>
    </w:p>
    <w:p w14:paraId="5406062D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0627D759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417D337E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7B2D5185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 postanowień umowy w zakresie wysokości sumy ubezpieczenia oraz wynikającej z tego wartości należnej/</w:t>
      </w:r>
      <w:proofErr w:type="spellStart"/>
      <w:r w:rsidRPr="00A46478">
        <w:rPr>
          <w:rFonts w:ascii="Open Sans" w:hAnsi="Open Sans" w:cs="Open Sans"/>
          <w:sz w:val="20"/>
          <w:szCs w:val="20"/>
          <w:lang w:eastAsia="pl-PL"/>
        </w:rPr>
        <w:t>ych</w:t>
      </w:r>
      <w:proofErr w:type="spellEnd"/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Wykonawcy składki/składek;</w:t>
      </w:r>
    </w:p>
    <w:p w14:paraId="149D58F9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zmiana (rozszerzenie lub zawężenie) zakresu prowadzonej przez Zamawiającego działalności,</w:t>
      </w:r>
    </w:p>
    <w:p w14:paraId="736B1375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zmiana (zwiększenie lub zmniejszenie) posiadanego majątku,</w:t>
      </w:r>
    </w:p>
    <w:p w14:paraId="6DD668E3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potrzeba rozszerzenia zakresu ubezpieczenia, w tym obowiązek ubezpieczenia wynikający z zawartych umów najmu, dzierżawy leasingu lub innych o podobnym charakterze,</w:t>
      </w:r>
    </w:p>
    <w:p w14:paraId="5582B032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potrzeba wydłużenia terminu realizacji umowy na wniosek Zamawiającego maksymalnie o 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ubezpieczeniowej.</w:t>
      </w:r>
    </w:p>
    <w:p w14:paraId="11AE3F04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konieczne jest dokonanie zmian w częściach przedmiotu zamówienia, które zgodnie z ofertą Wykonawcy będą wykonywane przy pomocy podwykonawców.</w:t>
      </w:r>
    </w:p>
    <w:p w14:paraId="64B42F8D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Wskazanie powyższych okoliczności zmian umowy nie stanowi zobowiązania Zamawiającego do wprowadzenia tych zmian.</w:t>
      </w:r>
    </w:p>
    <w:p w14:paraId="6F912FC7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Wszelkie zmiany i uzupełnienia umowy wymagają formy pisemnej pod rygorem nieważności za zgodą obu stron. </w:t>
      </w:r>
    </w:p>
    <w:p w14:paraId="2FE2D34A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Wszelkie zmiany muszą być dokonywane z zachowaniem przepisów ustawy Prawo zamówień publicznych. </w:t>
      </w:r>
    </w:p>
    <w:p w14:paraId="2BD08A3C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wystąpienia poniższych okoliczności:</w:t>
      </w:r>
    </w:p>
    <w:p w14:paraId="7A53FD27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zmiany stawki podatku od towarów i usług oraz podatku akcyzowego,</w:t>
      </w:r>
    </w:p>
    <w:p w14:paraId="0323CDD0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(tekst jedn. Dz.U. z 2020 r. poz. 2207),</w:t>
      </w:r>
    </w:p>
    <w:p w14:paraId="0F9B55CB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zmiany zasad podlegania ubezpieczeniom społecznym lub ubezpieczeniu zdrowotnemu łub wysokości stawki składki na ubezpieczenia społeczne łub zdrowotne,</w:t>
      </w:r>
    </w:p>
    <w:p w14:paraId="55370D30" w14:textId="77777777" w:rsidR="00D44267" w:rsidRPr="00A46478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zmiany zasad gromadzenia i wysokości wpłat do pracowniczych planów kapitałowych, o których mowa w ustawie z dnia 4 października 2018 r. o pracowniczych planach kapitałowych (tekst jedn. Dz.U. 2020 r. poz. 1342),</w:t>
      </w:r>
    </w:p>
    <w:p w14:paraId="3C01BD02" w14:textId="77777777" w:rsidR="00D44267" w:rsidRPr="00A46478" w:rsidRDefault="00D44267" w:rsidP="00C155DE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zmiana umowy może nastąpić na pisemny wniosek Strony uprawnionej, na podstawie ustaleń pomiędzy Stronami, po wejściu w życie przepisów będących przyczyną złożenia wniosku.  Adresat wniosku  ustosunkuje się do wniosku  w ciągu 30 dni od daty jego złożenia.</w:t>
      </w:r>
    </w:p>
    <w:p w14:paraId="29BCD603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zmiany, o której mowa w pkt. 5.1 wartość netto wynagrodzenia Wykonawcy (tj. bez podatku od towarów i usług) nie zmieni się, a wartość brutto wynagrodzenia zostanie wyliczona z uwzględnieniem stawki podatku od towarów i usług, wynikającej ze zmienionych przepisów, obowiązującej w dniu wymagalności raty składki.</w:t>
      </w:r>
    </w:p>
    <w:p w14:paraId="4C6AF43A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gdyby Ubezpieczyciel chciał skorzystać z możliwości zmiany wynagrodzenia w sytuacjach, o których mowa w pkt. 5.2., 5.3. i 5.4. Ubezpieczyciel winien w terminie 30 dni od zajścia okoliczności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3E282552" w14:textId="77777777" w:rsidR="00D44267" w:rsidRPr="00A46478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Postanowienia niniejszego paragrafu mają zastosowanie tylko do zmian przepisów, które nie były znane w terminie składania ofert w przedmiotowym postępowaniu o udzielenie zamówienia publicznego. Zmiany przepisów ogłoszone przed dniem składania ofert zostały uwzględnione w kalkulacji ceny zamówienia.</w:t>
      </w:r>
    </w:p>
    <w:p w14:paraId="252C82DF" w14:textId="77777777" w:rsidR="00D44267" w:rsidRPr="00A46478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§ 11</w:t>
      </w:r>
    </w:p>
    <w:p w14:paraId="37A574D0" w14:textId="77777777" w:rsidR="00D44267" w:rsidRPr="00A46478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A46478">
        <w:rPr>
          <w:rFonts w:ascii="Open Sans" w:hAnsi="Open Sans" w:cs="Open Sans"/>
          <w:color w:val="auto"/>
          <w:sz w:val="20"/>
          <w:szCs w:val="20"/>
          <w:lang w:eastAsia="pl-PL"/>
        </w:rPr>
        <w:t>ZMIANY UMOWY WG ART. 455 UST. USTAWY PZP</w:t>
      </w:r>
    </w:p>
    <w:p w14:paraId="617F1432" w14:textId="77777777" w:rsidR="00D44267" w:rsidRPr="00A46478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Zamawiający przewiduje możliwość zmian w umowie wg art. 455. ustawy Prawo zamówień publicznych.</w:t>
      </w:r>
    </w:p>
    <w:p w14:paraId="6336AAB0" w14:textId="77777777" w:rsidR="00D44267" w:rsidRPr="00A46478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ramach art. 455 ust. 1 pkt 1 stawy PZP zakres zmian może obejmować m.in.:</w:t>
      </w:r>
    </w:p>
    <w:p w14:paraId="433F0AB0" w14:textId="77777777" w:rsidR="00D44267" w:rsidRPr="00A46478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ubezpieczenia mienia nieobjęte limitem klauzuli automatycznego pokrycia,</w:t>
      </w:r>
    </w:p>
    <w:p w14:paraId="6489D93A" w14:textId="77777777" w:rsidR="00D44267" w:rsidRPr="00A46478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uzupełnienie limitów ochrony, sumy ubezpieczenia określonej w systemie na pierwsze ryzyko lub sumy gwarancyjnej po wypłacie odszkodowania,</w:t>
      </w:r>
    </w:p>
    <w:p w14:paraId="175F775D" w14:textId="77777777" w:rsidR="00D44267" w:rsidRPr="00A46478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podniesienie limitów ochrony lub sumy ubezpieczenia w celu spełnienia wymagań kontrahentów Zamawiającego,</w:t>
      </w:r>
    </w:p>
    <w:p w14:paraId="4472F6D6" w14:textId="77777777" w:rsidR="00D44267" w:rsidRPr="00A46478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przedłużenie terminu ochrony.</w:t>
      </w:r>
    </w:p>
    <w:p w14:paraId="09745799" w14:textId="77777777" w:rsidR="00D44267" w:rsidRPr="00A46478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zależności od przedmiotu zamówienia zastosowanie mieć będą poniżej określone warunki, na których zostanie ono udzielone. W przypadku gdy przedmiotem zamówienia będzie:</w:t>
      </w:r>
    </w:p>
    <w:p w14:paraId="4F51329E" w14:textId="77777777" w:rsidR="00D44267" w:rsidRPr="00A46478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>ubezpieczenie mienia, nieobjęte limitem klauzuli automatycznego pokrycia oraz przedłużenie terminu ochrony - składka zostanie wyliczona proporcjonalnie do ilości dni udzielonej przez Wykonawcę ochrony, bez stosowania zasady składki minimalnej dla wystawionej polisy, z zastosowaniem stawek/ składek ustalonych dla zamówienia podstawowego,</w:t>
      </w:r>
    </w:p>
    <w:p w14:paraId="790FAD6A" w14:textId="77777777" w:rsidR="00D44267" w:rsidRPr="00A46478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uzupełnienie lub podniesienie limitów ochrony, sumy ubezpieczenia określonej w systemie na pierwsze ryzyko – wysokość składki będzie przedmiotem odrębnych ustaleń pomiędzy Zamawiającym i Wykonawcą.</w:t>
      </w:r>
    </w:p>
    <w:p w14:paraId="697CA96D" w14:textId="77777777" w:rsidR="00D44267" w:rsidRPr="00A46478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Inne warunki, w szczególności zakres ochrony ubezpieczeniowej, będą zgodne z warunkami przyjętej Oferty Wykonawcy oraz realizowane na zasadach umowy podstawowej.</w:t>
      </w:r>
    </w:p>
    <w:p w14:paraId="6E7CA66B" w14:textId="77777777" w:rsidR="00D44267" w:rsidRPr="00A46478" w:rsidRDefault="00D44267" w:rsidP="00C155DE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4DC427" w14:textId="370E3903" w:rsidR="003121DA" w:rsidRPr="00A46478" w:rsidRDefault="003121DA" w:rsidP="00D4426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A46478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A46478">
        <w:rPr>
          <w:rFonts w:ascii="Open Sans" w:hAnsi="Open Sans" w:cs="Open Sans"/>
          <w:color w:val="auto"/>
          <w:sz w:val="20"/>
          <w:szCs w:val="20"/>
        </w:rPr>
        <w:t>2</w:t>
      </w:r>
    </w:p>
    <w:p w14:paraId="59D42C71" w14:textId="0ED7ECF9" w:rsidR="003121DA" w:rsidRPr="00A46478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A46478">
        <w:rPr>
          <w:rFonts w:ascii="Open Sans" w:hAnsi="Open Sans" w:cs="Open Sans"/>
          <w:color w:val="auto"/>
          <w:sz w:val="20"/>
          <w:szCs w:val="20"/>
        </w:rPr>
        <w:t>PRAWO ODSTĄPIENIA OD UMOWY</w:t>
      </w:r>
    </w:p>
    <w:p w14:paraId="1628AE1B" w14:textId="2CEEBE8B" w:rsidR="003121DA" w:rsidRPr="00A46478" w:rsidRDefault="003121DA" w:rsidP="003121DA">
      <w:pPr>
        <w:pStyle w:val="Akapitzlist"/>
        <w:numPr>
          <w:ilvl w:val="0"/>
          <w:numId w:val="3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Zamawiający 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</w:p>
    <w:p w14:paraId="5E109550" w14:textId="77777777" w:rsidR="00233D1B" w:rsidRPr="00A46478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3A4E611" w14:textId="29C096CE" w:rsidR="003121DA" w:rsidRPr="00A46478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A46478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A46478">
        <w:rPr>
          <w:rFonts w:ascii="Open Sans" w:hAnsi="Open Sans" w:cs="Open Sans"/>
          <w:color w:val="auto"/>
          <w:sz w:val="20"/>
          <w:szCs w:val="20"/>
        </w:rPr>
        <w:t>3</w:t>
      </w:r>
    </w:p>
    <w:p w14:paraId="1BAB779C" w14:textId="77777777" w:rsidR="003121DA" w:rsidRPr="00A46478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A46478">
        <w:rPr>
          <w:rFonts w:ascii="Open Sans" w:hAnsi="Open Sans" w:cs="Open Sans"/>
          <w:color w:val="auto"/>
          <w:sz w:val="20"/>
          <w:szCs w:val="20"/>
        </w:rPr>
        <w:t>ZAKAZ CESJI</w:t>
      </w:r>
    </w:p>
    <w:p w14:paraId="1C185A50" w14:textId="0DF8A068" w:rsidR="003121DA" w:rsidRPr="00A46478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Wykonawca zobowiązuje się do niedokonywania cesji wierzytelności przysługujących mu względem Zamawiającego oraz podmiotu tworzącego, bez uprzedniej zgody Zamawiającego oraz podmiotu tworzącego oraz zasad przewidzianych w ustawie o działalności leczniczej. </w:t>
      </w:r>
    </w:p>
    <w:p w14:paraId="6D4D8334" w14:textId="23122A8A" w:rsidR="003121DA" w:rsidRPr="00A46478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Zaniechanie przez Wykonawcę spełnienia obowiązku, o którym mowa w zdaniu pierwszym będzie skutkowało nieważnością dokonanej cesji wierzytelności. </w:t>
      </w:r>
    </w:p>
    <w:p w14:paraId="10691B02" w14:textId="3D3D0E75" w:rsidR="003121DA" w:rsidRPr="00A46478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przypadku wystąpienia jakiejkolwiek szkody w związku nieprawidłowo dokonaną cesją wierzytelności, Zamawiającemu będzie przysługiwać prawo do dochodzenia od Wykonawcy odszkodowania na zasadach ogólnych.</w:t>
      </w:r>
    </w:p>
    <w:p w14:paraId="6A6063A9" w14:textId="77777777" w:rsidR="00233D1B" w:rsidRPr="00A46478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EE8CB67" w14:textId="589CD8E6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A46478">
        <w:rPr>
          <w:rFonts w:ascii="Open Sans" w:hAnsi="Open Sans" w:cs="Open Sans"/>
          <w:color w:val="auto"/>
          <w:sz w:val="20"/>
          <w:szCs w:val="20"/>
        </w:rPr>
        <w:t>§</w:t>
      </w:r>
      <w:r w:rsidR="00006998" w:rsidRPr="00A46478">
        <w:rPr>
          <w:rFonts w:ascii="Open Sans" w:hAnsi="Open Sans" w:cs="Open Sans"/>
          <w:color w:val="auto"/>
          <w:sz w:val="20"/>
          <w:szCs w:val="20"/>
        </w:rPr>
        <w:t>1</w:t>
      </w:r>
      <w:r w:rsidR="005902D0" w:rsidRPr="00A46478">
        <w:rPr>
          <w:rFonts w:ascii="Open Sans" w:hAnsi="Open Sans" w:cs="Open Sans"/>
          <w:color w:val="auto"/>
          <w:sz w:val="20"/>
          <w:szCs w:val="20"/>
        </w:rPr>
        <w:t>4</w:t>
      </w:r>
    </w:p>
    <w:p w14:paraId="43D036DD" w14:textId="77777777" w:rsidR="00B27AE4" w:rsidRPr="00A46478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A46478">
        <w:rPr>
          <w:rFonts w:ascii="Open Sans" w:hAnsi="Open Sans" w:cs="Open Sans"/>
          <w:color w:val="auto"/>
          <w:sz w:val="20"/>
          <w:szCs w:val="20"/>
        </w:rPr>
        <w:t>POZOSTAŁE POSTANOWIENIA</w:t>
      </w:r>
    </w:p>
    <w:p w14:paraId="0C99EA90" w14:textId="77777777" w:rsidR="00B27AE4" w:rsidRPr="00A46478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Umowa podlega prawu polskiemu i winna być interpretowana zgodnie z tym prawem.</w:t>
      </w:r>
    </w:p>
    <w:p w14:paraId="07C83CE8" w14:textId="6C79DD8C" w:rsidR="00B27AE4" w:rsidRPr="00A46478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 siedziby </w:t>
      </w:r>
      <w:r w:rsidR="00C34098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. Polski sąd powszechny właściwy dla siedziby </w:t>
      </w:r>
      <w:r w:rsidR="00C34098" w:rsidRPr="00A46478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będzie wyłącznie właściwy dla rozstrzygnięcia wszelkich sporów wynikających z niniejszej umowy lub związanych z nią. </w:t>
      </w:r>
    </w:p>
    <w:p w14:paraId="27D5324D" w14:textId="77777777" w:rsidR="00B27AE4" w:rsidRPr="00A46478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38F77948" w14:textId="77777777" w:rsidR="00B27AE4" w:rsidRPr="00A46478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Wszelkie zmiany niniejszej umowy wymagają formy aneksu, pod rygorem nieważności.</w:t>
      </w:r>
    </w:p>
    <w:p w14:paraId="08F499AC" w14:textId="77777777" w:rsidR="00B27AE4" w:rsidRPr="00A46478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Nieważność pojedynczych klauzul umownych nie skutkuje w żadnym wypadku nieważnością całej umowy.</w:t>
      </w:r>
    </w:p>
    <w:p w14:paraId="39A9F3E8" w14:textId="7EBE5F31" w:rsidR="00006998" w:rsidRPr="00A46478" w:rsidRDefault="00B27AE4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lastRenderedPageBreak/>
        <w:t>Strony niniejszej umowy, zobowiązują się do zachowania poufności w zakresie wszelkich danych uzyskanych w toku realizacji zawartej umowy, o ile nie jest to sprzeczne z powszechnie obowiązującymi przepisami prawa, a zwłaszcza z ustawą o dostępie do 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 tajemnicami handlowymi, niezależnie od  źródeł pochodzenia tych informacji. Przedmiotowe informacje winny być traktowane jako tajemnica przedsiębiorstwa, w rozumieniu aktualnych przepisów ustawy z dnia 16 kwietnia 1993 r. o zwalczaniu nieuczciwej konkurencji</w:t>
      </w:r>
      <w:r w:rsidR="00866911" w:rsidRPr="00A46478">
        <w:rPr>
          <w:rFonts w:ascii="Open Sans" w:hAnsi="Open Sans" w:cs="Open Sans"/>
          <w:sz w:val="20"/>
          <w:szCs w:val="20"/>
          <w:lang w:eastAsia="pl-PL"/>
        </w:rPr>
        <w:t xml:space="preserve"> (Dz.U. z 2022 r. poz. 1233)</w:t>
      </w:r>
      <w:r w:rsidRPr="00A46478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DD9BB30" w14:textId="15B77255" w:rsidR="00006998" w:rsidRPr="00A46478" w:rsidRDefault="00006998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W sprawach nieuregulowanych postanowieniami niniejszej Umowy mają zastosowanie przepisy:</w:t>
      </w:r>
    </w:p>
    <w:p w14:paraId="40E1FE96" w14:textId="0694569F" w:rsidR="00006998" w:rsidRPr="00A46478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ustawy z dnia 11.09.2015 r. o działalności ubezpieczeniowej i reasekuracyjnej (tj. Dz.U. 202</w:t>
      </w:r>
      <w:r w:rsidR="00363B07" w:rsidRPr="00A46478">
        <w:rPr>
          <w:rFonts w:ascii="Open Sans" w:hAnsi="Open Sans" w:cs="Open Sans"/>
          <w:sz w:val="20"/>
          <w:szCs w:val="20"/>
          <w:lang w:eastAsia="pl-PL"/>
        </w:rPr>
        <w:t>3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poz. </w:t>
      </w:r>
      <w:r w:rsidR="00363B07" w:rsidRPr="00A46478">
        <w:rPr>
          <w:rFonts w:ascii="Open Sans" w:hAnsi="Open Sans" w:cs="Open Sans"/>
          <w:sz w:val="20"/>
          <w:szCs w:val="20"/>
          <w:lang w:eastAsia="pl-PL"/>
        </w:rPr>
        <w:t>656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0A3FD74B" w14:textId="1BF9502B" w:rsidR="00006998" w:rsidRPr="00A46478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ustawy z dnia 23 kwietnia 1964r. Kodeks cywilny (tj. Dz. U. z 2020 r. poz. 1740 ze zm.),</w:t>
      </w:r>
    </w:p>
    <w:p w14:paraId="7D1BDDAA" w14:textId="04A49D01" w:rsidR="00006998" w:rsidRPr="00A46478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ustawy Prawo zamówień publicznych (tj. Dz. U. z 202</w:t>
      </w:r>
      <w:r w:rsidR="00D44267" w:rsidRPr="00A46478">
        <w:rPr>
          <w:rFonts w:ascii="Open Sans" w:hAnsi="Open Sans" w:cs="Open Sans"/>
          <w:sz w:val="20"/>
          <w:szCs w:val="20"/>
          <w:lang w:eastAsia="pl-PL"/>
        </w:rPr>
        <w:t>3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poz. 1</w:t>
      </w:r>
      <w:r w:rsidR="00D44267" w:rsidRPr="00A46478">
        <w:rPr>
          <w:rFonts w:ascii="Open Sans" w:hAnsi="Open Sans" w:cs="Open Sans"/>
          <w:sz w:val="20"/>
          <w:szCs w:val="20"/>
          <w:lang w:eastAsia="pl-PL"/>
        </w:rPr>
        <w:t>605</w:t>
      </w:r>
      <w:r w:rsidRPr="00A46478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1016171C" w14:textId="5A56246D" w:rsidR="00B27AE4" w:rsidRPr="00A46478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Umowa została sporządzona w 2 (dwóch) jednobrzmiących egzemplarzach w języku polskim po jednym egzemplarzu dla każdej ze stron.</w:t>
      </w:r>
    </w:p>
    <w:p w14:paraId="33A1A3C8" w14:textId="5FE408BB" w:rsidR="00433CD6" w:rsidRPr="00A46478" w:rsidRDefault="00433CD6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46478">
        <w:rPr>
          <w:rFonts w:ascii="Open Sans" w:hAnsi="Open Sans" w:cs="Open Sans"/>
          <w:sz w:val="20"/>
          <w:szCs w:val="20"/>
          <w:lang w:eastAsia="pl-PL"/>
        </w:rPr>
        <w:t>Umowa może zostać zawarta w formie elektronicznej zgodnie z art. 781 ustawy Kodeks cywilny.</w:t>
      </w:r>
    </w:p>
    <w:p w14:paraId="35C06036" w14:textId="0AB4D9A6" w:rsidR="00A235D9" w:rsidRPr="00A46478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0E67CE" w14:textId="5EB13402" w:rsidR="00A235D9" w:rsidRPr="00A46478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F251953" w14:textId="77777777" w:rsidR="00A235D9" w:rsidRPr="00A46478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ABB28FE" w14:textId="77777777" w:rsidR="00B27AE4" w:rsidRPr="00A46478" w:rsidRDefault="00B27AE4" w:rsidP="00B27AE4">
      <w:p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B27AE4" w:rsidRPr="00A46478" w14:paraId="480FF331" w14:textId="77777777" w:rsidTr="00D44F45">
        <w:trPr>
          <w:trHeight w:val="580"/>
        </w:trPr>
        <w:tc>
          <w:tcPr>
            <w:tcW w:w="4395" w:type="dxa"/>
          </w:tcPr>
          <w:p w14:paraId="79208225" w14:textId="7DDFBBDA" w:rsidR="00B27AE4" w:rsidRPr="00A46478" w:rsidRDefault="00B27AE4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Pr="00A46478">
              <w:rPr>
                <w:rFonts w:ascii="Open Sans" w:hAnsi="Open Sans" w:cs="Open Sans"/>
                <w:sz w:val="20"/>
                <w:szCs w:val="20"/>
              </w:rPr>
              <w:br/>
            </w:r>
            <w:r w:rsidR="00A235D9" w:rsidRPr="00A46478">
              <w:rPr>
                <w:rFonts w:ascii="Open Sans" w:hAnsi="Open Sans" w:cs="Open Sans"/>
                <w:sz w:val="20"/>
                <w:szCs w:val="20"/>
              </w:rPr>
              <w:t xml:space="preserve">              </w:t>
            </w:r>
            <w:r w:rsidRPr="00A46478">
              <w:rPr>
                <w:rFonts w:ascii="Open Sans" w:hAnsi="Open Sans" w:cs="Open Sans"/>
                <w:sz w:val="20"/>
                <w:szCs w:val="20"/>
              </w:rPr>
              <w:t>Zamawiający</w:t>
            </w:r>
          </w:p>
        </w:tc>
        <w:tc>
          <w:tcPr>
            <w:tcW w:w="4753" w:type="dxa"/>
          </w:tcPr>
          <w:p w14:paraId="7DCF88B8" w14:textId="77777777" w:rsidR="00A235D9" w:rsidRPr="00A46478" w:rsidRDefault="00B27AE4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79F237F5" w14:textId="77777777" w:rsidR="00B27AE4" w:rsidRPr="00A46478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</w:t>
            </w:r>
            <w:r w:rsidR="00B27AE4" w:rsidRPr="00A46478">
              <w:rPr>
                <w:rFonts w:ascii="Open Sans" w:hAnsi="Open Sans" w:cs="Open Sans"/>
                <w:sz w:val="20"/>
                <w:szCs w:val="20"/>
              </w:rPr>
              <w:t>Wykonawca</w:t>
            </w:r>
          </w:p>
          <w:p w14:paraId="7741B691" w14:textId="77777777" w:rsidR="00A235D9" w:rsidRPr="00A46478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F2DB89B" w14:textId="5C59ACA9" w:rsidR="00A235D9" w:rsidRPr="00A46478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5D9" w:rsidRPr="00A46478" w14:paraId="07E7555E" w14:textId="77777777" w:rsidTr="00D44F45">
        <w:trPr>
          <w:trHeight w:val="580"/>
        </w:trPr>
        <w:tc>
          <w:tcPr>
            <w:tcW w:w="4395" w:type="dxa"/>
          </w:tcPr>
          <w:p w14:paraId="67C87AD0" w14:textId="77777777" w:rsidR="00A235D9" w:rsidRPr="00A46478" w:rsidRDefault="00A235D9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53" w:type="dxa"/>
          </w:tcPr>
          <w:p w14:paraId="111C5B4D" w14:textId="77777777" w:rsidR="00A235D9" w:rsidRPr="00A46478" w:rsidRDefault="00A235D9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497497" w14:textId="175036E7" w:rsidR="00C0053D" w:rsidRPr="00A46478" w:rsidRDefault="00C0053D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B56EA98" w14:textId="5D4974DE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615622E" w14:textId="5D647060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13801C4" w14:textId="0CA8B5D1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3F53BEE9" w14:textId="0ACFBC07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5E6D01AD" w14:textId="16E63F57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1A1898E4" w14:textId="3CAE23B7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F9D08DB" w14:textId="4669B08B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5FA6AF6B" w14:textId="18A47D6E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96CAB77" w14:textId="58FAF182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2E0FFD0B" w14:textId="366B494B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4CE781DC" w14:textId="686DB6ED" w:rsidR="00A235D9" w:rsidRPr="00A46478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1C161A05" w14:textId="77777777" w:rsidR="00106AE5" w:rsidRDefault="00106AE5">
      <w:pPr>
        <w:suppressAutoHyphens w:val="0"/>
        <w:spacing w:after="160" w:line="259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540F926A" w14:textId="5DC650C9" w:rsidR="00A235D9" w:rsidRPr="00A46478" w:rsidRDefault="00A235D9" w:rsidP="0035120C">
      <w:pPr>
        <w:spacing w:line="271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46478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Załącznik nr 1 do Umowy nr </w:t>
      </w:r>
      <w:r w:rsidRPr="00D619FC">
        <w:rPr>
          <w:rFonts w:ascii="Open Sans" w:hAnsi="Open Sans" w:cs="Open Sans"/>
          <w:b/>
          <w:bCs/>
          <w:sz w:val="20"/>
          <w:szCs w:val="20"/>
        </w:rPr>
        <w:t>…………………………………</w:t>
      </w:r>
      <w:r w:rsidRPr="00A46478">
        <w:rPr>
          <w:rFonts w:ascii="Open Sans" w:hAnsi="Open Sans" w:cs="Open Sans"/>
          <w:b/>
          <w:bCs/>
          <w:sz w:val="20"/>
          <w:szCs w:val="20"/>
        </w:rPr>
        <w:t xml:space="preserve"> - dokument kalkulacyjny określający szczegółowy sposób obliczenia składki, tzn. zastosowane niezmienne stawki i składki roczne w odniesieniu </w:t>
      </w:r>
      <w:r w:rsidR="0035120C" w:rsidRPr="00A46478">
        <w:rPr>
          <w:rFonts w:ascii="Open Sans" w:hAnsi="Open Sans" w:cs="Open Sans"/>
          <w:b/>
          <w:bCs/>
          <w:sz w:val="20"/>
          <w:szCs w:val="20"/>
        </w:rPr>
        <w:t>do poszczególnych zakresów i rodzajów ubezpieczenia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5"/>
        <w:gridCol w:w="2608"/>
      </w:tblGrid>
      <w:tr w:rsidR="0035120C" w:rsidRPr="00A46478" w14:paraId="19D9CBCD" w14:textId="77777777" w:rsidTr="007B125E">
        <w:tc>
          <w:tcPr>
            <w:tcW w:w="6735" w:type="dxa"/>
            <w:shd w:val="clear" w:color="auto" w:fill="D9D9D9" w:themeFill="background1" w:themeFillShade="D9"/>
            <w:vAlign w:val="center"/>
          </w:tcPr>
          <w:p w14:paraId="1E1EC608" w14:textId="0D181B87" w:rsidR="0035120C" w:rsidRPr="00A46478" w:rsidRDefault="007B125E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I. </w:t>
            </w:r>
            <w:r w:rsidR="0052522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A4647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bezpieczenie mienia od wszystkich ryzyk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1D9FE325" w14:textId="15AC6DCF" w:rsidR="0035120C" w:rsidRPr="00A46478" w:rsidRDefault="007B125E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Roczna stawka ubezpieczeniowa w %</w:t>
            </w:r>
          </w:p>
        </w:tc>
      </w:tr>
      <w:tr w:rsidR="00723495" w:rsidRPr="00A46478" w14:paraId="5F1D922F" w14:textId="77777777" w:rsidTr="00D516EB">
        <w:tc>
          <w:tcPr>
            <w:tcW w:w="6735" w:type="dxa"/>
            <w:shd w:val="clear" w:color="auto" w:fill="auto"/>
            <w:vAlign w:val="center"/>
          </w:tcPr>
          <w:p w14:paraId="40A6E94C" w14:textId="6175707C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Budynki i budowle (własne i powierzone)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E50DC3A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5ADF2D38" w14:textId="77777777" w:rsidTr="002B0463">
        <w:tc>
          <w:tcPr>
            <w:tcW w:w="6735" w:type="dxa"/>
            <w:shd w:val="clear" w:color="auto" w:fill="auto"/>
            <w:vAlign w:val="center"/>
          </w:tcPr>
          <w:p w14:paraId="388C5C3C" w14:textId="501B9202" w:rsidR="00723495" w:rsidRPr="00A46478" w:rsidRDefault="00E510E6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Własne i powierzone: maszyny, urządzenia i wyposażenie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BBB48A7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242C8B89" w14:textId="77777777" w:rsidTr="007306AF">
        <w:tc>
          <w:tcPr>
            <w:tcW w:w="6735" w:type="dxa"/>
            <w:shd w:val="clear" w:color="auto" w:fill="auto"/>
            <w:vAlign w:val="center"/>
          </w:tcPr>
          <w:p w14:paraId="413F19D7" w14:textId="5F7128D9" w:rsidR="00723495" w:rsidRPr="00A46478" w:rsidRDefault="00E510E6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 xml:space="preserve">Budowle na terenie Gminy </w:t>
            </w:r>
            <w:r>
              <w:rPr>
                <w:rFonts w:ascii="Open Sans" w:hAnsi="Open Sans" w:cs="Open Sans"/>
                <w:sz w:val="20"/>
                <w:szCs w:val="20"/>
              </w:rPr>
              <w:t>Alwernia</w:t>
            </w:r>
            <w:r w:rsidRPr="00661D4F">
              <w:rPr>
                <w:rFonts w:ascii="Open Sans" w:hAnsi="Open Sans" w:cs="Open Sans"/>
                <w:sz w:val="20"/>
                <w:szCs w:val="20"/>
              </w:rPr>
              <w:t xml:space="preserve">, które nie zostały wymienione w wykazie do ubezpieczenia na sumy stałe (w tym znaki drogowe z konstrukcją wsporczą (jeśli występują), elementy bezpieczeństwa ruchu drogowego, tablice z nazwami ulic, słupy oświetleniowe, lampy, sygnalizacja świetlna, oświetlenie uliczne, tablice informacyjne itp.) 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CF34E2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3856B108" w14:textId="77777777" w:rsidTr="007B289E">
        <w:tc>
          <w:tcPr>
            <w:tcW w:w="6735" w:type="dxa"/>
            <w:shd w:val="clear" w:color="auto" w:fill="auto"/>
            <w:vAlign w:val="center"/>
          </w:tcPr>
          <w:p w14:paraId="7E8557A3" w14:textId="2877CFCF" w:rsidR="00723495" w:rsidRPr="00A46478" w:rsidRDefault="00E510E6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Środki obrotowe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C80129B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2A3ED116" w14:textId="77777777" w:rsidTr="001B7690">
        <w:tc>
          <w:tcPr>
            <w:tcW w:w="6735" w:type="dxa"/>
            <w:shd w:val="clear" w:color="auto" w:fill="auto"/>
            <w:vAlign w:val="center"/>
          </w:tcPr>
          <w:p w14:paraId="66C39694" w14:textId="6C6A1014" w:rsidR="00723495" w:rsidRPr="00A46478" w:rsidRDefault="00E510E6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Wartości pieniężne i gotówka w i poza schowkami ogniotrwałymi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8748C7F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5BA8A2DC" w14:textId="77777777" w:rsidTr="00912520">
        <w:tc>
          <w:tcPr>
            <w:tcW w:w="6735" w:type="dxa"/>
            <w:shd w:val="clear" w:color="auto" w:fill="auto"/>
            <w:vAlign w:val="center"/>
          </w:tcPr>
          <w:p w14:paraId="290C254D" w14:textId="23631E02" w:rsidR="00723495" w:rsidRPr="00A46478" w:rsidRDefault="00E52651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Nakłady inwestycyjne/adaptacyjne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FFC154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02AD3277" w14:textId="77777777" w:rsidTr="00912003">
        <w:tc>
          <w:tcPr>
            <w:tcW w:w="6735" w:type="dxa"/>
            <w:shd w:val="clear" w:color="auto" w:fill="auto"/>
            <w:vAlign w:val="center"/>
          </w:tcPr>
          <w:p w14:paraId="1500C5E5" w14:textId="5244BD22" w:rsidR="00723495" w:rsidRPr="00A46478" w:rsidRDefault="00E52651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 xml:space="preserve">Środki </w:t>
            </w:r>
            <w:proofErr w:type="spellStart"/>
            <w:r w:rsidRPr="00661D4F">
              <w:rPr>
                <w:rFonts w:ascii="Open Sans" w:hAnsi="Open Sans" w:cs="Open Sans"/>
                <w:sz w:val="20"/>
                <w:szCs w:val="20"/>
              </w:rPr>
              <w:t>niskocenne</w:t>
            </w:r>
            <w:proofErr w:type="spellEnd"/>
          </w:p>
        </w:tc>
        <w:tc>
          <w:tcPr>
            <w:tcW w:w="2608" w:type="dxa"/>
            <w:shd w:val="clear" w:color="auto" w:fill="auto"/>
            <w:vAlign w:val="center"/>
          </w:tcPr>
          <w:p w14:paraId="59B4A866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6A434675" w14:textId="77777777" w:rsidTr="00825EF6">
        <w:tc>
          <w:tcPr>
            <w:tcW w:w="6735" w:type="dxa"/>
            <w:shd w:val="clear" w:color="auto" w:fill="auto"/>
            <w:vAlign w:val="center"/>
          </w:tcPr>
          <w:p w14:paraId="63FDE738" w14:textId="6A2F1287" w:rsidR="00723495" w:rsidRPr="00A46478" w:rsidRDefault="00E52651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Mi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661D4F">
              <w:rPr>
                <w:rFonts w:ascii="Open Sans" w:hAnsi="Open Sans" w:cs="Open Sans"/>
                <w:sz w:val="20"/>
                <w:szCs w:val="20"/>
              </w:rPr>
              <w:t>nie prywatne pracowników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E9C38FF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09E0960A" w14:textId="77777777" w:rsidTr="00FD4297">
        <w:tc>
          <w:tcPr>
            <w:tcW w:w="6735" w:type="dxa"/>
            <w:shd w:val="clear" w:color="auto" w:fill="auto"/>
            <w:vAlign w:val="center"/>
          </w:tcPr>
          <w:p w14:paraId="7B67BEC6" w14:textId="057F16BB" w:rsidR="00723495" w:rsidRPr="00A46478" w:rsidRDefault="00E52651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Urządzenia i wyposażenie zewnętrzne nieujęte w ubezpieczeniu systemem sum stałych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0E9E6D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95" w:rsidRPr="00A46478" w14:paraId="5802B86C" w14:textId="77777777" w:rsidTr="00020B2A">
        <w:tc>
          <w:tcPr>
            <w:tcW w:w="6735" w:type="dxa"/>
            <w:shd w:val="clear" w:color="auto" w:fill="auto"/>
            <w:vAlign w:val="center"/>
          </w:tcPr>
          <w:p w14:paraId="27D51A17" w14:textId="41D1FDEA" w:rsidR="00723495" w:rsidRPr="00A46478" w:rsidRDefault="00E52651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Mienie osób trzecich i mienie powierzone (np. mienie w szatniach)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556A4F2" w14:textId="77777777" w:rsidR="00723495" w:rsidRPr="00A46478" w:rsidRDefault="00723495" w:rsidP="0072349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5120C" w:rsidRPr="00A46478" w14:paraId="6432F9D5" w14:textId="77777777" w:rsidTr="007B125E">
        <w:tc>
          <w:tcPr>
            <w:tcW w:w="9343" w:type="dxa"/>
            <w:gridSpan w:val="2"/>
            <w:shd w:val="clear" w:color="auto" w:fill="F2F2F2" w:themeFill="background1" w:themeFillShade="F2"/>
            <w:vAlign w:val="center"/>
          </w:tcPr>
          <w:p w14:paraId="0BD77869" w14:textId="77777777" w:rsidR="0035120C" w:rsidRPr="00A46478" w:rsidRDefault="0035120C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 tym ubezpieczenia mienia od kradzieży z włamaniem i rabunku</w:t>
            </w:r>
          </w:p>
        </w:tc>
      </w:tr>
      <w:tr w:rsidR="00E52651" w:rsidRPr="00A46478" w14:paraId="72140625" w14:textId="77777777" w:rsidTr="00E22382">
        <w:tc>
          <w:tcPr>
            <w:tcW w:w="6735" w:type="dxa"/>
            <w:shd w:val="clear" w:color="auto" w:fill="auto"/>
            <w:vAlign w:val="center"/>
          </w:tcPr>
          <w:p w14:paraId="235B487A" w14:textId="13F5CD29" w:rsidR="00E52651" w:rsidRPr="00A46478" w:rsidRDefault="00E52651" w:rsidP="00E52651">
            <w:pPr>
              <w:suppressAutoHyphens w:val="0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Maszyny, u</w:t>
            </w:r>
            <w:r w:rsidRPr="00661D4F">
              <w:rPr>
                <w:rFonts w:ascii="Open Sans" w:hAnsi="Open Sans" w:cs="Open Sans"/>
                <w:sz w:val="20"/>
                <w:szCs w:val="20"/>
              </w:rPr>
              <w:t>rządzenia, wyposażenie,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stałe</w:t>
            </w:r>
            <w:r w:rsidRPr="00661D4F">
              <w:rPr>
                <w:rFonts w:ascii="Open Sans" w:hAnsi="Open Sans" w:cs="Open Sans"/>
                <w:sz w:val="20"/>
                <w:szCs w:val="20"/>
              </w:rPr>
              <w:t xml:space="preserve"> mienie </w:t>
            </w:r>
            <w:proofErr w:type="spellStart"/>
            <w:r w:rsidRPr="00661D4F">
              <w:rPr>
                <w:rFonts w:ascii="Open Sans" w:hAnsi="Open Sans" w:cs="Open Sans"/>
                <w:sz w:val="20"/>
                <w:szCs w:val="20"/>
              </w:rPr>
              <w:t>niskocenne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– 100.000 PLN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FF8424A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41F9AA53" w14:textId="77777777" w:rsidTr="00E22382">
        <w:tc>
          <w:tcPr>
            <w:tcW w:w="6735" w:type="dxa"/>
            <w:shd w:val="clear" w:color="auto" w:fill="auto"/>
            <w:vAlign w:val="center"/>
          </w:tcPr>
          <w:p w14:paraId="24B46930" w14:textId="24CAB2AE" w:rsidR="00E52651" w:rsidRDefault="00E52651" w:rsidP="00E52651">
            <w:pPr>
              <w:suppressAutoHyphens w:val="0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Mienie pracownicze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10.000 PLN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8341AEC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32EE833C" w14:textId="77777777" w:rsidTr="00E22382">
        <w:tc>
          <w:tcPr>
            <w:tcW w:w="6735" w:type="dxa"/>
            <w:shd w:val="clear" w:color="auto" w:fill="auto"/>
            <w:vAlign w:val="center"/>
          </w:tcPr>
          <w:p w14:paraId="75AC857F" w14:textId="7DCF0204" w:rsidR="00E52651" w:rsidRDefault="00E52651" w:rsidP="00E52651">
            <w:pPr>
              <w:suppressAutoHyphens w:val="0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Gotówka od kradzieży z włamaniem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10.000 PLN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8A4E66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35BA94EC" w14:textId="77777777" w:rsidTr="00E22382">
        <w:tc>
          <w:tcPr>
            <w:tcW w:w="6735" w:type="dxa"/>
            <w:shd w:val="clear" w:color="auto" w:fill="auto"/>
            <w:vAlign w:val="center"/>
          </w:tcPr>
          <w:p w14:paraId="596A6870" w14:textId="0AE8DE66" w:rsidR="00E52651" w:rsidRDefault="00E52651" w:rsidP="00E52651">
            <w:pPr>
              <w:suppressAutoHyphens w:val="0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Gotówka od rabunku w lokalu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10.000 PLN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23566EE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5FA9EFD9" w14:textId="77777777" w:rsidTr="00E22382">
        <w:tc>
          <w:tcPr>
            <w:tcW w:w="6735" w:type="dxa"/>
            <w:shd w:val="clear" w:color="auto" w:fill="auto"/>
            <w:vAlign w:val="center"/>
          </w:tcPr>
          <w:p w14:paraId="15C561EF" w14:textId="18D5CA9D" w:rsidR="00E52651" w:rsidRDefault="00E52651" w:rsidP="00E52651">
            <w:pPr>
              <w:suppressAutoHyphens w:val="0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661D4F">
              <w:rPr>
                <w:rFonts w:ascii="Open Sans" w:hAnsi="Open Sans" w:cs="Open Sans"/>
                <w:sz w:val="20"/>
                <w:szCs w:val="20"/>
              </w:rPr>
              <w:t>Gotówka od rabunku w transporcie (RP)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10.000 PLN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04AC665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1DB0DA5B" w14:textId="77777777" w:rsidTr="00E22382">
        <w:tc>
          <w:tcPr>
            <w:tcW w:w="6735" w:type="dxa"/>
            <w:shd w:val="clear" w:color="auto" w:fill="auto"/>
            <w:vAlign w:val="center"/>
          </w:tcPr>
          <w:p w14:paraId="5DD3B49C" w14:textId="479B1125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Środki obrotowe – 10.000 PLN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DC4B06C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4224FD7A" w14:textId="77777777" w:rsidTr="007B125E">
        <w:tc>
          <w:tcPr>
            <w:tcW w:w="9343" w:type="dxa"/>
            <w:gridSpan w:val="2"/>
            <w:shd w:val="clear" w:color="auto" w:fill="F2F2F2" w:themeFill="background1" w:themeFillShade="F2"/>
            <w:vAlign w:val="center"/>
          </w:tcPr>
          <w:p w14:paraId="2CF15A61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 tym ubezpieczenie przedmiotów szklanych od stłuczenia</w:t>
            </w:r>
          </w:p>
        </w:tc>
      </w:tr>
      <w:tr w:rsidR="00E52651" w:rsidRPr="00A46478" w14:paraId="336DE69F" w14:textId="77777777" w:rsidTr="000C008C">
        <w:tc>
          <w:tcPr>
            <w:tcW w:w="6735" w:type="dxa"/>
            <w:shd w:val="clear" w:color="auto" w:fill="auto"/>
            <w:vAlign w:val="center"/>
          </w:tcPr>
          <w:p w14:paraId="70AC8ECA" w14:textId="33787242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Przedmioty szklane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6EED4FE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0D7135E5" w14:textId="77777777" w:rsidTr="0035120C">
        <w:tc>
          <w:tcPr>
            <w:tcW w:w="6735" w:type="dxa"/>
            <w:shd w:val="clear" w:color="auto" w:fill="auto"/>
          </w:tcPr>
          <w:p w14:paraId="1A352D24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2608" w:type="dxa"/>
            <w:shd w:val="clear" w:color="auto" w:fill="auto"/>
          </w:tcPr>
          <w:p w14:paraId="05118D95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3FFCC9A2" w14:textId="77777777" w:rsidTr="0035120C">
        <w:tc>
          <w:tcPr>
            <w:tcW w:w="6735" w:type="dxa"/>
            <w:shd w:val="clear" w:color="auto" w:fill="auto"/>
          </w:tcPr>
          <w:p w14:paraId="4B2D3E79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608" w:type="dxa"/>
            <w:shd w:val="clear" w:color="auto" w:fill="auto"/>
          </w:tcPr>
          <w:p w14:paraId="21C28F36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52651" w:rsidRPr="00A46478" w14:paraId="26811DAF" w14:textId="77777777" w:rsidTr="007576AD">
        <w:tc>
          <w:tcPr>
            <w:tcW w:w="6735" w:type="dxa"/>
            <w:shd w:val="clear" w:color="auto" w:fill="D9D9D9" w:themeFill="background1" w:themeFillShade="D9"/>
            <w:vAlign w:val="center"/>
          </w:tcPr>
          <w:p w14:paraId="551545D7" w14:textId="1247AC5A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II. ubezpieczenie sprzętu elektronicznego od wszystkich ryzyk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2C251AC7" w14:textId="6E0A5063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Roczna stawka ubezpieczeniowa w %</w:t>
            </w:r>
          </w:p>
        </w:tc>
      </w:tr>
      <w:tr w:rsidR="00E52651" w:rsidRPr="00A46478" w14:paraId="29A00CB7" w14:textId="77777777" w:rsidTr="007021C4">
        <w:tc>
          <w:tcPr>
            <w:tcW w:w="6735" w:type="dxa"/>
            <w:shd w:val="clear" w:color="auto" w:fill="auto"/>
            <w:vAlign w:val="center"/>
          </w:tcPr>
          <w:p w14:paraId="32439B93" w14:textId="11343D5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Cs/>
                <w:sz w:val="20"/>
                <w:szCs w:val="20"/>
              </w:rPr>
              <w:t>Sprzęt elektroniczny stacjonarny  (własny i powierzony)</w:t>
            </w:r>
          </w:p>
        </w:tc>
        <w:tc>
          <w:tcPr>
            <w:tcW w:w="2608" w:type="dxa"/>
            <w:shd w:val="clear" w:color="auto" w:fill="auto"/>
          </w:tcPr>
          <w:p w14:paraId="66B42FF1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68026BAA" w14:textId="77777777" w:rsidTr="007021C4">
        <w:tc>
          <w:tcPr>
            <w:tcW w:w="6735" w:type="dxa"/>
            <w:shd w:val="clear" w:color="auto" w:fill="auto"/>
            <w:vAlign w:val="center"/>
          </w:tcPr>
          <w:p w14:paraId="6DCE2787" w14:textId="5C0B9F39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Cs/>
                <w:sz w:val="20"/>
                <w:szCs w:val="20"/>
              </w:rPr>
              <w:t>Sprzęt elektroniczny przenośny (własny i powierzony)</w:t>
            </w:r>
          </w:p>
        </w:tc>
        <w:tc>
          <w:tcPr>
            <w:tcW w:w="2608" w:type="dxa"/>
            <w:shd w:val="clear" w:color="auto" w:fill="auto"/>
          </w:tcPr>
          <w:p w14:paraId="18CF692C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094D336B" w14:textId="77777777" w:rsidTr="007021C4">
        <w:tc>
          <w:tcPr>
            <w:tcW w:w="6735" w:type="dxa"/>
            <w:shd w:val="clear" w:color="auto" w:fill="auto"/>
            <w:vAlign w:val="center"/>
          </w:tcPr>
          <w:p w14:paraId="3982F2ED" w14:textId="44E82539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Koszty odtworzenia danych i licencjonowane oprogramowania</w:t>
            </w:r>
          </w:p>
        </w:tc>
        <w:tc>
          <w:tcPr>
            <w:tcW w:w="2608" w:type="dxa"/>
            <w:shd w:val="clear" w:color="auto" w:fill="auto"/>
          </w:tcPr>
          <w:p w14:paraId="6FAE35A7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041EE62D" w14:textId="77777777" w:rsidTr="007021C4">
        <w:tc>
          <w:tcPr>
            <w:tcW w:w="6735" w:type="dxa"/>
            <w:shd w:val="clear" w:color="auto" w:fill="auto"/>
            <w:vAlign w:val="center"/>
          </w:tcPr>
          <w:p w14:paraId="16BCB184" w14:textId="18E8DB8B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Wymienne nośnik danych</w:t>
            </w:r>
          </w:p>
        </w:tc>
        <w:tc>
          <w:tcPr>
            <w:tcW w:w="2608" w:type="dxa"/>
            <w:shd w:val="clear" w:color="auto" w:fill="auto"/>
          </w:tcPr>
          <w:p w14:paraId="5FF2E3ED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38921A69" w14:textId="77777777" w:rsidTr="007021C4">
        <w:tc>
          <w:tcPr>
            <w:tcW w:w="6735" w:type="dxa"/>
            <w:shd w:val="clear" w:color="auto" w:fill="auto"/>
            <w:vAlign w:val="center"/>
          </w:tcPr>
          <w:p w14:paraId="3E09F344" w14:textId="383B2330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Zwiększone koszty działalności</w:t>
            </w:r>
          </w:p>
        </w:tc>
        <w:tc>
          <w:tcPr>
            <w:tcW w:w="2608" w:type="dxa"/>
            <w:shd w:val="clear" w:color="auto" w:fill="auto"/>
          </w:tcPr>
          <w:p w14:paraId="1EC64D59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51502FDE" w14:textId="77777777" w:rsidTr="0035120C">
        <w:tc>
          <w:tcPr>
            <w:tcW w:w="6735" w:type="dxa"/>
            <w:shd w:val="clear" w:color="auto" w:fill="auto"/>
          </w:tcPr>
          <w:p w14:paraId="42EE8AAC" w14:textId="217F970E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2608" w:type="dxa"/>
            <w:shd w:val="clear" w:color="auto" w:fill="auto"/>
          </w:tcPr>
          <w:p w14:paraId="544AB6B5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5E9A5699" w14:textId="77777777" w:rsidTr="0035120C">
        <w:tc>
          <w:tcPr>
            <w:tcW w:w="6735" w:type="dxa"/>
            <w:shd w:val="clear" w:color="auto" w:fill="auto"/>
          </w:tcPr>
          <w:p w14:paraId="60379C71" w14:textId="36D2C443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608" w:type="dxa"/>
            <w:shd w:val="clear" w:color="auto" w:fill="auto"/>
          </w:tcPr>
          <w:p w14:paraId="5079756A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436E349F" w14:textId="77777777" w:rsidTr="007576AD">
        <w:tc>
          <w:tcPr>
            <w:tcW w:w="6735" w:type="dxa"/>
            <w:shd w:val="clear" w:color="auto" w:fill="D9D9D9" w:themeFill="background1" w:themeFillShade="D9"/>
            <w:vAlign w:val="center"/>
          </w:tcPr>
          <w:p w14:paraId="0FB8558A" w14:textId="6B45C3F8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III. ubezpieczenie odpowiedzialności cywilnej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2DB63DD1" w14:textId="5A63E1E6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Roczna stawka ubezpieczeniowa w %</w:t>
            </w:r>
          </w:p>
        </w:tc>
      </w:tr>
      <w:tr w:rsidR="00E52651" w:rsidRPr="00A46478" w14:paraId="17D0DD44" w14:textId="77777777" w:rsidTr="0035120C">
        <w:tc>
          <w:tcPr>
            <w:tcW w:w="6735" w:type="dxa"/>
            <w:shd w:val="clear" w:color="auto" w:fill="auto"/>
          </w:tcPr>
          <w:p w14:paraId="4B7948BD" w14:textId="27871A29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Łączna składka roczna</w:t>
            </w:r>
          </w:p>
        </w:tc>
        <w:tc>
          <w:tcPr>
            <w:tcW w:w="2608" w:type="dxa"/>
            <w:shd w:val="clear" w:color="auto" w:fill="auto"/>
          </w:tcPr>
          <w:p w14:paraId="06E845F8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7B199AC9" w14:textId="77777777" w:rsidTr="0035120C">
        <w:tc>
          <w:tcPr>
            <w:tcW w:w="6735" w:type="dxa"/>
            <w:shd w:val="clear" w:color="auto" w:fill="auto"/>
          </w:tcPr>
          <w:p w14:paraId="6449F5C8" w14:textId="05034C8C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608" w:type="dxa"/>
            <w:shd w:val="clear" w:color="auto" w:fill="auto"/>
          </w:tcPr>
          <w:p w14:paraId="0466E987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3394391B" w14:textId="77777777" w:rsidTr="0035120C">
        <w:tc>
          <w:tcPr>
            <w:tcW w:w="6735" w:type="dxa"/>
            <w:shd w:val="clear" w:color="auto" w:fill="auto"/>
          </w:tcPr>
          <w:p w14:paraId="2CEAE65D" w14:textId="31131D18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ŁĄCZNA SKŁADKA ROCZNA ZA WSZYSTKIE UBEZPIECZENIA:</w:t>
            </w:r>
          </w:p>
        </w:tc>
        <w:tc>
          <w:tcPr>
            <w:tcW w:w="2608" w:type="dxa"/>
            <w:shd w:val="clear" w:color="auto" w:fill="auto"/>
          </w:tcPr>
          <w:p w14:paraId="4A943A7A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651" w:rsidRPr="00A46478" w14:paraId="0B631D79" w14:textId="77777777" w:rsidTr="0035120C">
        <w:tc>
          <w:tcPr>
            <w:tcW w:w="6735" w:type="dxa"/>
            <w:shd w:val="clear" w:color="auto" w:fill="auto"/>
          </w:tcPr>
          <w:p w14:paraId="58BAB3A2" w14:textId="268BD259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SKŁADKA ŁĄCZNA ZA CAŁY OKRES ZAMÓWIENIA (36 MIESIĘCY)</w:t>
            </w:r>
          </w:p>
        </w:tc>
        <w:tc>
          <w:tcPr>
            <w:tcW w:w="2608" w:type="dxa"/>
            <w:shd w:val="clear" w:color="auto" w:fill="auto"/>
          </w:tcPr>
          <w:p w14:paraId="0D8A3D6C" w14:textId="77777777" w:rsidR="00E52651" w:rsidRPr="00A46478" w:rsidRDefault="00E52651" w:rsidP="00E52651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8B5763" w14:textId="253F9110" w:rsidR="0035120C" w:rsidRPr="00A46478" w:rsidRDefault="0035120C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12ACC64B" w14:textId="093FD68F" w:rsidR="00432818" w:rsidRPr="00A46478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7116DEF9" w14:textId="1574EB0C" w:rsidR="00432818" w:rsidRPr="00A46478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4169F71D" w14:textId="1939DF84" w:rsidR="00432818" w:rsidRPr="00A46478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432818" w:rsidRPr="00A46478" w14:paraId="1D9D4F82" w14:textId="77777777" w:rsidTr="007C6CE5">
        <w:trPr>
          <w:trHeight w:val="580"/>
        </w:trPr>
        <w:tc>
          <w:tcPr>
            <w:tcW w:w="4395" w:type="dxa"/>
          </w:tcPr>
          <w:p w14:paraId="324D477A" w14:textId="77777777" w:rsidR="00432818" w:rsidRPr="00A46478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Pr="00A46478">
              <w:rPr>
                <w:rFonts w:ascii="Open Sans" w:hAnsi="Open Sans" w:cs="Open Sans"/>
                <w:sz w:val="20"/>
                <w:szCs w:val="20"/>
              </w:rPr>
              <w:br/>
              <w:t xml:space="preserve">              Zamawiający</w:t>
            </w:r>
          </w:p>
        </w:tc>
        <w:tc>
          <w:tcPr>
            <w:tcW w:w="4753" w:type="dxa"/>
          </w:tcPr>
          <w:p w14:paraId="59BBE8F6" w14:textId="77777777" w:rsidR="00432818" w:rsidRPr="00A46478" w:rsidRDefault="00432818" w:rsidP="007C6CE5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18E516D0" w14:textId="77777777" w:rsidR="00432818" w:rsidRPr="00A46478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A46478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Wykonawca</w:t>
            </w:r>
          </w:p>
          <w:p w14:paraId="27A8DD31" w14:textId="77777777" w:rsidR="00432818" w:rsidRPr="00A46478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43A5A0D" w14:textId="77777777" w:rsidR="00432818" w:rsidRPr="00A46478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2818" w:rsidRPr="00A46478" w14:paraId="6E9C7513" w14:textId="77777777" w:rsidTr="007C6CE5">
        <w:trPr>
          <w:trHeight w:val="580"/>
        </w:trPr>
        <w:tc>
          <w:tcPr>
            <w:tcW w:w="4395" w:type="dxa"/>
          </w:tcPr>
          <w:p w14:paraId="36FFFD34" w14:textId="77777777" w:rsidR="00432818" w:rsidRPr="00A46478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53" w:type="dxa"/>
          </w:tcPr>
          <w:p w14:paraId="15A1789A" w14:textId="77777777" w:rsidR="00432818" w:rsidRPr="00A46478" w:rsidRDefault="00432818" w:rsidP="007C6CE5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C408579" w14:textId="77777777" w:rsidR="00432818" w:rsidRPr="00A46478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sectPr w:rsidR="00432818" w:rsidRPr="00A46478" w:rsidSect="00B6558D">
      <w:headerReference w:type="default" r:id="rId9"/>
      <w:footerReference w:type="default" r:id="rId10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657D" w14:textId="77777777" w:rsidR="004D407F" w:rsidRDefault="004D407F" w:rsidP="00C35B3B">
      <w:r>
        <w:separator/>
      </w:r>
    </w:p>
  </w:endnote>
  <w:endnote w:type="continuationSeparator" w:id="0">
    <w:p w14:paraId="106A9F00" w14:textId="77777777" w:rsidR="004D407F" w:rsidRDefault="004D407F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0F233A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0F233A" w:rsidRPr="009B5E41" w:rsidRDefault="000F233A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CA77" w14:textId="77777777" w:rsidR="004D407F" w:rsidRDefault="004D407F" w:rsidP="00C35B3B">
      <w:r>
        <w:separator/>
      </w:r>
    </w:p>
  </w:footnote>
  <w:footnote w:type="continuationSeparator" w:id="0">
    <w:p w14:paraId="2B0CFF3E" w14:textId="77777777" w:rsidR="004D407F" w:rsidRDefault="004D407F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CD9" w14:textId="7F51FBB9" w:rsidR="00BC4951" w:rsidRPr="00185F52" w:rsidRDefault="00BC4951" w:rsidP="00BC4951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Gmina </w:t>
    </w:r>
    <w:r w:rsidR="00E510E6">
      <w:rPr>
        <w:rFonts w:ascii="Calibri" w:hAnsi="Calibri" w:cs="Calibri"/>
        <w:sz w:val="22"/>
        <w:szCs w:val="22"/>
      </w:rPr>
      <w:t xml:space="preserve">Alwernia                                                        </w:t>
    </w:r>
    <w:r w:rsidRPr="00F7119C">
      <w:rPr>
        <w:rFonts w:ascii="Calibri" w:hAnsi="Calibri" w:cs="Calibri"/>
        <w:sz w:val="22"/>
        <w:szCs w:val="22"/>
        <w:lang w:eastAsia="pl-PL"/>
      </w:rPr>
      <w:t xml:space="preserve">Załącznik nr </w:t>
    </w:r>
    <w:r>
      <w:rPr>
        <w:rFonts w:ascii="Calibri" w:hAnsi="Calibri" w:cs="Calibri"/>
        <w:sz w:val="22"/>
        <w:szCs w:val="22"/>
        <w:lang w:eastAsia="pl-PL"/>
      </w:rPr>
      <w:t>3a</w:t>
    </w:r>
    <w:r w:rsidRPr="00F7119C">
      <w:rPr>
        <w:rFonts w:ascii="Calibri" w:hAnsi="Calibri" w:cs="Calibri"/>
        <w:sz w:val="22"/>
        <w:szCs w:val="22"/>
        <w:lang w:eastAsia="pl-PL"/>
      </w:rPr>
      <w:t xml:space="preserve"> do SWZ – </w:t>
    </w:r>
    <w:r w:rsidR="006A31A2">
      <w:rPr>
        <w:rFonts w:ascii="Calibri" w:hAnsi="Calibri" w:cs="Calibri"/>
        <w:sz w:val="22"/>
        <w:szCs w:val="22"/>
        <w:lang w:eastAsia="pl-PL"/>
      </w:rPr>
      <w:t>W</w:t>
    </w:r>
    <w:r>
      <w:rPr>
        <w:rFonts w:ascii="Calibri" w:hAnsi="Calibri" w:cs="Calibri"/>
        <w:sz w:val="22"/>
        <w:szCs w:val="22"/>
        <w:lang w:eastAsia="pl-PL"/>
      </w:rPr>
      <w:t>zór umowy dla części 1</w:t>
    </w:r>
    <w:r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Pr="00F7119C">
      <w:rPr>
        <w:rFonts w:ascii="Calibri" w:hAnsi="Calibri" w:cs="Calibri"/>
        <w:sz w:val="22"/>
        <w:szCs w:val="22"/>
      </w:rPr>
      <w:t xml:space="preserve">Oznaczenie sprawy: </w:t>
    </w:r>
    <w:r w:rsidR="00E510E6">
      <w:rPr>
        <w:rFonts w:ascii="Calibri" w:hAnsi="Calibri" w:cs="Calibri"/>
        <w:sz w:val="22"/>
        <w:szCs w:val="22"/>
      </w:rPr>
      <w:t>1/12/2023/G. Alwernia</w:t>
    </w:r>
  </w:p>
  <w:p w14:paraId="7D04D390" w14:textId="77777777" w:rsidR="000F233A" w:rsidRDefault="000F233A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D5C"/>
    <w:multiLevelType w:val="hybridMultilevel"/>
    <w:tmpl w:val="8ADC9A94"/>
    <w:lvl w:ilvl="0" w:tplc="82768AB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6623"/>
    <w:multiLevelType w:val="hybridMultilevel"/>
    <w:tmpl w:val="DDBC1DEC"/>
    <w:lvl w:ilvl="0" w:tplc="361672C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142E"/>
    <w:multiLevelType w:val="hybridMultilevel"/>
    <w:tmpl w:val="D1DC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3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7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3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2"/>
  </w:num>
  <w:num w:numId="16" w16cid:durableId="1140535776">
    <w:abstractNumId w:val="8"/>
  </w:num>
  <w:num w:numId="17" w16cid:durableId="647512497">
    <w:abstractNumId w:val="20"/>
  </w:num>
  <w:num w:numId="18" w16cid:durableId="1541701342">
    <w:abstractNumId w:val="12"/>
  </w:num>
  <w:num w:numId="19" w16cid:durableId="1354577263">
    <w:abstractNumId w:val="19"/>
  </w:num>
  <w:num w:numId="20" w16cid:durableId="754596769">
    <w:abstractNumId w:val="4"/>
  </w:num>
  <w:num w:numId="21" w16cid:durableId="1392580535">
    <w:abstractNumId w:val="15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4"/>
  </w:num>
  <w:num w:numId="31" w16cid:durableId="624624505">
    <w:abstractNumId w:val="18"/>
  </w:num>
  <w:num w:numId="32" w16cid:durableId="250940935">
    <w:abstractNumId w:val="37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21"/>
  </w:num>
  <w:num w:numId="38" w16cid:durableId="1197426490">
    <w:abstractNumId w:val="11"/>
  </w:num>
  <w:num w:numId="39" w16cid:durableId="194780682">
    <w:abstractNumId w:val="16"/>
  </w:num>
  <w:num w:numId="40" w16cid:durableId="477499861">
    <w:abstractNumId w:val="10"/>
  </w:num>
  <w:num w:numId="41" w16cid:durableId="7828435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45F5C"/>
    <w:rsid w:val="0007157C"/>
    <w:rsid w:val="000F233A"/>
    <w:rsid w:val="00106AE5"/>
    <w:rsid w:val="00122A44"/>
    <w:rsid w:val="0014750F"/>
    <w:rsid w:val="00162380"/>
    <w:rsid w:val="00164A8E"/>
    <w:rsid w:val="00192465"/>
    <w:rsid w:val="001A4D7A"/>
    <w:rsid w:val="001B26F8"/>
    <w:rsid w:val="001E18C1"/>
    <w:rsid w:val="001E38A3"/>
    <w:rsid w:val="001E5C60"/>
    <w:rsid w:val="002062D4"/>
    <w:rsid w:val="00233D1B"/>
    <w:rsid w:val="00282F47"/>
    <w:rsid w:val="002C46D7"/>
    <w:rsid w:val="002E7344"/>
    <w:rsid w:val="002F23C5"/>
    <w:rsid w:val="00303898"/>
    <w:rsid w:val="00305B3A"/>
    <w:rsid w:val="003121DA"/>
    <w:rsid w:val="0035120C"/>
    <w:rsid w:val="00363B07"/>
    <w:rsid w:val="00372A46"/>
    <w:rsid w:val="00387840"/>
    <w:rsid w:val="003D6DDE"/>
    <w:rsid w:val="00412624"/>
    <w:rsid w:val="00421FCE"/>
    <w:rsid w:val="00432818"/>
    <w:rsid w:val="00433CD6"/>
    <w:rsid w:val="004976DE"/>
    <w:rsid w:val="004B3994"/>
    <w:rsid w:val="004C1836"/>
    <w:rsid w:val="004D407F"/>
    <w:rsid w:val="004D584E"/>
    <w:rsid w:val="005151AF"/>
    <w:rsid w:val="00525229"/>
    <w:rsid w:val="00542CEC"/>
    <w:rsid w:val="00557469"/>
    <w:rsid w:val="00583128"/>
    <w:rsid w:val="005902D0"/>
    <w:rsid w:val="0059795D"/>
    <w:rsid w:val="006018B8"/>
    <w:rsid w:val="00681F8F"/>
    <w:rsid w:val="006A31A2"/>
    <w:rsid w:val="006A5B35"/>
    <w:rsid w:val="007213F1"/>
    <w:rsid w:val="00723495"/>
    <w:rsid w:val="00732C5C"/>
    <w:rsid w:val="0074771C"/>
    <w:rsid w:val="007576AD"/>
    <w:rsid w:val="007650B6"/>
    <w:rsid w:val="007A2747"/>
    <w:rsid w:val="007B125E"/>
    <w:rsid w:val="007C4079"/>
    <w:rsid w:val="00805BCE"/>
    <w:rsid w:val="00835B43"/>
    <w:rsid w:val="008433EF"/>
    <w:rsid w:val="00866911"/>
    <w:rsid w:val="008A0745"/>
    <w:rsid w:val="008A35CF"/>
    <w:rsid w:val="008F0841"/>
    <w:rsid w:val="0099539D"/>
    <w:rsid w:val="00995E63"/>
    <w:rsid w:val="009B4E19"/>
    <w:rsid w:val="009E47CD"/>
    <w:rsid w:val="00A070DD"/>
    <w:rsid w:val="00A2305F"/>
    <w:rsid w:val="00A235D9"/>
    <w:rsid w:val="00A23D2B"/>
    <w:rsid w:val="00A3003F"/>
    <w:rsid w:val="00A34DDD"/>
    <w:rsid w:val="00A46478"/>
    <w:rsid w:val="00A607C0"/>
    <w:rsid w:val="00B1429C"/>
    <w:rsid w:val="00B27AE4"/>
    <w:rsid w:val="00B43C02"/>
    <w:rsid w:val="00B51D04"/>
    <w:rsid w:val="00B8489B"/>
    <w:rsid w:val="00BB7EF1"/>
    <w:rsid w:val="00BC4951"/>
    <w:rsid w:val="00BF6DF5"/>
    <w:rsid w:val="00C0053D"/>
    <w:rsid w:val="00C34098"/>
    <w:rsid w:val="00C35B3B"/>
    <w:rsid w:val="00C76A7A"/>
    <w:rsid w:val="00CD3E91"/>
    <w:rsid w:val="00D16953"/>
    <w:rsid w:val="00D3192E"/>
    <w:rsid w:val="00D44267"/>
    <w:rsid w:val="00D619FC"/>
    <w:rsid w:val="00DA28D0"/>
    <w:rsid w:val="00DC47DB"/>
    <w:rsid w:val="00DF69FC"/>
    <w:rsid w:val="00E15390"/>
    <w:rsid w:val="00E160E1"/>
    <w:rsid w:val="00E31145"/>
    <w:rsid w:val="00E510E6"/>
    <w:rsid w:val="00E52651"/>
    <w:rsid w:val="00EE4D27"/>
    <w:rsid w:val="00F24B33"/>
    <w:rsid w:val="00F36896"/>
    <w:rsid w:val="00F65CDA"/>
    <w:rsid w:val="00F7119C"/>
    <w:rsid w:val="00FC01E8"/>
    <w:rsid w:val="00FC515B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C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2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2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ukasik@at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C52-6A47-4BF4-B67B-0C15C6E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3724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2023-12-05T12:03:00Z</dcterms:created>
  <dcterms:modified xsi:type="dcterms:W3CDTF">2023-12-05T12:03:00Z</dcterms:modified>
</cp:coreProperties>
</file>