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04DB21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1D84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5044854A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D527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z dnia 11 września 2019 r. Prawo zamówień publicznych (Dz. U. 2019 poz. 2019 z </w:t>
      </w:r>
      <w:proofErr w:type="spellStart"/>
      <w:r w:rsidRPr="008F127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F127F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BC376C2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CD5271" w:rsidRP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</w:t>
      </w:r>
      <w:proofErr w:type="spellStart"/>
      <w:r w:rsidR="00CD5271" w:rsidRP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amnulansu</w:t>
      </w:r>
      <w:proofErr w:type="spellEnd"/>
      <w:r w:rsidR="00CD5271" w:rsidRP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typu C </w:t>
      </w:r>
      <w:r w:rsid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br/>
      </w:r>
      <w:r w:rsidR="00CD5271" w:rsidRP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w zabudowie kontenerowej</w:t>
      </w:r>
      <w:r w:rsidR="00B20CC1" w:rsidRPr="00CD527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</w:t>
      </w:r>
      <w:r w:rsidR="00CD527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br/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FC2F53" w14:textId="4D15E3A8" w:rsidR="00FC5706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 xml:space="preserve">świadczamy, że wszystkie informacje zawarte w oświadczeniu, o którym mowa w art. 125 ust. 1 ustawy </w:t>
      </w:r>
      <w:proofErr w:type="spellStart"/>
      <w:r w:rsidR="008F127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F127F">
        <w:rPr>
          <w:rFonts w:asciiTheme="minorHAnsi" w:hAnsiTheme="minorHAnsi" w:cstheme="minorHAnsi"/>
          <w:sz w:val="22"/>
          <w:szCs w:val="22"/>
        </w:rPr>
        <w:t xml:space="preserve">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20CC1"/>
    <w:rsid w:val="00B9563D"/>
    <w:rsid w:val="00B96E5D"/>
    <w:rsid w:val="00BA7CF1"/>
    <w:rsid w:val="00BC0608"/>
    <w:rsid w:val="00BC0C2F"/>
    <w:rsid w:val="00C429F9"/>
    <w:rsid w:val="00C61550"/>
    <w:rsid w:val="00CD5271"/>
    <w:rsid w:val="00E011E2"/>
    <w:rsid w:val="00E172CB"/>
    <w:rsid w:val="00E26A4E"/>
    <w:rsid w:val="00E535DF"/>
    <w:rsid w:val="00EC7F96"/>
    <w:rsid w:val="00EE6E0C"/>
    <w:rsid w:val="00F03D53"/>
    <w:rsid w:val="00F25897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2024-05-09T09:39:00Z</dcterms:modified>
</cp:coreProperties>
</file>