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50002A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51E3EAB9" w:rsidR="009D4AFC" w:rsidRPr="009D4AFC" w:rsidRDefault="00A3534F" w:rsidP="009D4AFC">
      <w:pPr>
        <w:pStyle w:val="Akapitzlist"/>
        <w:ind w:left="284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715832" w:rsidRPr="00D979EE">
        <w:rPr>
          <w:rFonts w:asciiTheme="minorHAnsi" w:hAnsiTheme="minorHAnsi" w:cstheme="minorHAnsi"/>
          <w:b/>
        </w:rPr>
        <w:t xml:space="preserve">Budowa tężni solankowej na terenie Parku </w:t>
      </w:r>
      <w:proofErr w:type="spellStart"/>
      <w:r w:rsidR="00715832" w:rsidRPr="00D979EE">
        <w:rPr>
          <w:rFonts w:asciiTheme="minorHAnsi" w:hAnsiTheme="minorHAnsi" w:cstheme="minorHAnsi"/>
          <w:b/>
        </w:rPr>
        <w:t>Piaskówka</w:t>
      </w:r>
      <w:proofErr w:type="spellEnd"/>
      <w:r w:rsidR="00715832" w:rsidRPr="00D979EE">
        <w:rPr>
          <w:rFonts w:asciiTheme="minorHAnsi" w:hAnsiTheme="minorHAnsi" w:cstheme="minorHAnsi"/>
          <w:b/>
        </w:rPr>
        <w:t xml:space="preserve"> w</w:t>
      </w:r>
      <w:r w:rsidR="00715832">
        <w:rPr>
          <w:rFonts w:asciiTheme="minorHAnsi" w:hAnsiTheme="minorHAnsi" w:cstheme="minorHAnsi"/>
          <w:b/>
        </w:rPr>
        <w:t> </w:t>
      </w:r>
      <w:r w:rsidR="00715832" w:rsidRPr="00D979EE">
        <w:rPr>
          <w:rFonts w:asciiTheme="minorHAnsi" w:hAnsiTheme="minorHAnsi" w:cstheme="minorHAnsi"/>
          <w:b/>
        </w:rPr>
        <w:t>Tarnowie</w:t>
      </w:r>
      <w:r w:rsidR="00715832">
        <w:rPr>
          <w:rFonts w:asciiTheme="minorHAnsi" w:hAnsiTheme="minorHAnsi" w:cstheme="minorHAnsi"/>
          <w:b/>
        </w:rPr>
        <w:t>”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Pr="007A03DE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5FEA" w14:textId="77777777" w:rsidR="001E4899" w:rsidRDefault="001E4899" w:rsidP="00A3534F">
      <w:pPr>
        <w:spacing w:after="0" w:line="240" w:lineRule="auto"/>
      </w:pPr>
      <w:r>
        <w:separator/>
      </w:r>
    </w:p>
  </w:endnote>
  <w:endnote w:type="continuationSeparator" w:id="0">
    <w:p w14:paraId="51A86DF4" w14:textId="77777777" w:rsidR="001E4899" w:rsidRDefault="001E4899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7944" w14:textId="77777777" w:rsidR="001E4899" w:rsidRDefault="001E4899" w:rsidP="00A3534F">
      <w:pPr>
        <w:spacing w:after="0" w:line="240" w:lineRule="auto"/>
      </w:pPr>
      <w:r>
        <w:separator/>
      </w:r>
    </w:p>
  </w:footnote>
  <w:footnote w:type="continuationSeparator" w:id="0">
    <w:p w14:paraId="51503FDB" w14:textId="77777777" w:rsidR="001E4899" w:rsidRDefault="001E4899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BA7"/>
    <w:rsid w:val="000B4B54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20783C"/>
    <w:rsid w:val="00223701"/>
    <w:rsid w:val="00267A7F"/>
    <w:rsid w:val="00272C47"/>
    <w:rsid w:val="002841B7"/>
    <w:rsid w:val="00284F34"/>
    <w:rsid w:val="002A18EE"/>
    <w:rsid w:val="003238C9"/>
    <w:rsid w:val="00370B2B"/>
    <w:rsid w:val="003C01AE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715832"/>
    <w:rsid w:val="007222E1"/>
    <w:rsid w:val="00743A75"/>
    <w:rsid w:val="00775E2F"/>
    <w:rsid w:val="007973FA"/>
    <w:rsid w:val="007A03DE"/>
    <w:rsid w:val="007E5B01"/>
    <w:rsid w:val="00826830"/>
    <w:rsid w:val="008E7BDC"/>
    <w:rsid w:val="00905FB2"/>
    <w:rsid w:val="009367CB"/>
    <w:rsid w:val="009473E2"/>
    <w:rsid w:val="0095462D"/>
    <w:rsid w:val="00971059"/>
    <w:rsid w:val="00971BA7"/>
    <w:rsid w:val="009A2A88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D4292"/>
    <w:rsid w:val="00B14FBA"/>
    <w:rsid w:val="00B52FE4"/>
    <w:rsid w:val="00B55EC3"/>
    <w:rsid w:val="00B77F71"/>
    <w:rsid w:val="00BA0F90"/>
    <w:rsid w:val="00BA26B8"/>
    <w:rsid w:val="00C15087"/>
    <w:rsid w:val="00C65412"/>
    <w:rsid w:val="00CA5F7B"/>
    <w:rsid w:val="00CD7326"/>
    <w:rsid w:val="00D03641"/>
    <w:rsid w:val="00D13D2B"/>
    <w:rsid w:val="00D440B3"/>
    <w:rsid w:val="00DA7966"/>
    <w:rsid w:val="00DA7A8F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32</cp:revision>
  <dcterms:created xsi:type="dcterms:W3CDTF">2021-07-21T06:07:00Z</dcterms:created>
  <dcterms:modified xsi:type="dcterms:W3CDTF">2023-03-02T13:29:00Z</dcterms:modified>
</cp:coreProperties>
</file>