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294FE1" w:rsidRPr="00294FE1">
        <w:rPr>
          <w:rFonts w:ascii="Tahoma" w:hAnsi="Tahoma" w:cs="Tahoma"/>
          <w:sz w:val="20"/>
        </w:rPr>
        <w:t>„</w:t>
      </w:r>
      <w:r w:rsidR="009E1069">
        <w:rPr>
          <w:rFonts w:ascii="Tahoma" w:hAnsi="Tahoma" w:cs="Tahoma"/>
          <w:sz w:val="20"/>
        </w:rPr>
        <w:t>Przebudowa drogi gminnej nr 103051E granica Gminy Zduńska Wola - Kolonia Bilew</w:t>
      </w:r>
      <w:r w:rsidR="00294FE1" w:rsidRPr="00294FE1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przypadkach wątpliwych </w:t>
      </w:r>
      <w:r w:rsidR="009E1069"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 xml:space="preserve"> może zlecić wykonanie badań w celu stwierdzenia, że ziemia ur</w:t>
      </w:r>
      <w:r>
        <w:rPr>
          <w:rFonts w:ascii="Tahoma" w:hAnsi="Tahoma" w:cs="Tahoma"/>
          <w:sz w:val="20"/>
        </w:rPr>
        <w:t>o</w:t>
      </w:r>
      <w:r>
        <w:rPr>
          <w:rFonts w:ascii="Tahoma" w:hAnsi="Tahoma" w:cs="Tahoma"/>
          <w:sz w:val="20"/>
        </w:rPr>
        <w:t>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699" w:rsidRDefault="00D87699" w:rsidP="008A5010">
      <w:r>
        <w:separator/>
      </w:r>
    </w:p>
  </w:endnote>
  <w:endnote w:type="continuationSeparator" w:id="0">
    <w:p w:rsidR="00D87699" w:rsidRDefault="00D87699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D02DA8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9E1069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699" w:rsidRDefault="00D87699" w:rsidP="008A5010">
      <w:r>
        <w:separator/>
      </w:r>
    </w:p>
  </w:footnote>
  <w:footnote w:type="continuationSeparator" w:id="0">
    <w:p w:rsidR="00D87699" w:rsidRDefault="00D87699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304E2"/>
    <w:rsid w:val="00140C2C"/>
    <w:rsid w:val="00294FE1"/>
    <w:rsid w:val="002A7F9A"/>
    <w:rsid w:val="006116DE"/>
    <w:rsid w:val="008A5010"/>
    <w:rsid w:val="009E1069"/>
    <w:rsid w:val="00B92BD2"/>
    <w:rsid w:val="00C07B8C"/>
    <w:rsid w:val="00CD2B9B"/>
    <w:rsid w:val="00D02DA8"/>
    <w:rsid w:val="00D83C3C"/>
    <w:rsid w:val="00D87699"/>
    <w:rsid w:val="00DB14F4"/>
    <w:rsid w:val="00E1014F"/>
    <w:rsid w:val="00E143E1"/>
    <w:rsid w:val="00ED3D7C"/>
    <w:rsid w:val="00F01660"/>
    <w:rsid w:val="00F1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5465</Characters>
  <Application>Microsoft Office Word</Application>
  <DocSecurity>0</DocSecurity>
  <Lines>45</Lines>
  <Paragraphs>12</Paragraphs>
  <ScaleCrop>false</ScaleCrop>
  <Company>HP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2021-09-15T19:53:00Z</dcterms:created>
  <dcterms:modified xsi:type="dcterms:W3CDTF">2021-09-15T19:53:00Z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