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362" w:rsidRDefault="00C12DEC">
      <w:pPr>
        <w:pStyle w:val="SST2"/>
        <w:rPr>
          <w:rFonts w:ascii="Tahoma" w:hAnsi="Tahoma" w:cs="Tahoma"/>
          <w:sz w:val="20"/>
        </w:rPr>
      </w:pPr>
      <w:bookmarkStart w:id="0" w:name="_Toc467161108"/>
      <w:bookmarkStart w:id="1" w:name="_Toc422245710"/>
      <w:bookmarkStart w:id="2" w:name="_Toc411855715"/>
      <w:bookmarkStart w:id="3" w:name="_Toc411855578"/>
      <w:bookmarkStart w:id="4" w:name="_Toc411852347"/>
      <w:bookmarkStart w:id="5" w:name="_Toc411852202"/>
      <w:bookmarkStart w:id="6" w:name="_Toc377220868"/>
      <w:r>
        <w:rPr>
          <w:rFonts w:ascii="Tahoma" w:hAnsi="Tahoma" w:cs="Tahoma"/>
          <w:sz w:val="20"/>
        </w:rPr>
        <w:t>D–04.01.01. KORYTO WRAZ Z PROFILOWANIEM I ZAGĘSZCZANIEM PODŁOŻ</w:t>
      </w:r>
      <w:bookmarkEnd w:id="0"/>
      <w:bookmarkEnd w:id="1"/>
      <w:bookmarkEnd w:id="2"/>
      <w:bookmarkEnd w:id="3"/>
      <w:bookmarkEnd w:id="4"/>
      <w:bookmarkEnd w:id="5"/>
      <w:bookmarkEnd w:id="6"/>
      <w:r>
        <w:rPr>
          <w:rFonts w:ascii="Tahoma" w:hAnsi="Tahoma" w:cs="Tahoma"/>
          <w:sz w:val="20"/>
        </w:rPr>
        <w:t>A</w:t>
      </w:r>
    </w:p>
    <w:p w:rsidR="00C32362" w:rsidRDefault="00C32362">
      <w:pPr>
        <w:jc w:val="both"/>
        <w:rPr>
          <w:rFonts w:ascii="Tahoma" w:hAnsi="Tahoma" w:cs="Tahoma"/>
          <w:b/>
          <w:sz w:val="20"/>
          <w:szCs w:val="20"/>
        </w:rPr>
      </w:pPr>
    </w:p>
    <w:p w:rsidR="00C32362" w:rsidRDefault="00C12DEC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1. WSTĘP</w:t>
      </w:r>
    </w:p>
    <w:p w:rsidR="00C32362" w:rsidRDefault="00C32362">
      <w:pPr>
        <w:rPr>
          <w:rFonts w:ascii="Tahoma" w:hAnsi="Tahoma" w:cs="Tahoma"/>
          <w:sz w:val="20"/>
          <w:szCs w:val="20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7" w:name="_Toc407086006"/>
      <w:bookmarkStart w:id="8" w:name="_Toc407085558"/>
      <w:bookmarkStart w:id="9" w:name="_Toc407085415"/>
      <w:bookmarkStart w:id="10" w:name="_Toc407085272"/>
      <w:bookmarkStart w:id="11" w:name="_Toc407084153"/>
      <w:bookmarkStart w:id="12" w:name="_Toc407083319"/>
      <w:bookmarkStart w:id="13" w:name="_Toc407081520"/>
      <w:bookmarkStart w:id="14" w:name="_Toc407069555"/>
      <w:bookmarkStart w:id="15" w:name="_Toc406984347"/>
      <w:bookmarkStart w:id="16" w:name="_Toc406984156"/>
      <w:bookmarkStart w:id="17" w:name="_Toc406984009"/>
      <w:bookmarkStart w:id="18" w:name="_Toc406915316"/>
      <w:bookmarkStart w:id="19" w:name="_Toc406914738"/>
      <w:bookmarkStart w:id="20" w:name="_Toc406914080"/>
      <w:bookmarkStart w:id="21" w:name="_Toc406913835"/>
      <w:bookmarkStart w:id="22" w:name="_Toc405780134"/>
      <w:bookmarkStart w:id="23" w:name="_Toc405704473"/>
      <w:r>
        <w:rPr>
          <w:rFonts w:ascii="Tahoma" w:hAnsi="Tahoma" w:cs="Tahoma"/>
        </w:rPr>
        <w:t xml:space="preserve">1.1. Przedmiot </w:t>
      </w:r>
      <w:proofErr w:type="spellStart"/>
      <w:r>
        <w:rPr>
          <w:rFonts w:ascii="Tahoma" w:hAnsi="Tahoma" w:cs="Tahoma"/>
        </w:rPr>
        <w:t>STWiORB</w:t>
      </w:r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proofErr w:type="spellEnd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Przedmiotem niniejszej specyfikacji technicznej wykonania i odbioru robót budowlanych (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>) są wymagania dotyczące wykonania i odbioru robót związanych z wykonywaniem koryta wraz z profil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 xml:space="preserve">waniem i zagęszczaniem podłoża gruntowego w związku z zamierzeniem budowlanym pn.: </w:t>
      </w:r>
      <w:r w:rsidR="00F91F88" w:rsidRPr="00F91F88">
        <w:rPr>
          <w:rFonts w:ascii="Tahoma" w:hAnsi="Tahoma" w:cs="Tahoma"/>
          <w:sz w:val="20"/>
          <w:szCs w:val="20"/>
        </w:rPr>
        <w:t>„</w:t>
      </w:r>
      <w:r w:rsidR="00B11E53">
        <w:rPr>
          <w:rFonts w:ascii="Tahoma" w:hAnsi="Tahoma" w:cs="Tahoma"/>
          <w:sz w:val="20"/>
        </w:rPr>
        <w:t>Przeb</w:t>
      </w:r>
      <w:r w:rsidR="00B11E53">
        <w:rPr>
          <w:rFonts w:ascii="Tahoma" w:hAnsi="Tahoma" w:cs="Tahoma"/>
          <w:sz w:val="20"/>
        </w:rPr>
        <w:t>u</w:t>
      </w:r>
      <w:r w:rsidR="00B11E53">
        <w:rPr>
          <w:rFonts w:ascii="Tahoma" w:hAnsi="Tahoma" w:cs="Tahoma"/>
          <w:sz w:val="20"/>
        </w:rPr>
        <w:t>dowa drogi gminnej nr 103051E granica Gminy Zduńska Wola - Kolonia Bilew</w:t>
      </w:r>
      <w:r w:rsidR="00F91F88" w:rsidRPr="00F91F88">
        <w:rPr>
          <w:rFonts w:ascii="Tahoma" w:hAnsi="Tahoma" w:cs="Tahoma"/>
          <w:sz w:val="20"/>
          <w:szCs w:val="20"/>
        </w:rPr>
        <w:t>”</w:t>
      </w:r>
      <w:r>
        <w:rPr>
          <w:rFonts w:ascii="Tahoma" w:hAnsi="Tahoma" w:cs="Tahoma"/>
          <w:sz w:val="20"/>
          <w:szCs w:val="20"/>
        </w:rPr>
        <w:t>.</w:t>
      </w:r>
      <w:bookmarkStart w:id="24" w:name="_GoBack"/>
      <w:bookmarkEnd w:id="24"/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25" w:name="_Toc407086007"/>
      <w:bookmarkStart w:id="26" w:name="_Toc407085559"/>
      <w:bookmarkStart w:id="27" w:name="_Toc407085416"/>
      <w:bookmarkStart w:id="28" w:name="_Toc407085273"/>
      <w:bookmarkStart w:id="29" w:name="_Toc407084154"/>
      <w:bookmarkStart w:id="30" w:name="_Toc407083320"/>
      <w:bookmarkStart w:id="31" w:name="_Toc407081521"/>
      <w:bookmarkStart w:id="32" w:name="_Toc407069556"/>
      <w:bookmarkStart w:id="33" w:name="_Toc406984348"/>
      <w:bookmarkStart w:id="34" w:name="_Toc406984157"/>
      <w:bookmarkStart w:id="35" w:name="_Toc406984010"/>
      <w:bookmarkStart w:id="36" w:name="_Toc406915317"/>
      <w:bookmarkStart w:id="37" w:name="_Toc406914739"/>
      <w:bookmarkStart w:id="38" w:name="_Toc406914081"/>
      <w:bookmarkStart w:id="39" w:name="_Toc406913836"/>
      <w:bookmarkStart w:id="40" w:name="_Toc405780135"/>
      <w:bookmarkStart w:id="41" w:name="_Toc405704474"/>
      <w:r>
        <w:rPr>
          <w:rFonts w:ascii="Tahoma" w:hAnsi="Tahoma" w:cs="Tahoma"/>
        </w:rPr>
        <w:t xml:space="preserve">1.2. Zakres stosowania </w:t>
      </w:r>
      <w:proofErr w:type="spellStart"/>
      <w:r>
        <w:rPr>
          <w:rFonts w:ascii="Tahoma" w:hAnsi="Tahoma" w:cs="Tahoma"/>
        </w:rPr>
        <w:t>STWiORB</w:t>
      </w:r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proofErr w:type="spellEnd"/>
    </w:p>
    <w:p w:rsidR="00C32362" w:rsidRDefault="00C12DEC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Specyfikacja techniczna wykonania i odbioru robót budowlanych powinna być stosowana jako dok</w:t>
      </w:r>
      <w:r>
        <w:rPr>
          <w:rFonts w:ascii="Tahoma" w:hAnsi="Tahoma" w:cs="Tahoma"/>
          <w:sz w:val="20"/>
          <w:szCs w:val="20"/>
        </w:rPr>
        <w:t>u</w:t>
      </w:r>
      <w:r>
        <w:rPr>
          <w:rFonts w:ascii="Tahoma" w:hAnsi="Tahoma" w:cs="Tahoma"/>
          <w:sz w:val="20"/>
          <w:szCs w:val="20"/>
        </w:rPr>
        <w:t>ment przetargowy i kontraktowy przy zlecaniu i realizacji robót wymienionych w p. 1.1.</w:t>
      </w:r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42" w:name="_Toc407086008"/>
      <w:bookmarkStart w:id="43" w:name="_Toc407085560"/>
      <w:bookmarkStart w:id="44" w:name="_Toc407085417"/>
      <w:bookmarkStart w:id="45" w:name="_Toc407085274"/>
      <w:bookmarkStart w:id="46" w:name="_Toc407084155"/>
      <w:bookmarkStart w:id="47" w:name="_Toc407083321"/>
      <w:bookmarkStart w:id="48" w:name="_Toc407081522"/>
      <w:bookmarkStart w:id="49" w:name="_Toc407069557"/>
      <w:bookmarkStart w:id="50" w:name="_Toc406984349"/>
      <w:bookmarkStart w:id="51" w:name="_Toc406984158"/>
      <w:bookmarkStart w:id="52" w:name="_Toc406984011"/>
      <w:bookmarkStart w:id="53" w:name="_Toc406915318"/>
      <w:bookmarkStart w:id="54" w:name="_Toc406914740"/>
      <w:bookmarkStart w:id="55" w:name="_Toc406914082"/>
      <w:bookmarkStart w:id="56" w:name="_Toc406913837"/>
      <w:bookmarkStart w:id="57" w:name="_Toc405780136"/>
      <w:bookmarkStart w:id="58" w:name="_Toc405704475"/>
      <w:r>
        <w:rPr>
          <w:rFonts w:ascii="Tahoma" w:hAnsi="Tahoma" w:cs="Tahoma"/>
        </w:rPr>
        <w:t xml:space="preserve">1.3. Zakres robót objętych </w:t>
      </w:r>
      <w:proofErr w:type="spellStart"/>
      <w:r>
        <w:rPr>
          <w:rFonts w:ascii="Tahoma" w:hAnsi="Tahoma" w:cs="Tahoma"/>
        </w:rPr>
        <w:t>STWiORB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proofErr w:type="spellEnd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Ustalenia zawarte w niniejszej specyfikacji dotyczą zasad prowadzenia robót związanych z wykonaniem koryta przeznaczonego do ułożenia konstrukcji nawierzchni.</w:t>
      </w:r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59" w:name="_Toc407086009"/>
      <w:bookmarkStart w:id="60" w:name="_Toc407085561"/>
      <w:bookmarkStart w:id="61" w:name="_Toc407085418"/>
      <w:bookmarkStart w:id="62" w:name="_Toc407085275"/>
      <w:bookmarkStart w:id="63" w:name="_Toc407084156"/>
      <w:bookmarkStart w:id="64" w:name="_Toc407083322"/>
      <w:bookmarkStart w:id="65" w:name="_Toc407081523"/>
      <w:bookmarkStart w:id="66" w:name="_Toc407069558"/>
      <w:bookmarkStart w:id="67" w:name="_Toc406984350"/>
      <w:bookmarkStart w:id="68" w:name="_Toc406984159"/>
      <w:bookmarkStart w:id="69" w:name="_Toc406984012"/>
      <w:bookmarkStart w:id="70" w:name="_Toc406915319"/>
      <w:bookmarkStart w:id="71" w:name="_Toc406914741"/>
      <w:bookmarkStart w:id="72" w:name="_Toc406914083"/>
      <w:bookmarkStart w:id="73" w:name="_Toc406913838"/>
      <w:bookmarkStart w:id="74" w:name="_Toc405780137"/>
      <w:bookmarkStart w:id="75" w:name="_Toc405704476"/>
      <w:r>
        <w:rPr>
          <w:rFonts w:ascii="Tahoma" w:hAnsi="Tahoma" w:cs="Tahoma"/>
        </w:rPr>
        <w:t>1.4. Określenia podstawowe</w:t>
      </w:r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Określenia podstawowe są zgodne z obowiązującymi, odpowiednimi polskimi normami i definicjami podanymi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1.4.</w:t>
      </w:r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76" w:name="_Toc407086010"/>
      <w:bookmarkStart w:id="77" w:name="_Toc407085562"/>
      <w:bookmarkStart w:id="78" w:name="_Toc407085419"/>
      <w:bookmarkStart w:id="79" w:name="_Toc407085276"/>
      <w:bookmarkStart w:id="80" w:name="_Toc407084157"/>
      <w:bookmarkStart w:id="81" w:name="_Toc407083323"/>
      <w:bookmarkStart w:id="82" w:name="_Toc407081524"/>
      <w:bookmarkStart w:id="83" w:name="_Toc407069559"/>
      <w:bookmarkStart w:id="84" w:name="_Toc406984351"/>
      <w:bookmarkStart w:id="85" w:name="_Toc406984160"/>
      <w:bookmarkStart w:id="86" w:name="_Toc406984013"/>
      <w:bookmarkStart w:id="87" w:name="_Toc406915320"/>
      <w:bookmarkStart w:id="88" w:name="_Toc406914742"/>
      <w:bookmarkStart w:id="89" w:name="_Toc406914084"/>
      <w:bookmarkStart w:id="90" w:name="_Toc406913839"/>
      <w:bookmarkStart w:id="91" w:name="_Toc405780138"/>
      <w:bookmarkStart w:id="92" w:name="_Toc405704477"/>
      <w:r>
        <w:rPr>
          <w:rFonts w:ascii="Tahoma" w:hAnsi="Tahoma" w:cs="Tahoma"/>
        </w:rPr>
        <w:t>1.5. Ogólne wymagania dotyczące robót</w:t>
      </w:r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dotyczące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1.5.</w:t>
      </w:r>
    </w:p>
    <w:p w:rsidR="00C32362" w:rsidRDefault="00C32362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C32362" w:rsidRDefault="00C12DEC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93" w:name="_Toc407086011"/>
      <w:bookmarkStart w:id="94" w:name="_Toc407085563"/>
      <w:bookmarkStart w:id="95" w:name="_Toc407085420"/>
      <w:bookmarkStart w:id="96" w:name="_Toc407085277"/>
      <w:bookmarkStart w:id="97" w:name="_Toc407084158"/>
      <w:bookmarkStart w:id="98" w:name="_Toc407083324"/>
      <w:bookmarkStart w:id="99" w:name="_Toc407081525"/>
      <w:bookmarkStart w:id="100" w:name="_Toc407069560"/>
      <w:bookmarkStart w:id="101" w:name="_Toc406984352"/>
      <w:bookmarkStart w:id="102" w:name="_Toc406984161"/>
      <w:bookmarkStart w:id="103" w:name="_Toc406984014"/>
      <w:bookmarkStart w:id="104" w:name="_Toc406915321"/>
      <w:bookmarkStart w:id="105" w:name="_Toc406914743"/>
      <w:bookmarkStart w:id="106" w:name="_Toc406914085"/>
      <w:bookmarkStart w:id="107" w:name="_Toc406913840"/>
      <w:r>
        <w:rPr>
          <w:rFonts w:ascii="Tahoma" w:hAnsi="Tahoma" w:cs="Tahoma"/>
          <w:szCs w:val="20"/>
        </w:rPr>
        <w:t>2. MATERIAŁY</w:t>
      </w:r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Nie występują.</w:t>
      </w:r>
    </w:p>
    <w:p w:rsidR="00C32362" w:rsidRDefault="00C32362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C32362" w:rsidRDefault="00C12DEC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108" w:name="_Toc407086012"/>
      <w:bookmarkStart w:id="109" w:name="_Toc407085564"/>
      <w:bookmarkStart w:id="110" w:name="_Toc407085421"/>
      <w:bookmarkStart w:id="111" w:name="_Toc407085278"/>
      <w:bookmarkStart w:id="112" w:name="_Toc407084159"/>
      <w:bookmarkStart w:id="113" w:name="_Toc407083325"/>
      <w:bookmarkStart w:id="114" w:name="_Toc407081526"/>
      <w:bookmarkStart w:id="115" w:name="_Toc407069561"/>
      <w:bookmarkStart w:id="116" w:name="_Toc406984353"/>
      <w:bookmarkStart w:id="117" w:name="_Toc406984162"/>
      <w:bookmarkStart w:id="118" w:name="_Toc406984015"/>
      <w:bookmarkStart w:id="119" w:name="_Toc406915322"/>
      <w:bookmarkStart w:id="120" w:name="_Toc406914744"/>
      <w:bookmarkStart w:id="121" w:name="_Toc406914086"/>
      <w:bookmarkStart w:id="122" w:name="_Toc406913841"/>
      <w:r>
        <w:rPr>
          <w:rFonts w:ascii="Tahoma" w:hAnsi="Tahoma" w:cs="Tahoma"/>
          <w:szCs w:val="20"/>
        </w:rPr>
        <w:t>3. SPRZĘT</w:t>
      </w:r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123" w:name="_Toc407086013"/>
      <w:bookmarkStart w:id="124" w:name="_Toc407085565"/>
      <w:bookmarkStart w:id="125" w:name="_Toc407085422"/>
      <w:bookmarkStart w:id="126" w:name="_Toc407085279"/>
      <w:bookmarkStart w:id="127" w:name="_Toc407084160"/>
      <w:bookmarkStart w:id="128" w:name="_Toc407083326"/>
      <w:bookmarkStart w:id="129" w:name="_Toc407081527"/>
      <w:bookmarkStart w:id="130" w:name="_Toc407069562"/>
      <w:bookmarkStart w:id="131" w:name="_Toc406984354"/>
      <w:bookmarkStart w:id="132" w:name="_Toc406984163"/>
      <w:bookmarkStart w:id="133" w:name="_Toc406984016"/>
      <w:bookmarkStart w:id="134" w:name="_Toc406915323"/>
      <w:bookmarkStart w:id="135" w:name="_Toc406914745"/>
      <w:bookmarkStart w:id="136" w:name="_Toc406914087"/>
      <w:bookmarkStart w:id="137" w:name="_Toc406913842"/>
      <w:r>
        <w:rPr>
          <w:rFonts w:ascii="Tahoma" w:hAnsi="Tahoma" w:cs="Tahoma"/>
        </w:rPr>
        <w:t>3.1. Ogólne wymagania dotyczące sprzętu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dotyczące sprzętu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3.</w:t>
      </w:r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138" w:name="_Toc407086014"/>
      <w:bookmarkStart w:id="139" w:name="_Toc407085566"/>
      <w:bookmarkStart w:id="140" w:name="_Toc407085423"/>
      <w:bookmarkStart w:id="141" w:name="_Toc407085280"/>
      <w:bookmarkStart w:id="142" w:name="_Toc407084161"/>
      <w:bookmarkStart w:id="143" w:name="_Toc407083327"/>
      <w:bookmarkStart w:id="144" w:name="_Toc407081528"/>
      <w:bookmarkStart w:id="145" w:name="_Toc407069563"/>
      <w:bookmarkStart w:id="146" w:name="_Toc406984355"/>
      <w:bookmarkStart w:id="147" w:name="_Toc406984164"/>
      <w:bookmarkStart w:id="148" w:name="_Toc406984017"/>
      <w:bookmarkStart w:id="149" w:name="_Toc406915324"/>
      <w:bookmarkStart w:id="150" w:name="_Toc406914746"/>
      <w:bookmarkStart w:id="151" w:name="_Toc406914088"/>
      <w:bookmarkStart w:id="152" w:name="_Toc406913843"/>
      <w:r>
        <w:rPr>
          <w:rFonts w:ascii="Tahoma" w:hAnsi="Tahoma" w:cs="Tahoma"/>
        </w:rPr>
        <w:t>3.2. Sprzęt do wykonania robót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Wykonawca przystępujący do wykonania koryta i profilowania podłoża powinien wykazać się możliw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ścią korzystania z następującego sprzętu:</w:t>
      </w:r>
    </w:p>
    <w:p w:rsidR="00C32362" w:rsidRDefault="00C12DEC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równiarek lub spycharek uniwersalnych z ukośnie ustawianym lemieszem; </w:t>
      </w:r>
      <w:r>
        <w:rPr>
          <w:rFonts w:ascii="Tahoma" w:eastAsia="Tahoma" w:hAnsi="Tahoma" w:cs="Tahoma"/>
          <w:sz w:val="20"/>
          <w:szCs w:val="20"/>
          <w:lang w:eastAsia="ar-SA"/>
        </w:rPr>
        <w:t>Zamawiający</w:t>
      </w:r>
      <w:r>
        <w:rPr>
          <w:rFonts w:ascii="Tahoma" w:hAnsi="Tahoma" w:cs="Tahoma"/>
          <w:sz w:val="20"/>
          <w:szCs w:val="20"/>
        </w:rPr>
        <w:t xml:space="preserve"> może dopuścić wykonanie koryta i profilowanie podłoża z zastosowaniem spycharki z lemieszem ustawionym prostopadle do kierunku pracy maszyny,</w:t>
      </w:r>
    </w:p>
    <w:p w:rsidR="00C32362" w:rsidRDefault="00C12DEC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koparek z czerpakami profilowymi (przy wykonywaniu wąskich koryt),</w:t>
      </w:r>
    </w:p>
    <w:p w:rsidR="00C32362" w:rsidRDefault="00C12DEC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walców statycznych, wibracyjnych lub płyt wibracyjnych.</w:t>
      </w:r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Stosowany sprzęt nie może spowodować niekorzystnego wpływu na właściwości gruntu podłoża.</w:t>
      </w:r>
    </w:p>
    <w:p w:rsidR="00C32362" w:rsidRDefault="00C32362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C32362" w:rsidRDefault="00C12DEC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153" w:name="_Toc407086015"/>
      <w:bookmarkStart w:id="154" w:name="_Toc407085567"/>
      <w:bookmarkStart w:id="155" w:name="_Toc407085424"/>
      <w:bookmarkStart w:id="156" w:name="_Toc407085281"/>
      <w:bookmarkStart w:id="157" w:name="_Toc407084162"/>
      <w:bookmarkStart w:id="158" w:name="_Toc407083328"/>
      <w:bookmarkStart w:id="159" w:name="_Toc407081529"/>
      <w:bookmarkStart w:id="160" w:name="_Toc407069564"/>
      <w:bookmarkStart w:id="161" w:name="_Toc406984356"/>
      <w:bookmarkStart w:id="162" w:name="_Toc406984165"/>
      <w:bookmarkStart w:id="163" w:name="_Toc406984018"/>
      <w:bookmarkStart w:id="164" w:name="_Toc406915325"/>
      <w:bookmarkStart w:id="165" w:name="_Toc406914747"/>
      <w:bookmarkStart w:id="166" w:name="_Toc406914089"/>
      <w:bookmarkStart w:id="167" w:name="_Toc406913844"/>
      <w:r>
        <w:rPr>
          <w:rFonts w:ascii="Tahoma" w:hAnsi="Tahoma" w:cs="Tahoma"/>
          <w:szCs w:val="20"/>
        </w:rPr>
        <w:t>4. TRANSPOR</w:t>
      </w:r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r>
        <w:rPr>
          <w:rFonts w:ascii="Tahoma" w:hAnsi="Tahoma" w:cs="Tahoma"/>
          <w:szCs w:val="20"/>
        </w:rPr>
        <w:t>T</w:t>
      </w:r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168" w:name="_Toc407086016"/>
      <w:bookmarkStart w:id="169" w:name="_Toc407085568"/>
      <w:bookmarkStart w:id="170" w:name="_Toc407085425"/>
      <w:bookmarkStart w:id="171" w:name="_Toc407085282"/>
      <w:bookmarkStart w:id="172" w:name="_Toc407084163"/>
      <w:bookmarkStart w:id="173" w:name="_Toc407083329"/>
      <w:bookmarkStart w:id="174" w:name="_Toc407081530"/>
      <w:bookmarkStart w:id="175" w:name="_Toc407069565"/>
      <w:bookmarkStart w:id="176" w:name="_Toc406984357"/>
      <w:bookmarkStart w:id="177" w:name="_Toc406984166"/>
      <w:bookmarkStart w:id="178" w:name="_Toc406984019"/>
      <w:bookmarkStart w:id="179" w:name="_Toc406915326"/>
      <w:bookmarkStart w:id="180" w:name="_Toc406914748"/>
      <w:bookmarkStart w:id="181" w:name="_Toc406914090"/>
      <w:bookmarkStart w:id="182" w:name="_Toc406913845"/>
      <w:r>
        <w:rPr>
          <w:rFonts w:ascii="Tahoma" w:hAnsi="Tahoma" w:cs="Tahoma"/>
        </w:rPr>
        <w:t>4.1. Ogólne wymagania dotyczące transportu</w:t>
      </w:r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bookmarkStart w:id="183" w:name="_Toc406914091"/>
      <w:bookmarkStart w:id="184" w:name="_Toc406913846"/>
      <w:bookmarkStart w:id="185" w:name="_Toc406822326"/>
      <w:r>
        <w:rPr>
          <w:rFonts w:ascii="Tahoma" w:hAnsi="Tahoma" w:cs="Tahoma"/>
          <w:sz w:val="20"/>
          <w:szCs w:val="20"/>
        </w:rPr>
        <w:t xml:space="preserve">Ogólne wymagania dotyczące transportu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4.</w:t>
      </w:r>
      <w:bookmarkEnd w:id="183"/>
      <w:bookmarkEnd w:id="184"/>
      <w:bookmarkEnd w:id="185"/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186" w:name="_Toc407086017"/>
      <w:bookmarkStart w:id="187" w:name="_Toc407085569"/>
      <w:bookmarkStart w:id="188" w:name="_Toc407085426"/>
      <w:bookmarkStart w:id="189" w:name="_Toc407085283"/>
      <w:bookmarkStart w:id="190" w:name="_Toc407084164"/>
      <w:bookmarkStart w:id="191" w:name="_Toc407083330"/>
      <w:bookmarkStart w:id="192" w:name="_Toc407081531"/>
      <w:bookmarkStart w:id="193" w:name="_Toc407069566"/>
      <w:bookmarkStart w:id="194" w:name="_Toc406984358"/>
      <w:bookmarkStart w:id="195" w:name="_Toc406984167"/>
      <w:bookmarkStart w:id="196" w:name="_Toc406984020"/>
      <w:bookmarkStart w:id="197" w:name="_Toc406915327"/>
      <w:bookmarkStart w:id="198" w:name="_Toc406914749"/>
      <w:bookmarkStart w:id="199" w:name="_Toc406914092"/>
      <w:bookmarkStart w:id="200" w:name="_Toc406913847"/>
      <w:r>
        <w:rPr>
          <w:rFonts w:ascii="Tahoma" w:hAnsi="Tahoma" w:cs="Tahoma"/>
        </w:rPr>
        <w:t>4.2. Transport materiałów</w:t>
      </w:r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bookmarkStart w:id="201" w:name="_Toc406914093"/>
      <w:bookmarkStart w:id="202" w:name="_Toc406913848"/>
      <w:bookmarkStart w:id="203" w:name="_Toc406822328"/>
      <w:r>
        <w:rPr>
          <w:rFonts w:ascii="Tahoma" w:hAnsi="Tahoma" w:cs="Tahoma"/>
          <w:sz w:val="20"/>
          <w:szCs w:val="20"/>
        </w:rPr>
        <w:t xml:space="preserve">Wymagania dotyczące transportu materiałów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D-04.02.01, D-04.02.02,D-04.03.01</w:t>
      </w:r>
      <w:bookmarkEnd w:id="201"/>
      <w:bookmarkEnd w:id="202"/>
      <w:bookmarkEnd w:id="203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4.</w:t>
      </w:r>
    </w:p>
    <w:p w:rsidR="00C32362" w:rsidRDefault="00C32362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C32362" w:rsidRDefault="00C12DEC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204" w:name="_Toc407086018"/>
      <w:bookmarkStart w:id="205" w:name="_Toc407085570"/>
      <w:bookmarkStart w:id="206" w:name="_Toc407085427"/>
      <w:bookmarkStart w:id="207" w:name="_Toc407085284"/>
      <w:bookmarkStart w:id="208" w:name="_Toc407084165"/>
      <w:bookmarkStart w:id="209" w:name="_Toc407083331"/>
      <w:bookmarkStart w:id="210" w:name="_Toc407081532"/>
      <w:bookmarkStart w:id="211" w:name="_Toc407069567"/>
      <w:bookmarkStart w:id="212" w:name="_Toc406984359"/>
      <w:bookmarkStart w:id="213" w:name="_Toc406984168"/>
      <w:bookmarkStart w:id="214" w:name="_Toc406984021"/>
      <w:bookmarkStart w:id="215" w:name="_Toc406915328"/>
      <w:bookmarkStart w:id="216" w:name="_Toc406914750"/>
      <w:bookmarkStart w:id="217" w:name="_Toc406914094"/>
      <w:bookmarkStart w:id="218" w:name="_Toc406913849"/>
      <w:r>
        <w:rPr>
          <w:rFonts w:ascii="Tahoma" w:hAnsi="Tahoma" w:cs="Tahoma"/>
          <w:szCs w:val="20"/>
        </w:rPr>
        <w:t>5. WYKONANIE ROBÓT</w:t>
      </w:r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219" w:name="_Toc407086019"/>
      <w:bookmarkStart w:id="220" w:name="_Toc407085571"/>
      <w:bookmarkStart w:id="221" w:name="_Toc407085428"/>
      <w:bookmarkStart w:id="222" w:name="_Toc407085285"/>
      <w:bookmarkStart w:id="223" w:name="_Toc407084166"/>
      <w:bookmarkStart w:id="224" w:name="_Toc407083332"/>
      <w:bookmarkStart w:id="225" w:name="_Toc407081533"/>
      <w:bookmarkStart w:id="226" w:name="_Toc407069568"/>
      <w:bookmarkStart w:id="227" w:name="_Toc406984360"/>
      <w:bookmarkStart w:id="228" w:name="_Toc406984169"/>
      <w:bookmarkStart w:id="229" w:name="_Toc406984022"/>
      <w:bookmarkStart w:id="230" w:name="_Toc406915329"/>
      <w:bookmarkStart w:id="231" w:name="_Toc406914751"/>
      <w:bookmarkStart w:id="232" w:name="_Toc406914095"/>
      <w:bookmarkStart w:id="233" w:name="_Toc406913850"/>
      <w:r>
        <w:rPr>
          <w:rFonts w:ascii="Tahoma" w:hAnsi="Tahoma" w:cs="Tahoma"/>
        </w:rPr>
        <w:t>5.1. Ogólne zasady wykonania robót</w:t>
      </w:r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bookmarkStart w:id="234" w:name="_Toc406914096"/>
      <w:bookmarkStart w:id="235" w:name="_Toc406913851"/>
      <w:bookmarkStart w:id="236" w:name="_Toc406822331"/>
      <w:r>
        <w:rPr>
          <w:rFonts w:ascii="Tahoma" w:hAnsi="Tahoma" w:cs="Tahoma"/>
          <w:sz w:val="20"/>
          <w:szCs w:val="20"/>
        </w:rPr>
        <w:t xml:space="preserve">Ogólne zasady wykonania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5.</w:t>
      </w:r>
      <w:bookmarkEnd w:id="234"/>
      <w:bookmarkEnd w:id="235"/>
      <w:bookmarkEnd w:id="236"/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237" w:name="_Toc407086020"/>
      <w:bookmarkStart w:id="238" w:name="_Toc407085572"/>
      <w:bookmarkStart w:id="239" w:name="_Toc407085429"/>
      <w:bookmarkStart w:id="240" w:name="_Toc407085286"/>
      <w:bookmarkStart w:id="241" w:name="_Toc407084167"/>
      <w:bookmarkStart w:id="242" w:name="_Toc407083333"/>
      <w:bookmarkStart w:id="243" w:name="_Toc407081534"/>
      <w:bookmarkStart w:id="244" w:name="_Toc407069569"/>
      <w:bookmarkStart w:id="245" w:name="_Toc406984361"/>
      <w:bookmarkStart w:id="246" w:name="_Toc406984170"/>
      <w:bookmarkStart w:id="247" w:name="_Toc406984023"/>
      <w:bookmarkStart w:id="248" w:name="_Toc406915330"/>
      <w:bookmarkStart w:id="249" w:name="_Toc406914752"/>
      <w:bookmarkStart w:id="250" w:name="_Toc406914097"/>
      <w:bookmarkStart w:id="251" w:name="_Toc406913852"/>
      <w:r>
        <w:rPr>
          <w:rFonts w:ascii="Tahoma" w:hAnsi="Tahoma" w:cs="Tahoma"/>
        </w:rPr>
        <w:lastRenderedPageBreak/>
        <w:t>5.2. Warunki przystąpienia do robót</w:t>
      </w:r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Wykonawca powinien przystąpić do wykonania koryta oraz profilowania i zagęszczenia podłoża bezp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średnio przed rozpoczęciem robót związanych z wykonaniem warstw nawierzchni. Wcześniejsze prz</w:t>
      </w:r>
      <w:r>
        <w:rPr>
          <w:rFonts w:ascii="Tahoma" w:hAnsi="Tahoma" w:cs="Tahoma"/>
          <w:sz w:val="20"/>
          <w:szCs w:val="20"/>
        </w:rPr>
        <w:t>y</w:t>
      </w:r>
      <w:r>
        <w:rPr>
          <w:rFonts w:ascii="Tahoma" w:hAnsi="Tahoma" w:cs="Tahoma"/>
          <w:sz w:val="20"/>
          <w:szCs w:val="20"/>
        </w:rPr>
        <w:t xml:space="preserve">stąpienie do wykonania koryta oraz profilowania i zagęszczania podłoża, jest możliwe wyłącznie za zgodą </w:t>
      </w:r>
      <w:r>
        <w:rPr>
          <w:rFonts w:ascii="Tahoma" w:eastAsia="Tahoma" w:hAnsi="Tahoma" w:cs="Tahoma"/>
          <w:sz w:val="20"/>
          <w:szCs w:val="20"/>
          <w:lang w:eastAsia="ar-SA"/>
        </w:rPr>
        <w:t>Zamawiającego</w:t>
      </w:r>
      <w:r>
        <w:rPr>
          <w:rFonts w:ascii="Tahoma" w:hAnsi="Tahoma" w:cs="Tahoma"/>
          <w:sz w:val="20"/>
          <w:szCs w:val="20"/>
        </w:rPr>
        <w:t>, w korzystnych warunkach atmosferycznych. W wykonanym korycie oraz po wyprofilowanym i zagęszczonym podłożu nie może odbywać się ruch budowlany, niezwiązany bezp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średnio z wykonaniem pierwszej warstwy nawierzchni.</w:t>
      </w:r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252" w:name="_Toc407086021"/>
      <w:bookmarkStart w:id="253" w:name="_Toc407085573"/>
      <w:bookmarkStart w:id="254" w:name="_Toc407085430"/>
      <w:bookmarkStart w:id="255" w:name="_Toc407085287"/>
      <w:bookmarkStart w:id="256" w:name="_Toc407084168"/>
      <w:bookmarkStart w:id="257" w:name="_Toc407083334"/>
      <w:bookmarkStart w:id="258" w:name="_Toc407081535"/>
      <w:bookmarkStart w:id="259" w:name="_Toc407069570"/>
      <w:bookmarkStart w:id="260" w:name="_Toc406984362"/>
      <w:bookmarkStart w:id="261" w:name="_Toc406984171"/>
      <w:bookmarkStart w:id="262" w:name="_Toc406984024"/>
      <w:bookmarkStart w:id="263" w:name="_Toc406915331"/>
      <w:bookmarkStart w:id="264" w:name="_Toc406914753"/>
      <w:bookmarkStart w:id="265" w:name="_Toc406914098"/>
      <w:bookmarkStart w:id="266" w:name="_Toc406913853"/>
      <w:r>
        <w:rPr>
          <w:rFonts w:ascii="Tahoma" w:hAnsi="Tahoma" w:cs="Tahoma"/>
        </w:rPr>
        <w:t>5.3. Wykonanie koryta</w:t>
      </w:r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Paliki lub szpilki do prawidłowego ukształtowania koryta w planie i profilu powinny być wcześniej prz</w:t>
      </w:r>
      <w:r>
        <w:rPr>
          <w:rFonts w:ascii="Tahoma" w:hAnsi="Tahoma" w:cs="Tahoma"/>
          <w:sz w:val="20"/>
          <w:szCs w:val="20"/>
        </w:rPr>
        <w:t>y</w:t>
      </w:r>
      <w:r>
        <w:rPr>
          <w:rFonts w:ascii="Tahoma" w:hAnsi="Tahoma" w:cs="Tahoma"/>
          <w:sz w:val="20"/>
          <w:szCs w:val="20"/>
        </w:rPr>
        <w:t xml:space="preserve">gotowane. Paliki lub szpilki należy ustawiać w osi drogi i w rzędach równoległych do osi drogi lub w inny sposób zaakceptowany przez </w:t>
      </w:r>
      <w:r>
        <w:rPr>
          <w:rFonts w:ascii="Tahoma" w:eastAsia="Tahoma" w:hAnsi="Tahoma" w:cs="Tahoma"/>
          <w:sz w:val="20"/>
          <w:szCs w:val="20"/>
          <w:lang w:eastAsia="ar-SA"/>
        </w:rPr>
        <w:t>Zamawiającego</w:t>
      </w:r>
      <w:r>
        <w:rPr>
          <w:rFonts w:ascii="Tahoma" w:hAnsi="Tahoma" w:cs="Tahoma"/>
          <w:sz w:val="20"/>
          <w:szCs w:val="20"/>
        </w:rPr>
        <w:t>. Rozmieszczenie palików lub szpilek powinno umo</w:t>
      </w:r>
      <w:r>
        <w:rPr>
          <w:rFonts w:ascii="Tahoma" w:hAnsi="Tahoma" w:cs="Tahoma"/>
          <w:sz w:val="20"/>
          <w:szCs w:val="20"/>
        </w:rPr>
        <w:t>ż</w:t>
      </w:r>
      <w:r>
        <w:rPr>
          <w:rFonts w:ascii="Tahoma" w:hAnsi="Tahoma" w:cs="Tahoma"/>
          <w:sz w:val="20"/>
          <w:szCs w:val="20"/>
        </w:rPr>
        <w:t>liwiać naciągnięcie sznurków lub linek do wytyczenia robót w odstępach nie większych niż co 10 m</w:t>
      </w:r>
      <w:r>
        <w:rPr>
          <w:rFonts w:ascii="Tahoma" w:hAnsi="Tahoma" w:cs="Tahoma"/>
          <w:sz w:val="20"/>
          <w:szCs w:val="20"/>
        </w:rPr>
        <w:t>e</w:t>
      </w:r>
      <w:r>
        <w:rPr>
          <w:rFonts w:ascii="Tahoma" w:hAnsi="Tahoma" w:cs="Tahoma"/>
          <w:sz w:val="20"/>
          <w:szCs w:val="20"/>
        </w:rPr>
        <w:t xml:space="preserve">trów. Rodzaj sprzętu, a w szczególności jego moc należy dostosować do rodzaju gruntu, w którym prowadzone są roboty i do trudności jego odspojenia. Koryto można wykonywać ręcznie, gdy jego szerokość nie pozwala na zastosowanie maszyn, na przykład na poszerzeniach lub w przypadku robót o małym zakresie. Sposób wykonania musi być zaakceptowany przez </w:t>
      </w:r>
      <w:r>
        <w:rPr>
          <w:rFonts w:ascii="Tahoma" w:eastAsia="Tahoma" w:hAnsi="Tahoma" w:cs="Tahoma"/>
          <w:sz w:val="20"/>
          <w:szCs w:val="20"/>
          <w:lang w:eastAsia="ar-SA"/>
        </w:rPr>
        <w:t>Zamawiającego</w:t>
      </w:r>
      <w:r>
        <w:rPr>
          <w:rFonts w:ascii="Tahoma" w:hAnsi="Tahoma" w:cs="Tahoma"/>
          <w:sz w:val="20"/>
          <w:szCs w:val="20"/>
        </w:rPr>
        <w:t>. Grunt odspoj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ny w czasie wykonywania koryta powinien być wykorzystany zgodnie z ustaleniami dokumentacji pr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 xml:space="preserve">jektowej i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, tj. wbudowany w nasyp lub odwieziony na odkład w miejsce wskazane przez </w:t>
      </w:r>
      <w:r>
        <w:rPr>
          <w:rFonts w:ascii="Tahoma" w:eastAsia="Tahoma" w:hAnsi="Tahoma" w:cs="Tahoma"/>
          <w:sz w:val="20"/>
          <w:szCs w:val="20"/>
          <w:lang w:eastAsia="ar-SA"/>
        </w:rPr>
        <w:t>Zamawiającego</w:t>
      </w:r>
      <w:r>
        <w:rPr>
          <w:rFonts w:ascii="Tahoma" w:hAnsi="Tahoma" w:cs="Tahoma"/>
          <w:sz w:val="20"/>
          <w:szCs w:val="20"/>
        </w:rPr>
        <w:t xml:space="preserve">. Profilowanie i zagęszczenie podłoża należy wykonać zgodnie z zasadami określonymi w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5.4.</w:t>
      </w:r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267" w:name="_Toc407086022"/>
      <w:bookmarkStart w:id="268" w:name="_Toc407085574"/>
      <w:bookmarkStart w:id="269" w:name="_Toc407085431"/>
      <w:bookmarkStart w:id="270" w:name="_Toc407085288"/>
      <w:bookmarkStart w:id="271" w:name="_Toc407084169"/>
      <w:bookmarkStart w:id="272" w:name="_Toc407083335"/>
      <w:bookmarkStart w:id="273" w:name="_Toc407081536"/>
      <w:bookmarkStart w:id="274" w:name="_Toc407069571"/>
      <w:bookmarkStart w:id="275" w:name="_Toc406984363"/>
      <w:bookmarkStart w:id="276" w:name="_Toc406984172"/>
      <w:bookmarkStart w:id="277" w:name="_Toc406984025"/>
      <w:bookmarkStart w:id="278" w:name="_Toc406915332"/>
      <w:bookmarkStart w:id="279" w:name="_Toc406914754"/>
      <w:bookmarkStart w:id="280" w:name="_Toc406914099"/>
      <w:bookmarkStart w:id="281" w:name="_Toc406913854"/>
      <w:r>
        <w:rPr>
          <w:rFonts w:ascii="Tahoma" w:hAnsi="Tahoma" w:cs="Tahoma"/>
        </w:rPr>
        <w:t>5.4. Profilowanie i zagęszczanie podłoża</w:t>
      </w:r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Przed przystąpieniem do profilowania podłoże powinno być oczyszczone ze wszelkich zanieczyszczeń. Po oczyszczeniu powierzchni podłoża należy sprawdzić, czy istniejące rzędne terenu umożliwiają uz</w:t>
      </w:r>
      <w:r>
        <w:rPr>
          <w:rFonts w:ascii="Tahoma" w:hAnsi="Tahoma" w:cs="Tahoma"/>
          <w:sz w:val="20"/>
          <w:szCs w:val="20"/>
        </w:rPr>
        <w:t>y</w:t>
      </w:r>
      <w:r>
        <w:rPr>
          <w:rFonts w:ascii="Tahoma" w:hAnsi="Tahoma" w:cs="Tahoma"/>
          <w:sz w:val="20"/>
          <w:szCs w:val="20"/>
        </w:rPr>
        <w:t>skanie po profilowaniu zaprojektowanych rzędnych podłoża. Zaleca się, aby rzędne terenu przed prof</w:t>
      </w:r>
      <w:r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lowaniem były o co najmniej 5 cm wyższe niż projektowane rzędne podłoża. Jeżeli powyższy warunek nie jest spełniony i występują zaniżenia poziomu w podłożu przewidzianym do profilowania, Wyk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 xml:space="preserve">nawca powinien spulchnić podłoże na głębokość zaakceptowaną przez </w:t>
      </w:r>
      <w:r>
        <w:rPr>
          <w:rFonts w:ascii="Tahoma" w:eastAsia="Tahoma" w:hAnsi="Tahoma" w:cs="Tahoma"/>
          <w:sz w:val="20"/>
          <w:szCs w:val="20"/>
          <w:lang w:eastAsia="ar-SA"/>
        </w:rPr>
        <w:t>Zamawiającego</w:t>
      </w:r>
      <w:r>
        <w:rPr>
          <w:rFonts w:ascii="Tahoma" w:hAnsi="Tahoma" w:cs="Tahoma"/>
          <w:sz w:val="20"/>
          <w:szCs w:val="20"/>
        </w:rPr>
        <w:t>, dowieźć d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datkowy grunt spełniający wymagania obowiązujące dla górnej strefy korpusu, w ilości koniecznej do uzyskania wymaganych rzędnych wysokościowych i zagęścić warstwę do uzyskania wartości wskaźn</w:t>
      </w:r>
      <w:r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 xml:space="preserve">ka zagęszczenia, określonych w Tablicy 1. Do profilowania podłoża należy stosować równiarki. Ścięty grunt powinien być wykorzystany w robotach ziemnych lub w inny sposób zaakceptowany przez </w:t>
      </w:r>
      <w:r>
        <w:rPr>
          <w:rFonts w:ascii="Tahoma" w:eastAsia="Tahoma" w:hAnsi="Tahoma" w:cs="Tahoma"/>
          <w:sz w:val="20"/>
          <w:szCs w:val="20"/>
          <w:lang w:eastAsia="ar-SA"/>
        </w:rPr>
        <w:t>Z</w:t>
      </w:r>
      <w:r>
        <w:rPr>
          <w:rFonts w:ascii="Tahoma" w:eastAsia="Tahoma" w:hAnsi="Tahoma" w:cs="Tahoma"/>
          <w:sz w:val="20"/>
          <w:szCs w:val="20"/>
          <w:lang w:eastAsia="ar-SA"/>
        </w:rPr>
        <w:t>a</w:t>
      </w:r>
      <w:r>
        <w:rPr>
          <w:rFonts w:ascii="Tahoma" w:eastAsia="Tahoma" w:hAnsi="Tahoma" w:cs="Tahoma"/>
          <w:sz w:val="20"/>
          <w:szCs w:val="20"/>
          <w:lang w:eastAsia="ar-SA"/>
        </w:rPr>
        <w:t>mawiającego</w:t>
      </w:r>
      <w:r>
        <w:rPr>
          <w:rFonts w:ascii="Tahoma" w:hAnsi="Tahoma" w:cs="Tahoma"/>
          <w:sz w:val="20"/>
          <w:szCs w:val="20"/>
        </w:rPr>
        <w:t>. Bezpośrednio po profilowaniu podłoża należy przystąpić do jego zagęszczania. Zagęs</w:t>
      </w:r>
      <w:r>
        <w:rPr>
          <w:rFonts w:ascii="Tahoma" w:hAnsi="Tahoma" w:cs="Tahoma"/>
          <w:sz w:val="20"/>
          <w:szCs w:val="20"/>
        </w:rPr>
        <w:t>z</w:t>
      </w:r>
      <w:r>
        <w:rPr>
          <w:rFonts w:ascii="Tahoma" w:hAnsi="Tahoma" w:cs="Tahoma"/>
          <w:sz w:val="20"/>
          <w:szCs w:val="20"/>
        </w:rPr>
        <w:t>czanie podłoża należy kontynuować do osiągnięcia wskaźnika zagęszczenia nie mniejszego od pod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z w:val="20"/>
          <w:szCs w:val="20"/>
        </w:rPr>
        <w:t>nego w Tablicy 1. Wskaźnik zagęszczenia należy określać zgodnie z BN-77/8931-12.</w:t>
      </w:r>
      <w:bookmarkStart w:id="282" w:name="_Hlk511635817"/>
      <w:bookmarkEnd w:id="282"/>
    </w:p>
    <w:p w:rsidR="00C32362" w:rsidRDefault="00C32362">
      <w:pPr>
        <w:jc w:val="both"/>
        <w:rPr>
          <w:rFonts w:ascii="Tahoma" w:hAnsi="Tahoma" w:cs="Tahoma"/>
          <w:sz w:val="20"/>
          <w:szCs w:val="20"/>
        </w:rPr>
      </w:pPr>
    </w:p>
    <w:p w:rsidR="00C32362" w:rsidRDefault="00C12DEC"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Tablica 1. Minimalne wartości wskaźnika zagęszczenia podłoża (</w:t>
      </w:r>
      <w:proofErr w:type="spellStart"/>
      <w:r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  <w:vertAlign w:val="subscript"/>
        </w:rPr>
        <w:t>s</w:t>
      </w:r>
      <w:proofErr w:type="spellEnd"/>
      <w:r>
        <w:rPr>
          <w:rFonts w:ascii="Tahoma" w:hAnsi="Tahoma" w:cs="Tahoma"/>
          <w:sz w:val="20"/>
          <w:szCs w:val="20"/>
        </w:rPr>
        <w:t>)</w:t>
      </w:r>
    </w:p>
    <w:tbl>
      <w:tblPr>
        <w:tblW w:w="9146" w:type="dxa"/>
        <w:jc w:val="center"/>
        <w:tblCellMar>
          <w:left w:w="70" w:type="dxa"/>
          <w:right w:w="70" w:type="dxa"/>
        </w:tblCellMar>
        <w:tblLook w:val="0000"/>
      </w:tblPr>
      <w:tblGrid>
        <w:gridCol w:w="5287"/>
        <w:gridCol w:w="1980"/>
        <w:gridCol w:w="1879"/>
      </w:tblGrid>
      <w:tr w:rsidR="00C32362">
        <w:trPr>
          <w:jc w:val="center"/>
        </w:trPr>
        <w:tc>
          <w:tcPr>
            <w:tcW w:w="52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Strefa korpusu</w:t>
            </w:r>
          </w:p>
        </w:tc>
        <w:tc>
          <w:tcPr>
            <w:tcW w:w="3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Minimalna wartość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I</w:t>
            </w:r>
            <w:r>
              <w:rPr>
                <w:rFonts w:ascii="Tahoma" w:hAnsi="Tahoma" w:cs="Tahoma"/>
                <w:b/>
                <w:sz w:val="20"/>
                <w:szCs w:val="20"/>
                <w:vertAlign w:val="subscript"/>
              </w:rPr>
              <w:t>s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dla:</w:t>
            </w:r>
          </w:p>
        </w:tc>
      </w:tr>
      <w:tr w:rsidR="00C32362">
        <w:trPr>
          <w:trHeight w:val="396"/>
          <w:jc w:val="center"/>
        </w:trPr>
        <w:tc>
          <w:tcPr>
            <w:tcW w:w="52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3236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KR3-KR6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KR1-KR2</w:t>
            </w:r>
          </w:p>
        </w:tc>
      </w:tr>
      <w:tr w:rsidR="00C32362">
        <w:trPr>
          <w:jc w:val="center"/>
        </w:trPr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Górna warstwa o grubości 20 cm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1,00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1,00</w:t>
            </w:r>
          </w:p>
        </w:tc>
      </w:tr>
      <w:tr w:rsidR="00C32362">
        <w:trPr>
          <w:jc w:val="center"/>
        </w:trPr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Na głębokości od 20 do 50 cm od powierzchni podłoża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1,00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0,97</w:t>
            </w:r>
          </w:p>
        </w:tc>
      </w:tr>
    </w:tbl>
    <w:p w:rsidR="00C32362" w:rsidRDefault="00C12DEC">
      <w:pPr>
        <w:pStyle w:val="tekstost"/>
        <w:rPr>
          <w:rFonts w:ascii="Tahoma" w:hAnsi="Tahoma" w:cs="Tahoma"/>
        </w:rPr>
      </w:pPr>
      <w:r>
        <w:rPr>
          <w:rFonts w:ascii="Tahoma" w:hAnsi="Tahoma" w:cs="Tahoma"/>
        </w:rPr>
        <w:t> </w:t>
      </w:r>
    </w:p>
    <w:p w:rsidR="00C32362" w:rsidRDefault="00C12DEC">
      <w:pPr>
        <w:pStyle w:val="tekstost"/>
        <w:rPr>
          <w:rFonts w:ascii="Tahoma" w:hAnsi="Tahoma" w:cs="Tahoma"/>
        </w:rPr>
      </w:pPr>
      <w:r>
        <w:rPr>
          <w:rFonts w:ascii="Tahoma" w:hAnsi="Tahoma" w:cs="Tahoma"/>
        </w:rPr>
        <w:t>W przypadku, gdy gruboziarnisty materiał tworzący podłoże uniemożliwia przeprowadzenie badania zagęszczenia, kontrolę zagęszczenia należy oprzeć na metodzie obciążeń płytowych. Należy określić pierwotny i wtórny moduł odkształcenia podłoża według BN-64/8931-02. Stosunek wtórnego i pie</w:t>
      </w:r>
      <w:r>
        <w:rPr>
          <w:rFonts w:ascii="Tahoma" w:hAnsi="Tahoma" w:cs="Tahoma"/>
        </w:rPr>
        <w:t>r</w:t>
      </w:r>
      <w:r>
        <w:rPr>
          <w:rFonts w:ascii="Tahoma" w:hAnsi="Tahoma" w:cs="Tahoma"/>
        </w:rPr>
        <w:t>wotnego modułu odkształcenia nie powinien przekraczać 2,2. Wilgotność gruntu podłoża podczas zagęszczania powinna być równa wilgotności optymalnej z tolerancją od -20% do +10%.</w:t>
      </w:r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283" w:name="_Toc407086023"/>
      <w:bookmarkStart w:id="284" w:name="_Toc407085575"/>
      <w:bookmarkStart w:id="285" w:name="_Toc407085432"/>
      <w:bookmarkStart w:id="286" w:name="_Toc407085289"/>
      <w:bookmarkStart w:id="287" w:name="_Toc407084170"/>
      <w:bookmarkStart w:id="288" w:name="_Toc407083336"/>
      <w:bookmarkStart w:id="289" w:name="_Toc407081537"/>
      <w:bookmarkStart w:id="290" w:name="_Toc407069572"/>
      <w:bookmarkStart w:id="291" w:name="_Toc406984364"/>
      <w:bookmarkStart w:id="292" w:name="_Toc406984173"/>
      <w:bookmarkStart w:id="293" w:name="_Toc406984026"/>
      <w:bookmarkStart w:id="294" w:name="_Toc406915333"/>
      <w:bookmarkStart w:id="295" w:name="_Toc406914755"/>
      <w:bookmarkStart w:id="296" w:name="_Toc406914100"/>
      <w:bookmarkStart w:id="297" w:name="_Toc406913855"/>
      <w:r>
        <w:rPr>
          <w:rFonts w:ascii="Tahoma" w:hAnsi="Tahoma" w:cs="Tahoma"/>
        </w:rPr>
        <w:t>5.5. Utrzymanie koryta oraz wyprofilowanego i zagęszczonego podłoża</w:t>
      </w:r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Podłoże (koryto) po wyprofilowaniu i zagęszczeniu powinno być utrzymywane w dobrym stanie. Jeżeli po wykonaniu robót związanych z profilowaniem i zagęszczeniem podłoża nastąpi przerwa w robotach i Wykonawca nie przystąpi natychmiast do układania warstw nawierzchni, to powinien on zabezpi</w:t>
      </w:r>
      <w:r>
        <w:rPr>
          <w:rFonts w:ascii="Tahoma" w:hAnsi="Tahoma" w:cs="Tahoma"/>
          <w:sz w:val="20"/>
          <w:szCs w:val="20"/>
        </w:rPr>
        <w:t>e</w:t>
      </w:r>
      <w:r>
        <w:rPr>
          <w:rFonts w:ascii="Tahoma" w:hAnsi="Tahoma" w:cs="Tahoma"/>
          <w:sz w:val="20"/>
          <w:szCs w:val="20"/>
        </w:rPr>
        <w:t xml:space="preserve">czyć podłoże przed nadmiernym zawilgoceniem, na przykład przez rozłożenie folii lub w inny sposób zaakceptowany przez </w:t>
      </w:r>
      <w:r>
        <w:rPr>
          <w:rFonts w:ascii="Tahoma" w:eastAsia="Tahoma" w:hAnsi="Tahoma" w:cs="Tahoma"/>
          <w:sz w:val="20"/>
          <w:szCs w:val="20"/>
          <w:lang w:eastAsia="ar-SA"/>
        </w:rPr>
        <w:t>Zamawiającego</w:t>
      </w:r>
      <w:r>
        <w:rPr>
          <w:rFonts w:ascii="Tahoma" w:hAnsi="Tahoma" w:cs="Tahoma"/>
          <w:sz w:val="20"/>
          <w:szCs w:val="20"/>
        </w:rPr>
        <w:t>. Jeżeli wyprofilowane i zagęszczone podłoże uległo nadmiern</w:t>
      </w:r>
      <w:r>
        <w:rPr>
          <w:rFonts w:ascii="Tahoma" w:hAnsi="Tahoma" w:cs="Tahoma"/>
          <w:sz w:val="20"/>
          <w:szCs w:val="20"/>
        </w:rPr>
        <w:t>e</w:t>
      </w:r>
      <w:r>
        <w:rPr>
          <w:rFonts w:ascii="Tahoma" w:hAnsi="Tahoma" w:cs="Tahoma"/>
          <w:sz w:val="20"/>
          <w:szCs w:val="20"/>
        </w:rPr>
        <w:t xml:space="preserve">mu zawilgoceniu, to do układania kolejnej warstwy można przystąpić dopiero po jego naturalnym osuszeniu. Po osuszeniu podłoża </w:t>
      </w:r>
      <w:r>
        <w:rPr>
          <w:rFonts w:ascii="Tahoma" w:eastAsia="Tahoma" w:hAnsi="Tahoma" w:cs="Tahoma"/>
          <w:sz w:val="20"/>
          <w:szCs w:val="20"/>
          <w:lang w:eastAsia="ar-SA"/>
        </w:rPr>
        <w:t>Zamawiający</w:t>
      </w:r>
      <w:r>
        <w:rPr>
          <w:rFonts w:ascii="Tahoma" w:hAnsi="Tahoma" w:cs="Tahoma"/>
          <w:sz w:val="20"/>
          <w:szCs w:val="20"/>
        </w:rPr>
        <w:t xml:space="preserve"> oceni jego stan i ewentualnie zaleci wykonanie ni</w:t>
      </w:r>
      <w:r>
        <w:rPr>
          <w:rFonts w:ascii="Tahoma" w:hAnsi="Tahoma" w:cs="Tahoma"/>
          <w:sz w:val="20"/>
          <w:szCs w:val="20"/>
        </w:rPr>
        <w:t>e</w:t>
      </w:r>
      <w:r>
        <w:rPr>
          <w:rFonts w:ascii="Tahoma" w:hAnsi="Tahoma" w:cs="Tahoma"/>
          <w:sz w:val="20"/>
          <w:szCs w:val="20"/>
        </w:rPr>
        <w:lastRenderedPageBreak/>
        <w:t>zbędnych napraw. Jeżeli zawilgocenie nastąpiło wskutek zaniedbania Wykonawcy, to naprawę wykona on na własny koszt.</w:t>
      </w:r>
    </w:p>
    <w:p w:rsidR="00C32362" w:rsidRDefault="00C32362">
      <w:pPr>
        <w:jc w:val="both"/>
        <w:rPr>
          <w:rFonts w:ascii="Tahoma" w:hAnsi="Tahoma" w:cs="Tahoma"/>
          <w:sz w:val="20"/>
          <w:szCs w:val="20"/>
        </w:rPr>
      </w:pPr>
    </w:p>
    <w:p w:rsidR="00C32362" w:rsidRDefault="00C12DEC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298" w:name="_Toc407086024"/>
      <w:bookmarkStart w:id="299" w:name="_Toc407085576"/>
      <w:bookmarkStart w:id="300" w:name="_Toc407085433"/>
      <w:bookmarkStart w:id="301" w:name="_Toc407085290"/>
      <w:bookmarkStart w:id="302" w:name="_Toc407084171"/>
      <w:bookmarkStart w:id="303" w:name="_Toc407083337"/>
      <w:bookmarkStart w:id="304" w:name="_Toc407081538"/>
      <w:bookmarkStart w:id="305" w:name="_Toc407069573"/>
      <w:bookmarkStart w:id="306" w:name="_Toc406984365"/>
      <w:bookmarkStart w:id="307" w:name="_Toc406984174"/>
      <w:bookmarkStart w:id="308" w:name="_Toc406984027"/>
      <w:bookmarkStart w:id="309" w:name="_Toc406915334"/>
      <w:bookmarkStart w:id="310" w:name="_Toc406914756"/>
      <w:bookmarkStart w:id="311" w:name="_Toc406914101"/>
      <w:bookmarkStart w:id="312" w:name="_Toc406913856"/>
      <w:r>
        <w:rPr>
          <w:rFonts w:ascii="Tahoma" w:hAnsi="Tahoma" w:cs="Tahoma"/>
          <w:szCs w:val="20"/>
        </w:rPr>
        <w:t>6. KONTROLA JAKOŚCI ROBÓT</w:t>
      </w:r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313" w:name="_Toc407086025"/>
      <w:bookmarkStart w:id="314" w:name="_Toc407085577"/>
      <w:bookmarkStart w:id="315" w:name="_Toc407085434"/>
      <w:bookmarkStart w:id="316" w:name="_Toc407085291"/>
      <w:bookmarkStart w:id="317" w:name="_Toc407084172"/>
      <w:bookmarkStart w:id="318" w:name="_Toc407083338"/>
      <w:bookmarkStart w:id="319" w:name="_Toc407081539"/>
      <w:bookmarkStart w:id="320" w:name="_Toc407069574"/>
      <w:bookmarkStart w:id="321" w:name="_Toc406984366"/>
      <w:bookmarkStart w:id="322" w:name="_Toc406984175"/>
      <w:bookmarkStart w:id="323" w:name="_Toc406984028"/>
      <w:bookmarkStart w:id="324" w:name="_Toc406915335"/>
      <w:bookmarkStart w:id="325" w:name="_Toc406914757"/>
      <w:bookmarkStart w:id="326" w:name="_Toc406914102"/>
      <w:bookmarkStart w:id="327" w:name="_Toc406913857"/>
      <w:r>
        <w:rPr>
          <w:rFonts w:ascii="Tahoma" w:hAnsi="Tahoma" w:cs="Tahoma"/>
        </w:rPr>
        <w:t>6.1. Ogólne zasady kontroli jakości robót</w:t>
      </w:r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kontroli jakości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6.</w:t>
      </w:r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328" w:name="_Toc407086026"/>
      <w:bookmarkStart w:id="329" w:name="_Toc407085578"/>
      <w:bookmarkStart w:id="330" w:name="_Toc407085435"/>
      <w:bookmarkStart w:id="331" w:name="_Toc407085292"/>
      <w:bookmarkStart w:id="332" w:name="_Toc407084173"/>
      <w:bookmarkStart w:id="333" w:name="_Toc407083339"/>
      <w:bookmarkStart w:id="334" w:name="_Toc407081540"/>
      <w:bookmarkStart w:id="335" w:name="_Toc407069575"/>
      <w:bookmarkStart w:id="336" w:name="_Toc406984367"/>
      <w:bookmarkStart w:id="337" w:name="_Toc406984176"/>
      <w:bookmarkStart w:id="338" w:name="_Toc406984029"/>
      <w:bookmarkStart w:id="339" w:name="_Toc406915336"/>
      <w:bookmarkStart w:id="340" w:name="_Toc406914758"/>
      <w:bookmarkStart w:id="341" w:name="_Toc406914103"/>
      <w:bookmarkStart w:id="342" w:name="_Toc406913858"/>
      <w:r>
        <w:rPr>
          <w:rFonts w:ascii="Tahoma" w:hAnsi="Tahoma" w:cs="Tahoma"/>
        </w:rPr>
        <w:t>6.2. Badania w czasie robót</w:t>
      </w:r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</w:p>
    <w:p w:rsidR="00C32362" w:rsidRDefault="00C12DEC">
      <w:pPr>
        <w:numPr>
          <w:ilvl w:val="0"/>
          <w:numId w:val="2"/>
        </w:numPr>
        <w:spacing w:before="120"/>
        <w:ind w:left="567" w:hanging="567"/>
        <w:jc w:val="both"/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  <w:u w:val="single"/>
        </w:rPr>
        <w:t>Częstotliwość oraz zakres badań i pomiarów</w:t>
      </w:r>
    </w:p>
    <w:p w:rsidR="00C32362" w:rsidRDefault="00C12DEC">
      <w:pPr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>Częstotliwość oraz zakres badań i pomiarów dotyczących cech geometrycznych i zagęszczenia koryta i wyprofilowanego podłoża podaje Tablica 2.</w:t>
      </w:r>
    </w:p>
    <w:p w:rsidR="00C32362" w:rsidRDefault="00C12DEC">
      <w:pPr>
        <w:ind w:left="1134" w:hanging="1134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Tablica 2. Częstotliwość oraz zakres badań i pomiarów wykonanego koryta i wyprofilowanego podłoża</w:t>
      </w:r>
    </w:p>
    <w:tbl>
      <w:tblPr>
        <w:tblW w:w="9194" w:type="dxa"/>
        <w:jc w:val="center"/>
        <w:tblCellMar>
          <w:left w:w="70" w:type="dxa"/>
          <w:right w:w="70" w:type="dxa"/>
        </w:tblCellMar>
        <w:tblLook w:val="0000"/>
      </w:tblPr>
      <w:tblGrid>
        <w:gridCol w:w="567"/>
        <w:gridCol w:w="3281"/>
        <w:gridCol w:w="5346"/>
      </w:tblGrid>
      <w:tr w:rsidR="00C32362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Lp.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Wyszczególnienie badań i p</w:t>
            </w:r>
            <w:r>
              <w:rPr>
                <w:rFonts w:ascii="Tahoma" w:hAnsi="Tahoma" w:cs="Tahoma"/>
                <w:b/>
                <w:sz w:val="20"/>
                <w:szCs w:val="20"/>
              </w:rPr>
              <w:t>o</w:t>
            </w:r>
            <w:r>
              <w:rPr>
                <w:rFonts w:ascii="Tahoma" w:hAnsi="Tahoma" w:cs="Tahoma"/>
                <w:b/>
                <w:sz w:val="20"/>
                <w:szCs w:val="20"/>
              </w:rPr>
              <w:t>miarów</w:t>
            </w:r>
          </w:p>
        </w:tc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Minimalna częstotliwość badań i pomiarów</w:t>
            </w:r>
          </w:p>
        </w:tc>
      </w:tr>
      <w:tr w:rsidR="00C32362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Szerokość koryta</w:t>
            </w:r>
          </w:p>
        </w:tc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 razy na 1 km</w:t>
            </w:r>
          </w:p>
        </w:tc>
      </w:tr>
      <w:tr w:rsidR="00C32362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Równość podłużna</w:t>
            </w:r>
          </w:p>
        </w:tc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co 20 m na każdym pasie ruchu</w:t>
            </w:r>
          </w:p>
        </w:tc>
      </w:tr>
      <w:tr w:rsidR="00C32362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Równość poprzeczna</w:t>
            </w:r>
          </w:p>
        </w:tc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 razy na 1 km</w:t>
            </w:r>
          </w:p>
        </w:tc>
      </w:tr>
      <w:tr w:rsidR="00C32362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Spadki poprzeczne 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*)</w:t>
            </w:r>
          </w:p>
        </w:tc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 razy na 1 km</w:t>
            </w:r>
          </w:p>
        </w:tc>
      </w:tr>
      <w:tr w:rsidR="00C32362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Rzędne wysokościowe</w:t>
            </w:r>
          </w:p>
        </w:tc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co 25 m w osi jezdni i na jej krawędziach dla autostrad i dróg ekspresowych, co 100 m dla pozostałych dróg</w:t>
            </w:r>
          </w:p>
        </w:tc>
      </w:tr>
      <w:tr w:rsidR="00C32362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Ukształtowanie osi w planie 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*)</w:t>
            </w:r>
          </w:p>
        </w:tc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co 25 m w osi jezdni i na jej krawędziach dla autostrad i dróg ekspresowych, co 100 m dla pozostałych dróg</w:t>
            </w:r>
          </w:p>
        </w:tc>
      </w:tr>
      <w:tr w:rsidR="00C32362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Zagęszczenie, wilgotność gruntu podłoża</w:t>
            </w:r>
          </w:p>
        </w:tc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 2 punktach na dziennej działce roboczej,</w:t>
            </w:r>
          </w:p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lecz nie rzadziej niż raz na 600 m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2</w:t>
            </w:r>
          </w:p>
        </w:tc>
      </w:tr>
      <w:tr w:rsidR="00C32362">
        <w:trPr>
          <w:trHeight w:val="207"/>
          <w:jc w:val="center"/>
        </w:trPr>
        <w:tc>
          <w:tcPr>
            <w:tcW w:w="9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bookmarkStart w:id="343" w:name="_Toc406914104"/>
            <w:bookmarkStart w:id="344" w:name="_Toc406913859"/>
            <w:bookmarkStart w:id="345" w:name="_Toc406822339"/>
            <w:r>
              <w:rPr>
                <w:rFonts w:ascii="Tahoma" w:hAnsi="Tahoma" w:cs="Tahoma"/>
                <w:sz w:val="20"/>
                <w:szCs w:val="20"/>
              </w:rPr>
              <w:t>*) Dodatkowe pomiary spadków poprzecznych i ukształtowania osi w planie należy wykonać w pun</w:t>
            </w:r>
            <w:r>
              <w:rPr>
                <w:rFonts w:ascii="Tahoma" w:hAnsi="Tahoma" w:cs="Tahoma"/>
                <w:sz w:val="20"/>
                <w:szCs w:val="20"/>
              </w:rPr>
              <w:t>k</w:t>
            </w:r>
            <w:r>
              <w:rPr>
                <w:rFonts w:ascii="Tahoma" w:hAnsi="Tahoma" w:cs="Tahoma"/>
                <w:sz w:val="20"/>
                <w:szCs w:val="20"/>
              </w:rPr>
              <w:t>tach głównych łuków poziomych</w:t>
            </w:r>
            <w:bookmarkEnd w:id="343"/>
            <w:bookmarkEnd w:id="344"/>
            <w:bookmarkEnd w:id="345"/>
          </w:p>
        </w:tc>
      </w:tr>
    </w:tbl>
    <w:p w:rsidR="00C32362" w:rsidRDefault="00C32362">
      <w:pPr>
        <w:jc w:val="both"/>
        <w:rPr>
          <w:rFonts w:ascii="Tahoma" w:hAnsi="Tahoma" w:cs="Tahoma"/>
          <w:b/>
          <w:sz w:val="20"/>
          <w:szCs w:val="20"/>
        </w:rPr>
      </w:pPr>
    </w:p>
    <w:p w:rsidR="00C32362" w:rsidRDefault="00C12DEC">
      <w:pPr>
        <w:numPr>
          <w:ilvl w:val="0"/>
          <w:numId w:val="2"/>
        </w:numPr>
        <w:spacing w:before="120"/>
        <w:ind w:left="567" w:hanging="567"/>
        <w:jc w:val="both"/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  <w:u w:val="single"/>
        </w:rPr>
        <w:t>Szerokość koryta (profilowanego podłoża)</w:t>
      </w:r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 xml:space="preserve">Szerokość koryta i profilowanego podłoża nie może różnić się od szerokości projektowanej o więcej niż +10 cm i -5 </w:t>
      </w:r>
      <w:proofErr w:type="spellStart"/>
      <w:r>
        <w:rPr>
          <w:rFonts w:ascii="Tahoma" w:hAnsi="Tahoma" w:cs="Tahoma"/>
          <w:sz w:val="20"/>
          <w:szCs w:val="20"/>
        </w:rPr>
        <w:t>cm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C32362" w:rsidRDefault="00C12DEC">
      <w:pPr>
        <w:numPr>
          <w:ilvl w:val="0"/>
          <w:numId w:val="2"/>
        </w:numPr>
        <w:spacing w:before="120"/>
        <w:ind w:left="567" w:hanging="567"/>
        <w:jc w:val="both"/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  <w:u w:val="single"/>
        </w:rPr>
        <w:t>Równość koryta (profilowanego podłoża)</w:t>
      </w:r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 xml:space="preserve">Nierówności podłużne koryta i profilowanego podłoża należy mierzyć 4-metrową łatą zgodnie z normą BN-68/8931-04. Nierówności poprzeczne należy mierzyć 4-metrową łatą. Nierówności nie mogą przekraczać 20 </w:t>
      </w:r>
      <w:proofErr w:type="spellStart"/>
      <w:r>
        <w:rPr>
          <w:rFonts w:ascii="Tahoma" w:hAnsi="Tahoma" w:cs="Tahoma"/>
          <w:sz w:val="20"/>
          <w:szCs w:val="20"/>
        </w:rPr>
        <w:t>mm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C32362" w:rsidRDefault="00C12DEC">
      <w:pPr>
        <w:numPr>
          <w:ilvl w:val="0"/>
          <w:numId w:val="2"/>
        </w:numPr>
        <w:spacing w:before="120"/>
        <w:ind w:left="567" w:hanging="567"/>
        <w:jc w:val="both"/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  <w:u w:val="single"/>
        </w:rPr>
        <w:t>Spadki poprzeczne</w:t>
      </w:r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>Spadki poprzeczne koryta i profilowanego podłoża powinny być zgodne z dokumentacją pr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 xml:space="preserve">jektową z tolerancją </w:t>
      </w:r>
      <w:r>
        <w:rPr>
          <w:rFonts w:ascii="Symbol" w:eastAsia="Symbol" w:hAnsi="Symbol" w:cs="Symbol"/>
          <w:sz w:val="20"/>
          <w:szCs w:val="20"/>
        </w:rPr>
        <w:t></w:t>
      </w:r>
      <w:r>
        <w:rPr>
          <w:rFonts w:ascii="Tahoma" w:hAnsi="Tahoma" w:cs="Tahoma"/>
          <w:sz w:val="20"/>
          <w:szCs w:val="20"/>
        </w:rPr>
        <w:t xml:space="preserve"> 0,5%.</w:t>
      </w:r>
    </w:p>
    <w:p w:rsidR="00C32362" w:rsidRDefault="00C12DEC">
      <w:pPr>
        <w:numPr>
          <w:ilvl w:val="0"/>
          <w:numId w:val="2"/>
        </w:numPr>
        <w:spacing w:before="120"/>
        <w:ind w:left="567" w:hanging="567"/>
        <w:jc w:val="both"/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  <w:u w:val="single"/>
        </w:rPr>
        <w:t>Rzędne wysokościowe</w:t>
      </w:r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 xml:space="preserve">Różnice pomiędzy rzędnymi wysokościowymi koryta lub wyprofilowanego podłoża i rzędnymi projektowanymi nie powinny przekraczać +1 cm, -2 </w:t>
      </w:r>
      <w:proofErr w:type="spellStart"/>
      <w:r>
        <w:rPr>
          <w:rFonts w:ascii="Tahoma" w:hAnsi="Tahoma" w:cs="Tahoma"/>
          <w:sz w:val="20"/>
          <w:szCs w:val="20"/>
        </w:rPr>
        <w:t>cm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C32362" w:rsidRDefault="00C12DEC">
      <w:pPr>
        <w:numPr>
          <w:ilvl w:val="0"/>
          <w:numId w:val="2"/>
        </w:numPr>
        <w:spacing w:before="120"/>
        <w:ind w:left="567" w:hanging="567"/>
        <w:jc w:val="both"/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  <w:u w:val="single"/>
        </w:rPr>
        <w:t>Ukształtowanie osi w planie</w:t>
      </w:r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 xml:space="preserve">Oś w planie nie może być przesunięta w stosunku do osi projektowanej o więcej niż </w:t>
      </w:r>
      <w:r>
        <w:rPr>
          <w:rFonts w:ascii="Symbol" w:eastAsia="Symbol" w:hAnsi="Symbol" w:cs="Symbol"/>
          <w:sz w:val="20"/>
          <w:szCs w:val="20"/>
        </w:rPr>
        <w:t></w:t>
      </w:r>
      <w:r>
        <w:rPr>
          <w:rFonts w:ascii="Tahoma" w:hAnsi="Tahoma" w:cs="Tahoma"/>
          <w:sz w:val="20"/>
          <w:szCs w:val="20"/>
        </w:rPr>
        <w:t xml:space="preserve"> 3 cm dla autostrad i dróg ekspresowych lub więcej niż </w:t>
      </w:r>
      <w:r>
        <w:rPr>
          <w:rFonts w:ascii="Symbol" w:eastAsia="Symbol" w:hAnsi="Symbol" w:cs="Symbol"/>
          <w:sz w:val="20"/>
          <w:szCs w:val="20"/>
        </w:rPr>
        <w:t></w:t>
      </w:r>
      <w:r>
        <w:rPr>
          <w:rFonts w:ascii="Tahoma" w:hAnsi="Tahoma" w:cs="Tahoma"/>
          <w:sz w:val="20"/>
          <w:szCs w:val="20"/>
        </w:rPr>
        <w:t xml:space="preserve"> 5 cm dla pozostałych dróg.</w:t>
      </w:r>
    </w:p>
    <w:p w:rsidR="00C32362" w:rsidRDefault="00C12DEC">
      <w:pPr>
        <w:numPr>
          <w:ilvl w:val="0"/>
          <w:numId w:val="2"/>
        </w:numPr>
        <w:spacing w:before="120"/>
        <w:ind w:left="567" w:hanging="567"/>
        <w:jc w:val="both"/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  <w:u w:val="single"/>
        </w:rPr>
        <w:t>Zagęszczenie koryta (profilowanego podłoża)</w:t>
      </w:r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>Wskaźnik zagęszczenia koryta i wyprofilowanego podłoża określony wg BN-77/8931-12 nie powinien być mniejszy od podanego w Tablicy 1. Jeśli jako kryterium dobrego zagęszczenia stosuje się porównanie wartości modułów odkształcenia, to wartość stosunku wtórnego do pierwotnego modułu odkształcenia, określonych zgodnie z normą BN-64/8931-02 nie powinna być większa od 2,2. Wilgo</w:t>
      </w:r>
      <w:r>
        <w:rPr>
          <w:rFonts w:ascii="Tahoma" w:hAnsi="Tahoma" w:cs="Tahoma"/>
          <w:sz w:val="20"/>
          <w:szCs w:val="20"/>
        </w:rPr>
        <w:t>t</w:t>
      </w:r>
      <w:r>
        <w:rPr>
          <w:rFonts w:ascii="Tahoma" w:hAnsi="Tahoma" w:cs="Tahoma"/>
          <w:sz w:val="20"/>
          <w:szCs w:val="20"/>
        </w:rPr>
        <w:t>ność w czasie zagęszczania należy badać według PN-B-06714-17. Wilgotność gruntu podłoża powinna być równa wilgotności optymalnej z tolerancją od -20% do + 10%.</w:t>
      </w:r>
    </w:p>
    <w:p w:rsidR="00C32362" w:rsidRDefault="00C32362">
      <w:pPr>
        <w:pStyle w:val="Heading2"/>
        <w:spacing w:before="0" w:after="0"/>
        <w:ind w:left="426" w:hanging="426"/>
        <w:rPr>
          <w:rFonts w:ascii="Tahoma" w:hAnsi="Tahoma" w:cs="Tahoma"/>
        </w:rPr>
      </w:pPr>
      <w:bookmarkStart w:id="346" w:name="_Toc407086027"/>
      <w:bookmarkStart w:id="347" w:name="_Toc407085579"/>
      <w:bookmarkStart w:id="348" w:name="_Toc407085436"/>
      <w:bookmarkStart w:id="349" w:name="_Toc407085293"/>
      <w:bookmarkStart w:id="350" w:name="_Toc407084174"/>
      <w:bookmarkStart w:id="351" w:name="_Toc407083340"/>
      <w:bookmarkStart w:id="352" w:name="_Toc407081541"/>
      <w:bookmarkStart w:id="353" w:name="_Toc407069576"/>
      <w:bookmarkStart w:id="354" w:name="_Toc406984368"/>
      <w:bookmarkStart w:id="355" w:name="_Toc406984177"/>
      <w:bookmarkStart w:id="356" w:name="_Toc406984030"/>
    </w:p>
    <w:p w:rsidR="00C32362" w:rsidRDefault="00C12DEC">
      <w:pPr>
        <w:pStyle w:val="Heading2"/>
        <w:spacing w:before="0" w:after="0"/>
        <w:ind w:left="426" w:hanging="426"/>
        <w:rPr>
          <w:rFonts w:ascii="Tahoma" w:hAnsi="Tahoma" w:cs="Tahoma"/>
          <w:b w:val="0"/>
        </w:rPr>
      </w:pPr>
      <w:bookmarkStart w:id="357" w:name="_Toc406915337"/>
      <w:bookmarkStart w:id="358" w:name="_Toc406914862"/>
      <w:bookmarkStart w:id="359" w:name="_Toc406914759"/>
      <w:bookmarkStart w:id="360" w:name="_Toc406914105"/>
      <w:bookmarkStart w:id="361" w:name="_Toc406913860"/>
      <w:r>
        <w:rPr>
          <w:rFonts w:ascii="Tahoma" w:hAnsi="Tahoma" w:cs="Tahoma"/>
        </w:rPr>
        <w:t>6.3. Zasady postępowania z wadliwie wykonanymi odcinkami koryta (profilowanego</w:t>
      </w:r>
      <w:bookmarkEnd w:id="357"/>
      <w:bookmarkEnd w:id="358"/>
      <w:bookmarkEnd w:id="359"/>
      <w:bookmarkEnd w:id="360"/>
      <w:bookmarkEnd w:id="361"/>
      <w:r>
        <w:rPr>
          <w:rFonts w:ascii="Tahoma" w:hAnsi="Tahoma" w:cs="Tahoma"/>
        </w:rPr>
        <w:t xml:space="preserve"> po</w:t>
      </w:r>
      <w:r>
        <w:rPr>
          <w:rFonts w:ascii="Tahoma" w:hAnsi="Tahoma" w:cs="Tahoma"/>
        </w:rPr>
        <w:t>d</w:t>
      </w:r>
      <w:r>
        <w:rPr>
          <w:rFonts w:ascii="Tahoma" w:hAnsi="Tahoma" w:cs="Tahoma"/>
        </w:rPr>
        <w:t>łoża)</w:t>
      </w:r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Wszystkie powierzchnie, które wykazują większe odchylenia cech geometrycznych od określonych w punkcie 6.2 powinny być naprawione przez spulchnienie do głębokości co najmniej 10 cm, wyró</w:t>
      </w:r>
      <w:r>
        <w:rPr>
          <w:rFonts w:ascii="Tahoma" w:hAnsi="Tahoma" w:cs="Tahoma"/>
          <w:sz w:val="20"/>
          <w:szCs w:val="20"/>
        </w:rPr>
        <w:t>w</w:t>
      </w:r>
      <w:r>
        <w:rPr>
          <w:rFonts w:ascii="Tahoma" w:hAnsi="Tahoma" w:cs="Tahoma"/>
          <w:sz w:val="20"/>
          <w:szCs w:val="20"/>
        </w:rPr>
        <w:t>nanie i powtórne zagęszczenie. Dodanie nowego materiału bez spulchnienia wykonanej warstwy jest niedopuszczalne.</w:t>
      </w:r>
      <w:bookmarkStart w:id="362" w:name="_Toc407086028"/>
      <w:bookmarkStart w:id="363" w:name="_Toc407085580"/>
      <w:bookmarkStart w:id="364" w:name="_Toc407085437"/>
      <w:bookmarkStart w:id="365" w:name="_Toc407085294"/>
      <w:bookmarkStart w:id="366" w:name="_Toc407084175"/>
      <w:bookmarkStart w:id="367" w:name="_Toc407083341"/>
      <w:bookmarkStart w:id="368" w:name="_Toc407081542"/>
      <w:bookmarkStart w:id="369" w:name="_Toc407069577"/>
      <w:bookmarkStart w:id="370" w:name="_Toc406984369"/>
      <w:bookmarkStart w:id="371" w:name="_Toc406984178"/>
      <w:bookmarkStart w:id="372" w:name="_Toc406984031"/>
      <w:bookmarkStart w:id="373" w:name="_Toc406915338"/>
      <w:bookmarkStart w:id="374" w:name="_Toc406914760"/>
      <w:bookmarkStart w:id="375" w:name="_Toc406914106"/>
      <w:bookmarkStart w:id="376" w:name="_Toc406913861"/>
    </w:p>
    <w:p w:rsidR="00C32362" w:rsidRDefault="00C32362">
      <w:pPr>
        <w:rPr>
          <w:rFonts w:ascii="Tahoma" w:hAnsi="Tahoma" w:cs="Tahoma"/>
          <w:sz w:val="20"/>
          <w:szCs w:val="20"/>
        </w:rPr>
      </w:pPr>
    </w:p>
    <w:p w:rsidR="00C32362" w:rsidRDefault="00C12DEC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7. OBMIAR ROBÓT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377" w:name="_Toc407086029"/>
      <w:bookmarkStart w:id="378" w:name="_Toc407085581"/>
      <w:bookmarkStart w:id="379" w:name="_Toc407085438"/>
      <w:bookmarkStart w:id="380" w:name="_Toc407085295"/>
      <w:bookmarkStart w:id="381" w:name="_Toc407084176"/>
      <w:bookmarkStart w:id="382" w:name="_Toc407083342"/>
      <w:bookmarkStart w:id="383" w:name="_Toc407081543"/>
      <w:bookmarkStart w:id="384" w:name="_Toc407069578"/>
      <w:bookmarkStart w:id="385" w:name="_Toc406984370"/>
      <w:bookmarkStart w:id="386" w:name="_Toc406984179"/>
      <w:bookmarkStart w:id="387" w:name="_Toc406984032"/>
      <w:bookmarkStart w:id="388" w:name="_Toc406915339"/>
      <w:bookmarkStart w:id="389" w:name="_Toc406914761"/>
      <w:bookmarkStart w:id="390" w:name="_Toc406914107"/>
      <w:bookmarkStart w:id="391" w:name="_Toc406913862"/>
      <w:r>
        <w:rPr>
          <w:rFonts w:ascii="Tahoma" w:hAnsi="Tahoma" w:cs="Tahoma"/>
        </w:rPr>
        <w:t>7.1. Ogólne zasady obmiaru robót</w:t>
      </w:r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obmiaru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7.</w:t>
      </w:r>
    </w:p>
    <w:p w:rsidR="00C32362" w:rsidRDefault="00C12DEC">
      <w:pPr>
        <w:pStyle w:val="Heading2"/>
        <w:spacing w:after="0"/>
        <w:rPr>
          <w:rFonts w:ascii="Tahoma" w:hAnsi="Tahoma" w:cs="Tahoma"/>
        </w:rPr>
      </w:pPr>
      <w:bookmarkStart w:id="392" w:name="_Toc407086030"/>
      <w:bookmarkStart w:id="393" w:name="_Toc407085582"/>
      <w:bookmarkStart w:id="394" w:name="_Toc407085439"/>
      <w:bookmarkStart w:id="395" w:name="_Toc407085296"/>
      <w:bookmarkStart w:id="396" w:name="_Toc407084177"/>
      <w:bookmarkStart w:id="397" w:name="_Toc407083343"/>
      <w:bookmarkStart w:id="398" w:name="_Toc407081544"/>
      <w:bookmarkStart w:id="399" w:name="_Toc407069579"/>
      <w:bookmarkStart w:id="400" w:name="_Toc406984371"/>
      <w:bookmarkStart w:id="401" w:name="_Toc406984180"/>
      <w:bookmarkStart w:id="402" w:name="_Toc406984033"/>
      <w:bookmarkStart w:id="403" w:name="_Toc406915340"/>
      <w:bookmarkStart w:id="404" w:name="_Toc406914762"/>
      <w:bookmarkStart w:id="405" w:name="_Toc406914108"/>
      <w:bookmarkStart w:id="406" w:name="_Toc406913863"/>
      <w:r>
        <w:rPr>
          <w:rFonts w:ascii="Tahoma" w:hAnsi="Tahoma" w:cs="Tahoma"/>
        </w:rPr>
        <w:t>7.2. Jednostka obmiarowa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Jednostką obmiarową jest m</w:t>
      </w:r>
      <w:r>
        <w:rPr>
          <w:rFonts w:ascii="Tahoma" w:hAnsi="Tahoma" w:cs="Tahoma"/>
          <w:sz w:val="20"/>
          <w:szCs w:val="20"/>
          <w:vertAlign w:val="superscript"/>
        </w:rPr>
        <w:t>2</w:t>
      </w:r>
      <w:r>
        <w:rPr>
          <w:rFonts w:ascii="Tahoma" w:hAnsi="Tahoma" w:cs="Tahoma"/>
          <w:sz w:val="20"/>
          <w:szCs w:val="20"/>
        </w:rPr>
        <w:t xml:space="preserve"> (metr kwadratowy) wykonanego i odebranego koryta.</w:t>
      </w:r>
    </w:p>
    <w:p w:rsidR="00C32362" w:rsidRDefault="00C32362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C32362" w:rsidRDefault="00C12DEC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407" w:name="_Toc407086031"/>
      <w:bookmarkStart w:id="408" w:name="_Toc407085583"/>
      <w:bookmarkStart w:id="409" w:name="_Toc407085440"/>
      <w:bookmarkStart w:id="410" w:name="_Toc407085297"/>
      <w:bookmarkStart w:id="411" w:name="_Toc407084178"/>
      <w:bookmarkStart w:id="412" w:name="_Toc407083344"/>
      <w:bookmarkStart w:id="413" w:name="_Toc407081545"/>
      <w:bookmarkStart w:id="414" w:name="_Toc407069580"/>
      <w:bookmarkStart w:id="415" w:name="_Toc406984372"/>
      <w:bookmarkStart w:id="416" w:name="_Toc406984181"/>
      <w:bookmarkStart w:id="417" w:name="_Toc406984034"/>
      <w:bookmarkStart w:id="418" w:name="_Toc406915341"/>
      <w:bookmarkStart w:id="419" w:name="_Toc406914763"/>
      <w:bookmarkStart w:id="420" w:name="_Toc406914109"/>
      <w:bookmarkStart w:id="421" w:name="_Toc406913864"/>
      <w:r>
        <w:rPr>
          <w:rFonts w:ascii="Tahoma" w:hAnsi="Tahoma" w:cs="Tahoma"/>
          <w:szCs w:val="20"/>
        </w:rPr>
        <w:t>8. ODBIÓR ROBÓT</w:t>
      </w:r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odbioru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8. Roboty uznaje się za wykonane zgodnie z dokumentacja projektową,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i wymaganiami </w:t>
      </w:r>
      <w:r>
        <w:rPr>
          <w:rFonts w:ascii="Tahoma" w:eastAsia="Tahoma" w:hAnsi="Tahoma" w:cs="Tahoma"/>
          <w:sz w:val="20"/>
          <w:szCs w:val="20"/>
          <w:lang w:eastAsia="ar-SA"/>
        </w:rPr>
        <w:t>Zamawiając</w:t>
      </w:r>
      <w:r>
        <w:rPr>
          <w:rFonts w:ascii="Tahoma" w:eastAsia="Tahoma" w:hAnsi="Tahoma" w:cs="Tahoma"/>
          <w:sz w:val="20"/>
          <w:szCs w:val="20"/>
          <w:lang w:eastAsia="ar-SA"/>
        </w:rPr>
        <w:t>e</w:t>
      </w:r>
      <w:r>
        <w:rPr>
          <w:rFonts w:ascii="Tahoma" w:eastAsia="Tahoma" w:hAnsi="Tahoma" w:cs="Tahoma"/>
          <w:sz w:val="20"/>
          <w:szCs w:val="20"/>
          <w:lang w:eastAsia="ar-SA"/>
        </w:rPr>
        <w:t>go</w:t>
      </w:r>
      <w:r>
        <w:rPr>
          <w:rFonts w:ascii="Tahoma" w:hAnsi="Tahoma" w:cs="Tahoma"/>
          <w:sz w:val="20"/>
          <w:szCs w:val="20"/>
        </w:rPr>
        <w:t>, jeżeli wszystkie pomiary i badania z zachowaniem tolerancji wg punktu 6 dały wyniki pozytywne.</w:t>
      </w:r>
    </w:p>
    <w:p w:rsidR="00C32362" w:rsidRDefault="00C32362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C32362" w:rsidRDefault="00C12DEC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422" w:name="_Toc407086032"/>
      <w:bookmarkStart w:id="423" w:name="_Toc407085584"/>
      <w:bookmarkStart w:id="424" w:name="_Toc407085441"/>
      <w:bookmarkStart w:id="425" w:name="_Toc407085298"/>
      <w:bookmarkStart w:id="426" w:name="_Toc407084179"/>
      <w:bookmarkStart w:id="427" w:name="_Toc407083345"/>
      <w:bookmarkStart w:id="428" w:name="_Toc407081546"/>
      <w:bookmarkStart w:id="429" w:name="_Toc407069581"/>
      <w:bookmarkStart w:id="430" w:name="_Toc406984373"/>
      <w:bookmarkStart w:id="431" w:name="_Toc406984182"/>
      <w:bookmarkStart w:id="432" w:name="_Toc406984035"/>
      <w:bookmarkStart w:id="433" w:name="_Toc406915342"/>
      <w:bookmarkStart w:id="434" w:name="_Toc406914764"/>
      <w:bookmarkStart w:id="435" w:name="_Toc406914110"/>
      <w:bookmarkStart w:id="436" w:name="_Toc406913865"/>
      <w:r>
        <w:rPr>
          <w:rFonts w:ascii="Tahoma" w:hAnsi="Tahoma" w:cs="Tahoma"/>
          <w:szCs w:val="20"/>
        </w:rPr>
        <w:t>9. PODSTAWA PŁATNOŚCI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437" w:name="_Toc407086033"/>
      <w:bookmarkStart w:id="438" w:name="_Toc407085585"/>
      <w:bookmarkStart w:id="439" w:name="_Toc407085442"/>
      <w:bookmarkStart w:id="440" w:name="_Toc407085299"/>
      <w:bookmarkStart w:id="441" w:name="_Toc407084180"/>
      <w:bookmarkStart w:id="442" w:name="_Toc407083346"/>
      <w:bookmarkStart w:id="443" w:name="_Toc407081547"/>
      <w:bookmarkStart w:id="444" w:name="_Toc407069582"/>
      <w:bookmarkStart w:id="445" w:name="_Toc406984374"/>
      <w:bookmarkStart w:id="446" w:name="_Toc406984183"/>
      <w:bookmarkStart w:id="447" w:name="_Toc406984036"/>
      <w:bookmarkStart w:id="448" w:name="_Toc406915343"/>
      <w:bookmarkStart w:id="449" w:name="_Toc406914765"/>
      <w:bookmarkStart w:id="450" w:name="_Toc406914111"/>
      <w:bookmarkStart w:id="451" w:name="_Toc406913866"/>
      <w:r>
        <w:rPr>
          <w:rFonts w:ascii="Tahoma" w:hAnsi="Tahoma" w:cs="Tahoma"/>
        </w:rPr>
        <w:t>9.1. Ogólne ustalenia dotyczące podstawy płatności</w:t>
      </w:r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ustalenia dotyczące podstawy płatności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</w:t>
      </w:r>
      <w:r>
        <w:rPr>
          <w:rFonts w:ascii="Tahoma" w:hAnsi="Tahoma" w:cs="Tahoma"/>
          <w:sz w:val="20"/>
          <w:szCs w:val="20"/>
        </w:rPr>
        <w:t>l</w:t>
      </w:r>
      <w:r>
        <w:rPr>
          <w:rFonts w:ascii="Tahoma" w:hAnsi="Tahoma" w:cs="Tahoma"/>
          <w:sz w:val="20"/>
          <w:szCs w:val="20"/>
        </w:rPr>
        <w:t xml:space="preserve">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9.</w:t>
      </w:r>
    </w:p>
    <w:p w:rsidR="00C32362" w:rsidRDefault="00C12DEC">
      <w:pPr>
        <w:pStyle w:val="Heading2"/>
        <w:spacing w:after="0"/>
        <w:rPr>
          <w:rFonts w:ascii="Tahoma" w:hAnsi="Tahoma" w:cs="Tahoma"/>
        </w:rPr>
      </w:pPr>
      <w:bookmarkStart w:id="452" w:name="_Toc407086034"/>
      <w:bookmarkStart w:id="453" w:name="_Toc407085586"/>
      <w:bookmarkStart w:id="454" w:name="_Toc407085443"/>
      <w:bookmarkStart w:id="455" w:name="_Toc407085300"/>
      <w:bookmarkStart w:id="456" w:name="_Toc407084181"/>
      <w:bookmarkStart w:id="457" w:name="_Toc407083347"/>
      <w:bookmarkStart w:id="458" w:name="_Toc407081548"/>
      <w:bookmarkStart w:id="459" w:name="_Toc407069583"/>
      <w:bookmarkStart w:id="460" w:name="_Toc406984375"/>
      <w:bookmarkStart w:id="461" w:name="_Toc406984184"/>
      <w:bookmarkStart w:id="462" w:name="_Toc406984037"/>
      <w:bookmarkStart w:id="463" w:name="_Toc406915344"/>
      <w:bookmarkStart w:id="464" w:name="_Toc406914766"/>
      <w:bookmarkStart w:id="465" w:name="_Toc406914112"/>
      <w:bookmarkStart w:id="466" w:name="_Toc406913867"/>
      <w:r>
        <w:rPr>
          <w:rFonts w:ascii="Tahoma" w:hAnsi="Tahoma" w:cs="Tahoma"/>
        </w:rPr>
        <w:t>9.2. Cena jednostki obmiarowej</w:t>
      </w:r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>Cena wykonania 1 m</w:t>
      </w:r>
      <w:r>
        <w:rPr>
          <w:rFonts w:ascii="Tahoma" w:hAnsi="Tahoma" w:cs="Tahoma"/>
          <w:sz w:val="20"/>
          <w:szCs w:val="20"/>
          <w:vertAlign w:val="superscript"/>
        </w:rPr>
        <w:t>2</w:t>
      </w:r>
      <w:r>
        <w:rPr>
          <w:rFonts w:ascii="Tahoma" w:hAnsi="Tahoma" w:cs="Tahoma"/>
          <w:sz w:val="20"/>
          <w:szCs w:val="20"/>
        </w:rPr>
        <w:t xml:space="preserve"> koryta obejmuje:</w:t>
      </w:r>
    </w:p>
    <w:p w:rsidR="00C32362" w:rsidRDefault="00C12DEC">
      <w:pPr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prace pomiarowe i roboty przygotowawcze,</w:t>
      </w:r>
    </w:p>
    <w:p w:rsidR="00C32362" w:rsidRDefault="00C12DEC">
      <w:pPr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odspojenie gruntu z przerzutem na pobocze i rozplantowaniem,</w:t>
      </w:r>
    </w:p>
    <w:p w:rsidR="00C32362" w:rsidRDefault="00C12DEC">
      <w:pPr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załadunek nadmiaru odspojonego gruntu na środki transportowe i odwiezienie na odkład lub nasyp,</w:t>
      </w:r>
    </w:p>
    <w:p w:rsidR="00C32362" w:rsidRDefault="00C12DEC">
      <w:pPr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profilowanie dna koryta lub podłoża,</w:t>
      </w:r>
    </w:p>
    <w:p w:rsidR="00C32362" w:rsidRDefault="00C12DEC">
      <w:pPr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zagęszczenie,</w:t>
      </w:r>
    </w:p>
    <w:p w:rsidR="00C32362" w:rsidRDefault="00C12DEC">
      <w:pPr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utrzymanie koryta lub podłoża,</w:t>
      </w:r>
    </w:p>
    <w:p w:rsidR="00C32362" w:rsidRDefault="00C12DEC">
      <w:pPr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przeprowadzenie pomiarów i badań laboratoryjnych, wymaganych w specyfikacji technicznej.</w:t>
      </w:r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</w:p>
    <w:p w:rsidR="00C32362" w:rsidRDefault="00C12DEC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467" w:name="_Toc407086035"/>
      <w:bookmarkStart w:id="468" w:name="_Toc407085587"/>
      <w:bookmarkStart w:id="469" w:name="_Toc407085444"/>
      <w:bookmarkStart w:id="470" w:name="_Toc407085301"/>
      <w:bookmarkStart w:id="471" w:name="_Toc407084182"/>
      <w:bookmarkStart w:id="472" w:name="_Toc407083348"/>
      <w:bookmarkStart w:id="473" w:name="_Toc407081549"/>
      <w:bookmarkStart w:id="474" w:name="_Toc407069584"/>
      <w:bookmarkStart w:id="475" w:name="_Toc406984376"/>
      <w:bookmarkStart w:id="476" w:name="_Toc406984185"/>
      <w:bookmarkStart w:id="477" w:name="_Toc406984038"/>
      <w:bookmarkStart w:id="478" w:name="_Toc406915345"/>
      <w:bookmarkStart w:id="479" w:name="_Toc406914767"/>
      <w:bookmarkStart w:id="480" w:name="_Toc406914113"/>
      <w:bookmarkStart w:id="481" w:name="_Toc406913868"/>
      <w:r>
        <w:rPr>
          <w:rFonts w:ascii="Tahoma" w:hAnsi="Tahoma" w:cs="Tahoma"/>
          <w:szCs w:val="20"/>
        </w:rPr>
        <w:t>10. PRZEPISY ZWIĄZANE</w:t>
      </w:r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482" w:name="_Toc407086036"/>
      <w:bookmarkStart w:id="483" w:name="_Toc407085588"/>
      <w:bookmarkStart w:id="484" w:name="_Toc407085445"/>
      <w:bookmarkStart w:id="485" w:name="_Toc407085302"/>
      <w:bookmarkStart w:id="486" w:name="_Toc407084183"/>
      <w:bookmarkStart w:id="487" w:name="_Toc407083349"/>
      <w:bookmarkStart w:id="488" w:name="_Toc407081550"/>
      <w:bookmarkStart w:id="489" w:name="_Toc407069585"/>
      <w:bookmarkStart w:id="490" w:name="_Toc406984377"/>
      <w:bookmarkStart w:id="491" w:name="_Toc406984186"/>
      <w:bookmarkStart w:id="492" w:name="_Toc406984039"/>
      <w:bookmarkStart w:id="493" w:name="_Toc406915346"/>
      <w:bookmarkStart w:id="494" w:name="_Toc406914768"/>
      <w:bookmarkStart w:id="495" w:name="_Toc406914114"/>
      <w:bookmarkStart w:id="496" w:name="_Toc406913869"/>
      <w:r>
        <w:rPr>
          <w:rFonts w:ascii="Tahoma" w:hAnsi="Tahoma" w:cs="Tahoma"/>
        </w:rPr>
        <w:t>Normy</w:t>
      </w:r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</w:p>
    <w:tbl>
      <w:tblPr>
        <w:tblW w:w="9900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425"/>
        <w:gridCol w:w="1701"/>
        <w:gridCol w:w="7774"/>
      </w:tblGrid>
      <w:tr w:rsidR="00C32362">
        <w:tc>
          <w:tcPr>
            <w:tcW w:w="425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1701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PN-B-04481</w:t>
            </w:r>
          </w:p>
        </w:tc>
        <w:tc>
          <w:tcPr>
            <w:tcW w:w="7774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Grunty budowlane. Badania próbek gruntu</w:t>
            </w:r>
          </w:p>
        </w:tc>
      </w:tr>
      <w:tr w:rsidR="00C32362">
        <w:tc>
          <w:tcPr>
            <w:tcW w:w="425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1701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PN-/B-06714-17</w:t>
            </w:r>
          </w:p>
        </w:tc>
        <w:tc>
          <w:tcPr>
            <w:tcW w:w="7774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Kruszywa mineralne. Badania. Oznaczanie wilgotności</w:t>
            </w:r>
          </w:p>
        </w:tc>
      </w:tr>
      <w:tr w:rsidR="00C32362">
        <w:tc>
          <w:tcPr>
            <w:tcW w:w="425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1701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BN-64/8931-02</w:t>
            </w:r>
          </w:p>
        </w:tc>
        <w:tc>
          <w:tcPr>
            <w:tcW w:w="7774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Drogi samochodowe. Oznaczanie modułu odkształcenia nawierzchni podatnych i podłoża przez obciążenie płytą</w:t>
            </w:r>
          </w:p>
        </w:tc>
      </w:tr>
      <w:tr w:rsidR="00C32362">
        <w:tc>
          <w:tcPr>
            <w:tcW w:w="425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1701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BN-68/8931-04</w:t>
            </w:r>
          </w:p>
        </w:tc>
        <w:tc>
          <w:tcPr>
            <w:tcW w:w="7774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Drogi samochodowe. Pomiar równości nawierzchni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planografem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i łatą</w:t>
            </w:r>
          </w:p>
        </w:tc>
      </w:tr>
      <w:tr w:rsidR="00C32362">
        <w:tc>
          <w:tcPr>
            <w:tcW w:w="425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1701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BN-77/8931-12</w:t>
            </w:r>
          </w:p>
        </w:tc>
        <w:tc>
          <w:tcPr>
            <w:tcW w:w="7774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Oznaczanie wskaźnika zagęszczenia gruntu</w:t>
            </w:r>
          </w:p>
        </w:tc>
      </w:tr>
    </w:tbl>
    <w:p w:rsidR="00C32362" w:rsidRDefault="00C32362">
      <w:pPr>
        <w:rPr>
          <w:rFonts w:ascii="Tahoma" w:hAnsi="Tahoma" w:cs="Tahoma"/>
          <w:b/>
          <w:sz w:val="20"/>
          <w:szCs w:val="20"/>
        </w:rPr>
      </w:pPr>
    </w:p>
    <w:sectPr w:rsidR="00C32362" w:rsidSect="00C32362">
      <w:footerReference w:type="default" r:id="rId7"/>
      <w:pgSz w:w="11906" w:h="16838"/>
      <w:pgMar w:top="1418" w:right="1418" w:bottom="1418" w:left="1418" w:header="0" w:footer="709" w:gutter="0"/>
      <w:pgNumType w:start="1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75BC" w:rsidRDefault="001C75BC" w:rsidP="00C32362">
      <w:r>
        <w:separator/>
      </w:r>
    </w:p>
  </w:endnote>
  <w:endnote w:type="continuationSeparator" w:id="0">
    <w:p w:rsidR="001C75BC" w:rsidRDefault="001C75BC" w:rsidP="00C323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62849718"/>
      <w:docPartObj>
        <w:docPartGallery w:val="Page Numbers (Bottom of Page)"/>
        <w:docPartUnique/>
      </w:docPartObj>
    </w:sdtPr>
    <w:sdtContent>
      <w:p w:rsidR="00C32362" w:rsidRDefault="001B531D">
        <w:pPr>
          <w:pStyle w:val="Footer"/>
          <w:jc w:val="righ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fldChar w:fldCharType="begin"/>
        </w:r>
        <w:r w:rsidR="00C12DEC">
          <w:rPr>
            <w:rFonts w:ascii="Arial" w:hAnsi="Arial" w:cs="Arial"/>
            <w:sz w:val="18"/>
            <w:szCs w:val="18"/>
          </w:rPr>
          <w:instrText>PAGE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 w:rsidR="00B11E53">
          <w:rPr>
            <w:rFonts w:ascii="Arial" w:hAnsi="Arial" w:cs="Arial"/>
            <w:noProof/>
            <w:sz w:val="18"/>
            <w:szCs w:val="18"/>
          </w:rPr>
          <w:t>1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C32362" w:rsidRDefault="00C3236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75BC" w:rsidRDefault="001C75BC" w:rsidP="00C32362">
      <w:r>
        <w:separator/>
      </w:r>
    </w:p>
  </w:footnote>
  <w:footnote w:type="continuationSeparator" w:id="0">
    <w:p w:rsidR="001C75BC" w:rsidRDefault="001C75BC" w:rsidP="00C323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C87443"/>
    <w:multiLevelType w:val="multilevel"/>
    <w:tmpl w:val="F818762A"/>
    <w:lvl w:ilvl="0">
      <w:start w:val="1"/>
      <w:numFmt w:val="decimal"/>
      <w:lvlText w:val="6.2.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C402BE"/>
    <w:multiLevelType w:val="multilevel"/>
    <w:tmpl w:val="C4E07D7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536638E7"/>
    <w:multiLevelType w:val="multilevel"/>
    <w:tmpl w:val="85C2CD3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66C42B80"/>
    <w:multiLevelType w:val="multilevel"/>
    <w:tmpl w:val="D4CACEC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2362"/>
    <w:rsid w:val="0012345B"/>
    <w:rsid w:val="00182CA1"/>
    <w:rsid w:val="001B531D"/>
    <w:rsid w:val="001C75BC"/>
    <w:rsid w:val="00311240"/>
    <w:rsid w:val="00383D80"/>
    <w:rsid w:val="003A2F22"/>
    <w:rsid w:val="00430126"/>
    <w:rsid w:val="00430E3C"/>
    <w:rsid w:val="00466553"/>
    <w:rsid w:val="004901E3"/>
    <w:rsid w:val="006C2119"/>
    <w:rsid w:val="0071557C"/>
    <w:rsid w:val="00750E32"/>
    <w:rsid w:val="00864382"/>
    <w:rsid w:val="0090423D"/>
    <w:rsid w:val="00987184"/>
    <w:rsid w:val="009C4F25"/>
    <w:rsid w:val="00A035C4"/>
    <w:rsid w:val="00A274B8"/>
    <w:rsid w:val="00AC4488"/>
    <w:rsid w:val="00B11E53"/>
    <w:rsid w:val="00C12DEC"/>
    <w:rsid w:val="00C32362"/>
    <w:rsid w:val="00C67A2E"/>
    <w:rsid w:val="00D34F03"/>
    <w:rsid w:val="00D43D91"/>
    <w:rsid w:val="00D73FD9"/>
    <w:rsid w:val="00E42357"/>
    <w:rsid w:val="00EA06D6"/>
    <w:rsid w:val="00F91F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26C0"/>
    <w:pPr>
      <w:suppressAutoHyphens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"/>
    <w:uiPriority w:val="9"/>
    <w:qFormat/>
    <w:rsid w:val="00C926C0"/>
    <w:pPr>
      <w:keepNext/>
      <w:spacing w:before="240" w:after="60"/>
      <w:outlineLvl w:val="0"/>
    </w:pPr>
    <w:rPr>
      <w:rFonts w:ascii="Book Antiqua" w:hAnsi="Book Antiqua" w:cs="Arial"/>
      <w:b/>
      <w:bCs/>
      <w:kern w:val="2"/>
      <w:sz w:val="20"/>
      <w:szCs w:val="32"/>
    </w:rPr>
  </w:style>
  <w:style w:type="paragraph" w:customStyle="1" w:styleId="Heading2">
    <w:name w:val="Heading 2"/>
    <w:basedOn w:val="Normalny"/>
    <w:link w:val="Nagwek2Znak"/>
    <w:uiPriority w:val="9"/>
    <w:qFormat/>
    <w:rsid w:val="00C926C0"/>
    <w:pPr>
      <w:keepNext/>
      <w:spacing w:before="120" w:after="120"/>
      <w:jc w:val="both"/>
      <w:outlineLvl w:val="1"/>
    </w:pPr>
    <w:rPr>
      <w:rFonts w:ascii="Book Antiqua" w:hAnsi="Book Antiqua"/>
      <w:b/>
      <w:sz w:val="20"/>
      <w:szCs w:val="20"/>
    </w:rPr>
  </w:style>
  <w:style w:type="paragraph" w:customStyle="1" w:styleId="Heading5">
    <w:name w:val="Heading 5"/>
    <w:basedOn w:val="Normalny"/>
    <w:next w:val="Normalny"/>
    <w:link w:val="Nagwek5Znak"/>
    <w:qFormat/>
    <w:rsid w:val="00C926C0"/>
    <w:pPr>
      <w:keepNext/>
      <w:keepLines/>
      <w:spacing w:after="120"/>
      <w:jc w:val="both"/>
      <w:outlineLvl w:val="4"/>
    </w:pPr>
    <w:rPr>
      <w:rFonts w:ascii="Book Antiqua" w:hAnsi="Book Antiqua" w:cs="Arial"/>
      <w:b/>
      <w:bCs/>
      <w:smallCaps/>
      <w:sz w:val="28"/>
      <w:szCs w:val="18"/>
    </w:rPr>
  </w:style>
  <w:style w:type="character" w:customStyle="1" w:styleId="Nagwek1Znak">
    <w:name w:val="Nagłówek 1 Znak"/>
    <w:basedOn w:val="Domylnaczcionkaakapitu"/>
    <w:link w:val="Heading1"/>
    <w:uiPriority w:val="9"/>
    <w:qFormat/>
    <w:rsid w:val="00C926C0"/>
    <w:rPr>
      <w:rFonts w:ascii="Book Antiqua" w:eastAsia="Times New Roman" w:hAnsi="Book Antiqua" w:cs="Arial"/>
      <w:b/>
      <w:bCs/>
      <w:kern w:val="2"/>
      <w:sz w:val="20"/>
      <w:szCs w:val="32"/>
      <w:lang w:eastAsia="pl-PL"/>
    </w:rPr>
  </w:style>
  <w:style w:type="character" w:customStyle="1" w:styleId="Nagwek2Znak">
    <w:name w:val="Nagłówek 2 Znak"/>
    <w:basedOn w:val="Domylnaczcionkaakapitu"/>
    <w:link w:val="Heading2"/>
    <w:uiPriority w:val="9"/>
    <w:qFormat/>
    <w:rsid w:val="00C926C0"/>
    <w:rPr>
      <w:rFonts w:ascii="Book Antiqua" w:eastAsia="Times New Roman" w:hAnsi="Book Antiqua" w:cs="Times New Roman"/>
      <w:b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Heading5"/>
    <w:qFormat/>
    <w:rsid w:val="00C926C0"/>
    <w:rPr>
      <w:rFonts w:ascii="Book Antiqua" w:eastAsia="Times New Roman" w:hAnsi="Book Antiqua" w:cs="Arial"/>
      <w:b/>
      <w:bCs/>
      <w:smallCaps/>
      <w:sz w:val="28"/>
      <w:szCs w:val="18"/>
      <w:lang w:eastAsia="pl-PL"/>
    </w:rPr>
  </w:style>
  <w:style w:type="character" w:customStyle="1" w:styleId="SST2Znak">
    <w:name w:val="SST_2 Znak"/>
    <w:basedOn w:val="Domylnaczcionkaakapitu"/>
    <w:link w:val="SST2"/>
    <w:qFormat/>
    <w:rsid w:val="00C926C0"/>
    <w:rPr>
      <w:rFonts w:ascii="Book Antiqua" w:eastAsia="Times New Roman" w:hAnsi="Book Antiqua" w:cs="Times New Roman"/>
      <w:b/>
      <w:sz w:val="24"/>
      <w:szCs w:val="20"/>
      <w:lang w:eastAsia="pl-PL"/>
    </w:rPr>
  </w:style>
  <w:style w:type="character" w:customStyle="1" w:styleId="Nagwek2Znak0">
    <w:name w:val="!Nagłówek 2 Znak"/>
    <w:qFormat/>
    <w:rsid w:val="00C926C0"/>
    <w:rPr>
      <w:rFonts w:ascii="Book Antiqua" w:eastAsia="Times New Roman" w:hAnsi="Book Antiqua" w:cs="Times New Roman"/>
      <w:b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C926C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C926C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andardowytekstZnak">
    <w:name w:val="Standardowy.tekst Znak"/>
    <w:qFormat/>
    <w:rsid w:val="00C32362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dymkaZnak">
    <w:name w:val="Tekst dymka Znak"/>
    <w:qFormat/>
    <w:rsid w:val="00C32362"/>
    <w:rPr>
      <w:rFonts w:ascii="Tahoma" w:eastAsia="Tahoma" w:hAnsi="Tahoma"/>
      <w:sz w:val="16"/>
      <w:szCs w:val="16"/>
      <w:lang w:eastAsia="pl-PL"/>
    </w:rPr>
  </w:style>
  <w:style w:type="character" w:customStyle="1" w:styleId="TekstpodstawowyZnak">
    <w:name w:val="Tekst podstawowy Znak"/>
    <w:qFormat/>
    <w:rsid w:val="00C32362"/>
    <w:rPr>
      <w:rFonts w:ascii="Times New Roman" w:eastAsia="Times New Roman" w:hAnsi="Times New Roman"/>
    </w:rPr>
  </w:style>
  <w:style w:type="paragraph" w:styleId="Nagwek">
    <w:name w:val="header"/>
    <w:basedOn w:val="Normalny"/>
    <w:next w:val="Tekstpodstawowy"/>
    <w:link w:val="NagwekZnak"/>
    <w:qFormat/>
    <w:rsid w:val="00C3236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C32362"/>
    <w:pPr>
      <w:spacing w:after="140" w:line="276" w:lineRule="auto"/>
    </w:pPr>
  </w:style>
  <w:style w:type="paragraph" w:styleId="Lista">
    <w:name w:val="List"/>
    <w:basedOn w:val="Tekstpodstawowy"/>
    <w:rsid w:val="00C32362"/>
    <w:rPr>
      <w:rFonts w:cs="Arial"/>
    </w:rPr>
  </w:style>
  <w:style w:type="paragraph" w:customStyle="1" w:styleId="Caption">
    <w:name w:val="Caption"/>
    <w:basedOn w:val="Normalny"/>
    <w:qFormat/>
    <w:rsid w:val="00C32362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C32362"/>
    <w:pPr>
      <w:suppressLineNumbers/>
    </w:pPr>
    <w:rPr>
      <w:rFonts w:cs="Arial"/>
    </w:rPr>
  </w:style>
  <w:style w:type="paragraph" w:customStyle="1" w:styleId="SST2">
    <w:name w:val="SST_2"/>
    <w:basedOn w:val="Normalny"/>
    <w:link w:val="SST2Znak"/>
    <w:qFormat/>
    <w:rsid w:val="00C926C0"/>
    <w:rPr>
      <w:rFonts w:ascii="Book Antiqua" w:hAnsi="Book Antiqua"/>
      <w:b/>
      <w:szCs w:val="20"/>
    </w:rPr>
  </w:style>
  <w:style w:type="paragraph" w:customStyle="1" w:styleId="Nagwek2">
    <w:name w:val="!Nagłówek 2"/>
    <w:basedOn w:val="Normalny"/>
    <w:next w:val="Normalny"/>
    <w:qFormat/>
    <w:rsid w:val="00C926C0"/>
    <w:rPr>
      <w:rFonts w:ascii="Book Antiqua" w:hAnsi="Book Antiqua"/>
      <w:b/>
      <w:szCs w:val="20"/>
    </w:rPr>
  </w:style>
  <w:style w:type="paragraph" w:customStyle="1" w:styleId="tekstost">
    <w:name w:val="tekst ost"/>
    <w:basedOn w:val="Normalny"/>
    <w:qFormat/>
    <w:rsid w:val="00C926C0"/>
    <w:pPr>
      <w:jc w:val="both"/>
    </w:pPr>
    <w:rPr>
      <w:sz w:val="20"/>
      <w:szCs w:val="20"/>
    </w:rPr>
  </w:style>
  <w:style w:type="paragraph" w:customStyle="1" w:styleId="Gwkaistopka">
    <w:name w:val="Główka i stopka"/>
    <w:basedOn w:val="Normalny"/>
    <w:qFormat/>
    <w:rsid w:val="00C32362"/>
  </w:style>
  <w:style w:type="paragraph" w:customStyle="1" w:styleId="Header">
    <w:name w:val="Header"/>
    <w:basedOn w:val="Normalny"/>
    <w:link w:val="NagwekZnak"/>
    <w:uiPriority w:val="99"/>
    <w:unhideWhenUsed/>
    <w:rsid w:val="00C926C0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Normalny"/>
    <w:link w:val="StopkaZnak"/>
    <w:uiPriority w:val="99"/>
    <w:unhideWhenUsed/>
    <w:rsid w:val="00C926C0"/>
    <w:pPr>
      <w:tabs>
        <w:tab w:val="center" w:pos="4536"/>
        <w:tab w:val="right" w:pos="9072"/>
      </w:tabs>
    </w:pPr>
  </w:style>
  <w:style w:type="paragraph" w:customStyle="1" w:styleId="StylIwony">
    <w:name w:val="Styl Iwony"/>
    <w:basedOn w:val="Normalny"/>
    <w:qFormat/>
    <w:rsid w:val="00C32362"/>
    <w:pPr>
      <w:spacing w:before="120" w:after="120"/>
      <w:jc w:val="both"/>
    </w:pPr>
    <w:rPr>
      <w:rFonts w:ascii="Bookman Old Style" w:eastAsia="Bookman Old Style" w:hAnsi="Bookman Old Style"/>
      <w:szCs w:val="20"/>
      <w:lang w:eastAsia="ar-SA"/>
    </w:rPr>
  </w:style>
  <w:style w:type="paragraph" w:customStyle="1" w:styleId="Standardowytekst">
    <w:name w:val="Standardowy.tekst"/>
    <w:qFormat/>
    <w:rsid w:val="00C32362"/>
    <w:pPr>
      <w:jc w:val="both"/>
    </w:pPr>
    <w:rPr>
      <w:rFonts w:ascii="Times New Roman" w:eastAsia="Liberation Serif" w:hAnsi="Times New Roman" w:cs="Liberation Serif"/>
      <w:kern w:val="2"/>
      <w:szCs w:val="20"/>
      <w:lang w:eastAsia="hi-IN"/>
    </w:rPr>
  </w:style>
  <w:style w:type="paragraph" w:styleId="Tekstdymka">
    <w:name w:val="Balloon Text"/>
    <w:basedOn w:val="Normalny"/>
    <w:qFormat/>
    <w:rsid w:val="00C32362"/>
    <w:rPr>
      <w:rFonts w:ascii="Tahoma" w:eastAsia="Tahoma" w:hAnsi="Tahoma"/>
      <w:sz w:val="16"/>
      <w:szCs w:val="16"/>
      <w:lang w:eastAsia="ar-SA"/>
    </w:rPr>
  </w:style>
  <w:style w:type="paragraph" w:styleId="Akapitzlist">
    <w:name w:val="List Paragraph"/>
    <w:basedOn w:val="Normalny"/>
    <w:qFormat/>
    <w:rsid w:val="00C3236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1646</Words>
  <Characters>9881</Characters>
  <Application>Microsoft Office Word</Application>
  <DocSecurity>0</DocSecurity>
  <Lines>82</Lines>
  <Paragraphs>23</Paragraphs>
  <ScaleCrop>false</ScaleCrop>
  <Company>HP</Company>
  <LinksUpToDate>false</LinksUpToDate>
  <CharactersWithSpaces>11504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Maciej Smoliga</cp:lastModifiedBy>
  <cp:revision>2</cp:revision>
  <dcterms:created xsi:type="dcterms:W3CDTF">2021-09-14T21:25:00Z</dcterms:created>
  <dcterms:modified xsi:type="dcterms:W3CDTF">2021-09-14T21:25:00Z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