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2F821F12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605D02">
        <w:rPr>
          <w:rFonts w:ascii="Arial" w:hAnsi="Arial" w:cs="Arial"/>
        </w:rPr>
        <w:t xml:space="preserve">Rozbiórka budynków gospodarczych </w:t>
      </w:r>
      <w:r w:rsidR="00BB7057">
        <w:rPr>
          <w:rFonts w:ascii="Arial" w:hAnsi="Arial" w:cs="Arial"/>
        </w:rPr>
        <w:t>na terenie</w:t>
      </w:r>
      <w:r w:rsidR="00605D02">
        <w:rPr>
          <w:rFonts w:ascii="Arial" w:hAnsi="Arial" w:cs="Arial"/>
        </w:rPr>
        <w:t xml:space="preserve"> DPS w Łubiu – etap I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281C67" w:rsidRPr="00C82716">
        <w:rPr>
          <w:rFonts w:ascii="Arial" w:hAnsi="Arial" w:cs="Arial"/>
        </w:rPr>
        <w:t>oświadczam, co</w:t>
      </w:r>
      <w:r w:rsidR="007F6671" w:rsidRPr="00C82716">
        <w:rPr>
          <w:rFonts w:ascii="Arial" w:hAnsi="Arial" w:cs="Arial"/>
        </w:rPr>
        <w:t xml:space="preserve">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3B47FBB2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A914A2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A914A2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A914A2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700193E9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692B64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15DC" w14:textId="77777777" w:rsidR="00692B64" w:rsidRDefault="00692B64" w:rsidP="00303CF1">
      <w:r>
        <w:separator/>
      </w:r>
    </w:p>
  </w:endnote>
  <w:endnote w:type="continuationSeparator" w:id="0">
    <w:p w14:paraId="0E838227" w14:textId="77777777" w:rsidR="00692B64" w:rsidRDefault="00692B6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D458" w14:textId="77777777" w:rsidR="00692B64" w:rsidRDefault="00692B64" w:rsidP="00303CF1">
      <w:r>
        <w:separator/>
      </w:r>
    </w:p>
  </w:footnote>
  <w:footnote w:type="continuationSeparator" w:id="0">
    <w:p w14:paraId="01FD9309" w14:textId="77777777" w:rsidR="00692B64" w:rsidRDefault="00692B6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4241"/>
    <w:rsid w:val="00057409"/>
    <w:rsid w:val="00085D5D"/>
    <w:rsid w:val="00090C6E"/>
    <w:rsid w:val="00096541"/>
    <w:rsid w:val="000A1772"/>
    <w:rsid w:val="000C56FD"/>
    <w:rsid w:val="000C6F74"/>
    <w:rsid w:val="000E6334"/>
    <w:rsid w:val="001143B2"/>
    <w:rsid w:val="001452E3"/>
    <w:rsid w:val="00153C32"/>
    <w:rsid w:val="0016175C"/>
    <w:rsid w:val="00186F17"/>
    <w:rsid w:val="001877B6"/>
    <w:rsid w:val="00187C72"/>
    <w:rsid w:val="00191FAB"/>
    <w:rsid w:val="00193647"/>
    <w:rsid w:val="0019686C"/>
    <w:rsid w:val="001A7D92"/>
    <w:rsid w:val="00211BAC"/>
    <w:rsid w:val="00222079"/>
    <w:rsid w:val="00275F04"/>
    <w:rsid w:val="00281C67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95D5D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05D02"/>
    <w:rsid w:val="006161C2"/>
    <w:rsid w:val="0064612A"/>
    <w:rsid w:val="0066570B"/>
    <w:rsid w:val="00676907"/>
    <w:rsid w:val="00691169"/>
    <w:rsid w:val="00692B64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11B70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2474"/>
    <w:rsid w:val="009747FC"/>
    <w:rsid w:val="009D11BF"/>
    <w:rsid w:val="009F6E0A"/>
    <w:rsid w:val="009F6E69"/>
    <w:rsid w:val="00A229E3"/>
    <w:rsid w:val="00A23991"/>
    <w:rsid w:val="00A40281"/>
    <w:rsid w:val="00A42BE9"/>
    <w:rsid w:val="00A50B37"/>
    <w:rsid w:val="00A914A2"/>
    <w:rsid w:val="00A93B33"/>
    <w:rsid w:val="00AE2FE6"/>
    <w:rsid w:val="00AF1FF4"/>
    <w:rsid w:val="00B46F54"/>
    <w:rsid w:val="00B93757"/>
    <w:rsid w:val="00BB70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DE76B9"/>
    <w:rsid w:val="00E51681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5</cp:revision>
  <cp:lastPrinted>2023-02-09T07:04:00Z</cp:lastPrinted>
  <dcterms:created xsi:type="dcterms:W3CDTF">2024-04-15T09:23:00Z</dcterms:created>
  <dcterms:modified xsi:type="dcterms:W3CDTF">2024-04-15T10:33:00Z</dcterms:modified>
</cp:coreProperties>
</file>