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E1D2C73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</w:t>
      </w:r>
      <w:r w:rsidR="00E76B39">
        <w:rPr>
          <w:rFonts w:ascii="Lato Light" w:hAnsi="Lato Light"/>
          <w:sz w:val="22"/>
          <w:szCs w:val="22"/>
        </w:rPr>
        <w:t>8</w:t>
      </w:r>
      <w:r w:rsidRPr="00857404">
        <w:rPr>
          <w:rFonts w:ascii="Lato Light" w:hAnsi="Lato Light"/>
          <w:sz w:val="22"/>
          <w:szCs w:val="22"/>
        </w:rPr>
        <w:t>-</w:t>
      </w:r>
      <w:r w:rsidR="00E76B39">
        <w:rPr>
          <w:rFonts w:ascii="Lato Light" w:hAnsi="Lato Light"/>
          <w:sz w:val="22"/>
          <w:szCs w:val="22"/>
        </w:rPr>
        <w:t>30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B1DF860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5E5F64">
        <w:rPr>
          <w:rFonts w:ascii="Lato Light" w:hAnsi="Lato Light" w:cs="Arial"/>
          <w:bCs/>
          <w:sz w:val="22"/>
          <w:szCs w:val="22"/>
        </w:rPr>
        <w:t>6</w:t>
      </w:r>
      <w:r w:rsidR="0026298E" w:rsidRPr="00857404">
        <w:rPr>
          <w:rFonts w:ascii="Lato Light" w:hAnsi="Lato Light" w:cs="Arial"/>
          <w:bCs/>
          <w:sz w:val="22"/>
          <w:szCs w:val="22"/>
        </w:rPr>
        <w:t>.</w:t>
      </w:r>
      <w:r w:rsidR="0039333A">
        <w:rPr>
          <w:rFonts w:ascii="Lato Light" w:hAnsi="Lato Light" w:cs="Arial"/>
          <w:bCs/>
          <w:sz w:val="22"/>
          <w:szCs w:val="22"/>
        </w:rPr>
        <w:t>3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25B02C39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>Wyjaśnienie</w:t>
      </w:r>
      <w:r w:rsidR="005B0A5D">
        <w:rPr>
          <w:rFonts w:ascii="Lato Light" w:hAnsi="Lato Light" w:cs="Arial"/>
          <w:b/>
          <w:sz w:val="22"/>
          <w:szCs w:val="22"/>
          <w:u w:val="single"/>
        </w:rPr>
        <w:t xml:space="preserve"> oraz zmiana </w:t>
      </w:r>
      <w:r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0F14FC6" w14:textId="4C1B0086" w:rsidR="00857404" w:rsidRPr="00857404" w:rsidRDefault="00E020BA" w:rsidP="005E5F6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5E5F64" w:rsidRPr="005E5F64">
        <w:rPr>
          <w:rFonts w:ascii="Lato Light" w:hAnsi="Lato Light" w:cs="Times New Roman"/>
          <w:sz w:val="22"/>
          <w:szCs w:val="22"/>
        </w:rPr>
        <w:t>Uporządkowanie infrastruktury podziemnej wraz z przebudową ul. Panoramicznej w Żninie</w:t>
      </w:r>
    </w:p>
    <w:p w14:paraId="4A5D1109" w14:textId="648E1EC4" w:rsidR="00857404" w:rsidRPr="00857404" w:rsidRDefault="00857404" w:rsidP="00857404">
      <w:pPr>
        <w:rPr>
          <w:rFonts w:ascii="Lato Light" w:hAnsi="Lato Light"/>
          <w:sz w:val="22"/>
          <w:szCs w:val="22"/>
        </w:rPr>
      </w:pPr>
    </w:p>
    <w:p w14:paraId="5A91B31B" w14:textId="6F636188" w:rsidR="003D2FFD" w:rsidRPr="00857404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0555EBFC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</w:t>
      </w:r>
      <w:r w:rsidR="009574B4">
        <w:rPr>
          <w:rFonts w:ascii="Lato Light" w:hAnsi="Lato Light" w:cs="Arial"/>
          <w:sz w:val="22"/>
          <w:szCs w:val="22"/>
        </w:rPr>
        <w:t>em</w:t>
      </w:r>
      <w:r w:rsidRPr="00857404">
        <w:rPr>
          <w:rFonts w:ascii="Lato Light" w:hAnsi="Lato Light" w:cs="Arial"/>
          <w:sz w:val="22"/>
          <w:szCs w:val="22"/>
        </w:rPr>
        <w:t xml:space="preserve"> dot.  treści SWZ, działając w trybie art. 284 ust. 2 </w:t>
      </w:r>
      <w:r w:rsidR="005B0A5D">
        <w:rPr>
          <w:rFonts w:ascii="Lato Light" w:hAnsi="Lato Light" w:cs="Arial"/>
          <w:sz w:val="22"/>
          <w:szCs w:val="22"/>
        </w:rPr>
        <w:t xml:space="preserve">oraz art. 286                                ust. </w:t>
      </w:r>
      <w:r w:rsidRPr="00857404">
        <w:rPr>
          <w:rFonts w:ascii="Lato Light" w:hAnsi="Lato Light" w:cs="Arial"/>
          <w:sz w:val="22"/>
          <w:szCs w:val="22"/>
        </w:rPr>
        <w:t xml:space="preserve">ustawy z dnia </w:t>
      </w:r>
      <w:r w:rsidR="005B0A5D">
        <w:rPr>
          <w:rFonts w:ascii="Lato Light" w:hAnsi="Lato Light" w:cs="Arial"/>
          <w:sz w:val="22"/>
          <w:szCs w:val="22"/>
        </w:rPr>
        <w:t xml:space="preserve"> </w:t>
      </w:r>
      <w:r w:rsidRPr="00857404">
        <w:rPr>
          <w:rFonts w:ascii="Lato Light" w:hAnsi="Lato Light" w:cs="Arial"/>
          <w:sz w:val="22"/>
          <w:szCs w:val="22"/>
        </w:rPr>
        <w:t>11 września 2019 r. Prawo zamówień publicznych (Dz. U. z 202</w:t>
      </w:r>
      <w:r w:rsidR="00E76B39">
        <w:rPr>
          <w:rFonts w:ascii="Lato Light" w:hAnsi="Lato Light" w:cs="Arial"/>
          <w:sz w:val="22"/>
          <w:szCs w:val="22"/>
        </w:rPr>
        <w:t>3</w:t>
      </w:r>
      <w:r w:rsidRPr="00857404">
        <w:rPr>
          <w:rFonts w:ascii="Lato Light" w:hAnsi="Lato Light" w:cs="Arial"/>
          <w:sz w:val="22"/>
          <w:szCs w:val="22"/>
        </w:rPr>
        <w:t>r. Poz. 1</w:t>
      </w:r>
      <w:r w:rsidR="00E76B39">
        <w:rPr>
          <w:rFonts w:ascii="Lato Light" w:hAnsi="Lato Light" w:cs="Arial"/>
          <w:sz w:val="22"/>
          <w:szCs w:val="22"/>
        </w:rPr>
        <w:t>605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>Zamawiający udziel</w:t>
      </w:r>
      <w:r w:rsidR="005B0A5D">
        <w:rPr>
          <w:rFonts w:ascii="Lato Light" w:hAnsi="Lato Light" w:cs="Arial"/>
          <w:sz w:val="22"/>
          <w:szCs w:val="22"/>
        </w:rPr>
        <w:t xml:space="preserve">a wyjaśnień oraz dokonuje zmiany SWZ w następującym zakresie: </w:t>
      </w: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671804E" w14:textId="24DC1C6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29448F12" w14:textId="3A1786C0" w:rsidR="00E76B39" w:rsidRPr="00E76B39" w:rsidRDefault="0039333A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1. </w:t>
      </w:r>
      <w:r w:rsidR="00E76B39"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Czy Zamawiający dopuszcza złożenie oferty na rozwiązania równoważne, zakładające</w:t>
      </w:r>
      <w:r w:rsid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="00E76B39"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wykorzystanie innych opraw oświetleniowych niż wskazane w SWZ? Zarówno jeśli</w:t>
      </w:r>
      <w:r w:rsid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="00E76B39"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chodzi o ich moc, strumień świetlny jak i ilość. Przy jednoczesnej poprawie zakładanych</w:t>
      </w:r>
      <w:r w:rsid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="00E76B39"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parametrów oświetlenia.</w:t>
      </w:r>
    </w:p>
    <w:p w14:paraId="08502052" w14:textId="72F13D2B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Zwracamy uwagę na bardzo niską równomierność oświetlenia boisk, wykazaną w projektach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co powodować będzie dyskomfort użytkowników. Jednocześnie oprawy o tak dużej mocy,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będą powodowały duży efekt olśnienia.</w:t>
      </w:r>
    </w:p>
    <w:p w14:paraId="395E7310" w14:textId="2F690E81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Dla porównania: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(projekt)</w:t>
      </w:r>
    </w:p>
    <w:p w14:paraId="7770FEB5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Boisko sportowe przy SP 2 w Żninie. Boisko główne.</w:t>
      </w:r>
    </w:p>
    <w:p w14:paraId="44E8540C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Projekt: 12 opraw 300W. Łączne pobór mocy: 3600W</w:t>
      </w:r>
    </w:p>
    <w:p w14:paraId="1FED3896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Średnie natężenie oświetlenia (Em) – 83 lx</w:t>
      </w:r>
    </w:p>
    <w:p w14:paraId="6AA09F5E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Równomierność: Emin/Em – 0,54 Emin/Emax – 0,35</w:t>
      </w:r>
    </w:p>
    <w:p w14:paraId="2F0EC0ED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Optymalne rozwiązanie:</w:t>
      </w:r>
    </w:p>
    <w:p w14:paraId="640C0D87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Boisko przy SP 2 w Żninie. Boisko główne.</w:t>
      </w:r>
    </w:p>
    <w:p w14:paraId="3D6FCE2F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16 opraw 100W. Łączne pobór mocy: 1600W</w:t>
      </w:r>
    </w:p>
    <w:p w14:paraId="0545A843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Średnie natężenie oświetlenia (Em) – 104 lx</w:t>
      </w:r>
    </w:p>
    <w:p w14:paraId="6BD385BB" w14:textId="5C54B4E1" w:rsidR="0039333A" w:rsidRPr="0039333A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Równomierność: Emin/Em – 0,82 Emin/Emax – 0,72</w:t>
      </w:r>
    </w:p>
    <w:p w14:paraId="69445661" w14:textId="73B5CAA4" w:rsidR="0039333A" w:rsidRDefault="0039333A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</w:p>
    <w:p w14:paraId="531975EA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W związku z powyższym, proponujemy wprowadzenie następujących zapisów:</w:t>
      </w:r>
    </w:p>
    <w:p w14:paraId="12CD6136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1. Wykonawca odpowiedzialny jest za dobór ilości i typu opraw na poszczególnych</w:t>
      </w:r>
    </w:p>
    <w:p w14:paraId="6C1707DE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obiektach, w celu zapewnienia oświetlenia zgodnego z wymaganiami PN i</w:t>
      </w:r>
    </w:p>
    <w:p w14:paraId="4A95B2C7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oczekiwaniami Zamawiającego.</w:t>
      </w:r>
    </w:p>
    <w:p w14:paraId="6BF8621E" w14:textId="77777777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2. Spełnienie określonych wymagań co do oświetlenia powinno być potwierdzone</w:t>
      </w:r>
    </w:p>
    <w:p w14:paraId="1CAA1D9F" w14:textId="32D91355" w:rsidR="0039333A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przedstawieniem projektów w programie </w:t>
      </w:r>
      <w:proofErr w:type="spellStart"/>
      <w:r w:rsidRPr="00E76B39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Dialux</w:t>
      </w:r>
      <w:proofErr w:type="spellEnd"/>
    </w:p>
    <w:p w14:paraId="1B0F5A73" w14:textId="77777777" w:rsid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9953542" w14:textId="200D32E5" w:rsidR="0039333A" w:rsidRDefault="0039333A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Odpowiedź: </w:t>
      </w:r>
      <w:r w:rsidR="00E76B39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Zamawiający pozostawia zapisy SWZ bez zmian. Liczba opraw musi odpowiadać wskazanej przez Zamawiającego w dokumentacji. Ponadto  w treści SWZ wskazano, że: </w:t>
      </w:r>
    </w:p>
    <w:p w14:paraId="21EB146C" w14:textId="18CE6764" w:rsidR="00E76B39" w:rsidRPr="00E76B39" w:rsidRDefault="00E76B39" w:rsidP="00E76B3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</w:pPr>
      <w:r w:rsidRPr="00E76B39"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 xml:space="preserve">dopuszcza się inne rozwiązania, niż podane </w:t>
      </w:r>
      <w:r w:rsidRPr="00E76B39"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 xml:space="preserve"> </w:t>
      </w:r>
      <w:r w:rsidRPr="00E76B39"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>w dokumentacji projektowej, pod warunkiem zagwarantowania równorzędnych parametrów technicznyc</w:t>
      </w:r>
      <w:r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>h</w:t>
      </w:r>
      <w:r w:rsidRPr="00E76B39"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 xml:space="preserve">  </w:t>
      </w:r>
      <w:r w:rsidRPr="00E76B39"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  <w:t>i technologicznych nie gorszych niż określone w dokumentacji oraz zgodność z obowiązującymi wymaganiami prawnymi.</w:t>
      </w:r>
    </w:p>
    <w:p w14:paraId="6D81BC14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0EFE0B2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8CE4858" w14:textId="0D5B5CAF" w:rsidR="00DB3209" w:rsidRPr="00DB3209" w:rsidRDefault="00E76B39" w:rsidP="00AF7AA4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>
        <w:rPr>
          <w:rFonts w:ascii="Lato Light" w:hAnsi="Lato Light" w:cs="Arial"/>
          <w:b/>
          <w:bCs/>
          <w:sz w:val="22"/>
          <w:szCs w:val="22"/>
        </w:rPr>
        <w:t>2.</w:t>
      </w:r>
      <w:r w:rsidR="00DB3209" w:rsidRPr="00DB3209">
        <w:rPr>
          <w:rFonts w:ascii="DejaVuSansCondensed" w:eastAsiaTheme="minorHAnsi" w:hAnsi="DejaVuSansCondensed" w:cs="DejaVuSansCondensed"/>
          <w:color w:val="666666"/>
          <w:kern w:val="0"/>
          <w:sz w:val="19"/>
          <w:szCs w:val="19"/>
          <w:lang w:eastAsia="en-US" w:bidi="ar-SA"/>
        </w:rPr>
        <w:t xml:space="preserve"> </w:t>
      </w:r>
      <w:r w:rsidR="00DB3209">
        <w:rPr>
          <w:rFonts w:ascii="DejaVuSansCondensed" w:eastAsiaTheme="minorHAnsi" w:hAnsi="DejaVuSansCondensed" w:cs="DejaVuSansCondensed"/>
          <w:color w:val="666666"/>
          <w:kern w:val="0"/>
          <w:sz w:val="19"/>
          <w:szCs w:val="19"/>
          <w:lang w:eastAsia="en-US" w:bidi="ar-SA"/>
        </w:rPr>
        <w:t xml:space="preserve"> </w:t>
      </w:r>
      <w:r w:rsidR="00DB3209"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W postępowaniu są do modernizacji 3 boiska Orlik. Do boisk SP1 i SP2 są dodane</w:t>
      </w:r>
    </w:p>
    <w:p w14:paraId="5B4EF61F" w14:textId="66411A22" w:rsidR="00DB3209" w:rsidRDefault="00DB3209" w:rsidP="00AF7AA4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obliczenia parametrów oświetleniowych jednak także brakuje wymiarów boisk i posadowienia słupów. Do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boiska MOSIR w pliku brakuje dokładnych obliczeń i wymiarów podanych w formie jednoznacznej,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zarówno posadowienia słupów jak i boiska. Nie można zatem wykonać obliczeń aby móc udowodnić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poprawność oferowanych opraw i dobranie odpowiednich optyk. Wnosimy o dodanie obliczeń w których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będą podane wymiary i usadowienie słupów tak aby można było wykonać obliczenia.</w:t>
      </w:r>
    </w:p>
    <w:p w14:paraId="5EBF26D1" w14:textId="77777777" w:rsidR="00AF7AA4" w:rsidRDefault="00AF7AA4" w:rsidP="00AF7AA4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0F22B812" w14:textId="77777777" w:rsidR="002D26C8" w:rsidRPr="002D26C8" w:rsidRDefault="00AF7AA4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AF7AA4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Odpowiedź: </w:t>
      </w:r>
      <w:r w:rsidR="002D26C8"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>w dokumentacji technicznej obiektów sportowych znajdują się wymiary poszczególnych obiektów sportowych oraz rozmieszczenie słupów oświetleniowych. Plan zagospodarowania terenu wykonany jest w skali 1:500 (ponadto mamy rysunki pomocnicze na podstawie, których można wyznaczyć długość i szerokość obiektów).</w:t>
      </w:r>
    </w:p>
    <w:p w14:paraId="41FC3852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04097AF5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>1. MOS- boisko do piłki koszykowej 32,00 : 62,00 m;</w:t>
      </w:r>
    </w:p>
    <w:p w14:paraId="7ABEC252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0331C246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 MOS - boisko do piłki nożnej 64,00 : 30,00 m </w:t>
      </w:r>
    </w:p>
    <w:p w14:paraId="26F69BEC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5DC871D2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 słupy oświetleniowe znajduję  w samych narożnikach przedmiotowych obiektów sportowych, w przypadku boiska do piłki nożnej mamy dwa słup na środku boiska tj. 32,00m</w:t>
      </w:r>
    </w:p>
    <w:p w14:paraId="6DC361E6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7B8FA1DF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>2. SP 2</w:t>
      </w:r>
    </w:p>
    <w:p w14:paraId="5041E8D0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0B8D56B2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Boisko do piłki nożnej 62,00 : 30,00 m;</w:t>
      </w:r>
    </w:p>
    <w:p w14:paraId="4843AA0E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66DFA82F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Boisko do piłki koszykowej 20,00 : 30,00 m;</w:t>
      </w:r>
    </w:p>
    <w:p w14:paraId="2D440FC2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271D428C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>3. SP 1</w:t>
      </w:r>
    </w:p>
    <w:p w14:paraId="288EA9C3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04135A76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 Boisko do piłki nożnej 64,00 : 32,00 m</w:t>
      </w:r>
    </w:p>
    <w:p w14:paraId="75821251" w14:textId="77777777" w:rsidR="002D26C8" w:rsidRP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221D663E" w14:textId="1A05A923" w:rsidR="00AF7AA4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2D26C8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    Boisko do piłki koszykowej 50,00 : 30,00 m</w:t>
      </w:r>
    </w:p>
    <w:p w14:paraId="1310964F" w14:textId="77777777" w:rsidR="002D26C8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</w:p>
    <w:p w14:paraId="4D1ACBB7" w14:textId="5A319339" w:rsidR="002D26C8" w:rsidRPr="00AF7AA4" w:rsidRDefault="002D26C8" w:rsidP="002D26C8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 xml:space="preserve">W załączeniu aktualna  dokumentacja  dot. MOS. </w:t>
      </w:r>
    </w:p>
    <w:p w14:paraId="1307DBE9" w14:textId="77777777" w:rsidR="00DB3209" w:rsidRDefault="00DB3209" w:rsidP="00DB3209">
      <w:pPr>
        <w:widowControl/>
        <w:suppressAutoHyphens w:val="0"/>
        <w:autoSpaceDE w:val="0"/>
        <w:autoSpaceDN w:val="0"/>
        <w:adjustRightInd w:val="0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1DDF9477" w14:textId="6FED97C4" w:rsidR="0039333A" w:rsidRDefault="00DB320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704B79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  <w:t>3.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Zamawiający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podał czas wykonania zamówienia 25 dni. Prawidłowe wykonanie zadania zgodnie z obliczeniami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parametrów oświetleniowych wymaga dobrania projektorów o różnej optyce i mocy. Renomowani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producenci projektorów maja ograniczona ilość produktów na magazynach i to raczej małych mocy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opraw. Czas produkcji to minimum 4-5 tygodni. Nie ma zatem możliwości wykonania zadania w 25 dni.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Tego typu zapis ogranicza możliwości zastosowania projektorów tylko do producenta który właśnie akurat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</w:t>
      </w:r>
      <w:r w:rsidRPr="00DB320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te ma na magazynie dostępne „od ręki”. Wnosimy o zamianę terminu do 60 dni.</w:t>
      </w:r>
    </w:p>
    <w:p w14:paraId="14533093" w14:textId="77777777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6FF11D49" w14:textId="476FC792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Odpowiedź: Zamawiający dokonuje zmiany SWZ w zakresie cz. II pkt 3:</w:t>
      </w:r>
    </w:p>
    <w:p w14:paraId="31E8B380" w14:textId="77777777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3ECB59A9" w14:textId="142F9C6F" w:rsidR="00704B79" w:rsidRP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</w:pPr>
      <w:r w:rsidRPr="00704B79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  <w:t>Jest:</w:t>
      </w:r>
    </w:p>
    <w:p w14:paraId="33580323" w14:textId="1B0FB63F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Termin wykonania zamówienia: do 25  dni  od daty zawarcia umowy.</w:t>
      </w:r>
    </w:p>
    <w:p w14:paraId="6B991531" w14:textId="77777777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1E8D0BA2" w14:textId="200FF714" w:rsidR="00704B79" w:rsidRP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</w:pPr>
      <w:r w:rsidRPr="00704B79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  <w:t xml:space="preserve">Zmienia się na: </w:t>
      </w:r>
    </w:p>
    <w:p w14:paraId="049FB304" w14:textId="49277761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Termin wykonania zamówienia: do </w:t>
      </w:r>
      <w:r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30</w:t>
      </w: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 dni  od daty zawarcia umowy.</w:t>
      </w:r>
    </w:p>
    <w:p w14:paraId="4AA9692C" w14:textId="77777777" w:rsidR="002D26C8" w:rsidRPr="00DB3209" w:rsidRDefault="002D26C8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3D66A06B" w14:textId="25250C74" w:rsidR="00857404" w:rsidRDefault="00857404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915B5FF" w14:textId="77777777" w:rsid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57B7E33" w14:textId="0C4FE744" w:rsidR="00740421" w:rsidRP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lastRenderedPageBreak/>
        <w:t>4</w:t>
      </w:r>
      <w:r w:rsidRPr="00740421">
        <w:rPr>
          <w:rFonts w:ascii="Lato Light" w:hAnsi="Lato Light" w:cs="Arial"/>
          <w:sz w:val="22"/>
          <w:szCs w:val="22"/>
        </w:rPr>
        <w:t>.</w:t>
      </w:r>
      <w:r w:rsidRPr="00740421">
        <w:rPr>
          <w:rFonts w:ascii="Lato Light" w:hAnsi="Lato Light" w:cs="Arial"/>
          <w:sz w:val="22"/>
          <w:szCs w:val="22"/>
        </w:rPr>
        <w:t xml:space="preserve"> W cz. II SWZ, pkt 1.1, Zamawiający „żąda przedłożenia wraz z ofertą: (…) b)certyfikaty potwierdzające zgodność z normą PN-EN 12193 dla klasy III oświetlenia obiektów sportowych”. Czy Wykonawca słusznie interpretuje, że chodzi o złożenie obliczeń fotometrycznych wykonanych w programie takim jak DIALUX, RELUX? Dysponując danymi wsadowymi dobiera się oświetlenie w sposób gwarantujący spełnienie wspomnianej normy; nie ma natomiast certyfikatów, które potwierdzają taką zgodność, gdyż wykonanie oświetlenia obiektów sportowych zgodnie z zasadami sztuki zależy od wielu indywidualnych czynników danej inwestycji. W związku z powyższym Wykonawca zwraca się również o udostępnienie danych liczbowych, rzutów etc. etc., uzupełnienie brakujących załączników (dokumentacja, przedmiary bądź inne po weryfikacji przez Zamawiającego), które umożliwią wykonanie stosownych obliczeń i tym samym udowodnią spełnienie założeń normy PN-EN 12193 dla klasy III oświetlenia obiektów sportowych.</w:t>
      </w:r>
    </w:p>
    <w:p w14:paraId="066AF0C6" w14:textId="77777777" w:rsid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3004096" w14:textId="5AD741B7" w:rsid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Odpowiedź:</w:t>
      </w:r>
      <w:r w:rsidR="00704B79">
        <w:rPr>
          <w:rFonts w:ascii="Lato Light" w:hAnsi="Lato Light" w:cs="Arial"/>
          <w:b/>
          <w:bCs/>
          <w:sz w:val="22"/>
          <w:szCs w:val="22"/>
        </w:rPr>
        <w:t xml:space="preserve"> </w:t>
      </w:r>
      <w:r w:rsidR="00704B79" w:rsidRPr="00704B79">
        <w:rPr>
          <w:rFonts w:ascii="Lato Light" w:hAnsi="Lato Light" w:cs="Arial"/>
          <w:sz w:val="22"/>
          <w:szCs w:val="22"/>
        </w:rPr>
        <w:t>załączniki zostały zamieszczone na stronie prowadzonego postępowania.</w:t>
      </w:r>
      <w:r w:rsidR="00704B79">
        <w:rPr>
          <w:rFonts w:ascii="Lato Light" w:hAnsi="Lato Light" w:cs="Arial"/>
          <w:b/>
          <w:bCs/>
          <w:sz w:val="22"/>
          <w:szCs w:val="22"/>
        </w:rPr>
        <w:t xml:space="preserve"> </w:t>
      </w:r>
      <w:r>
        <w:rPr>
          <w:rFonts w:ascii="Lato Light" w:hAnsi="Lato Light" w:cs="Arial"/>
          <w:b/>
          <w:bCs/>
          <w:sz w:val="22"/>
          <w:szCs w:val="22"/>
        </w:rPr>
        <w:t xml:space="preserve"> </w:t>
      </w:r>
      <w:r w:rsidRPr="00740421">
        <w:rPr>
          <w:rFonts w:ascii="Lato Light" w:hAnsi="Lato Light" w:cs="Arial"/>
          <w:sz w:val="22"/>
          <w:szCs w:val="22"/>
        </w:rPr>
        <w:t>Zamawiający wymaga przedłożenia stosownych obliczeń fotometrycznych</w:t>
      </w:r>
      <w:r w:rsidR="002D26C8">
        <w:rPr>
          <w:rFonts w:ascii="Lato Light" w:hAnsi="Lato Light" w:cs="Arial"/>
          <w:sz w:val="22"/>
          <w:szCs w:val="22"/>
        </w:rPr>
        <w:t xml:space="preserve"> w </w:t>
      </w:r>
      <w:r w:rsidR="002D26C8" w:rsidRPr="002D26C8">
        <w:rPr>
          <w:rFonts w:ascii="Lato Light" w:hAnsi="Lato Light" w:cs="Arial"/>
          <w:sz w:val="22"/>
          <w:szCs w:val="22"/>
        </w:rPr>
        <w:t>programie takim jak</w:t>
      </w:r>
      <w:r w:rsidR="00D054E2">
        <w:rPr>
          <w:rFonts w:ascii="Lato Light" w:hAnsi="Lato Light" w:cs="Arial"/>
          <w:sz w:val="22"/>
          <w:szCs w:val="22"/>
        </w:rPr>
        <w:t xml:space="preserve"> np. </w:t>
      </w:r>
      <w:r w:rsidR="002D26C8" w:rsidRPr="002D26C8">
        <w:rPr>
          <w:rFonts w:ascii="Lato Light" w:hAnsi="Lato Light" w:cs="Arial"/>
          <w:sz w:val="22"/>
          <w:szCs w:val="22"/>
        </w:rPr>
        <w:t xml:space="preserve"> DIALUX, RELUX</w:t>
      </w:r>
      <w:r w:rsidRPr="00740421">
        <w:rPr>
          <w:rFonts w:ascii="Lato Light" w:hAnsi="Lato Light" w:cs="Arial"/>
          <w:sz w:val="22"/>
          <w:szCs w:val="22"/>
        </w:rPr>
        <w:t xml:space="preserve"> na podstawie których zostaną dobrane i zamontowane oprawy spełniające wymagania definiowane normą PN-EN 12193 dla klasy III oświetlenia boisk sportowych.</w:t>
      </w:r>
    </w:p>
    <w:p w14:paraId="7B479885" w14:textId="77777777" w:rsidR="00704B79" w:rsidRPr="00740421" w:rsidRDefault="00704B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4CB6CCA" w14:textId="35CEE481" w:rsid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W związku z powyższym zmianie ulega treść SWZ w zakresie</w:t>
      </w:r>
      <w:r w:rsidR="00704B79">
        <w:rPr>
          <w:rFonts w:ascii="Lato Light" w:hAnsi="Lato Light" w:cs="Arial"/>
          <w:b/>
          <w:bCs/>
          <w:sz w:val="22"/>
          <w:szCs w:val="22"/>
        </w:rPr>
        <w:t xml:space="preserve"> cz. II pkt 1 </w:t>
      </w:r>
      <w:proofErr w:type="spellStart"/>
      <w:r w:rsidR="00704B79">
        <w:rPr>
          <w:rFonts w:ascii="Lato Light" w:hAnsi="Lato Light" w:cs="Arial"/>
          <w:b/>
          <w:bCs/>
          <w:sz w:val="22"/>
          <w:szCs w:val="22"/>
        </w:rPr>
        <w:t>ppkt</w:t>
      </w:r>
      <w:proofErr w:type="spellEnd"/>
      <w:r w:rsidR="00704B79">
        <w:rPr>
          <w:rFonts w:ascii="Lato Light" w:hAnsi="Lato Light" w:cs="Arial"/>
          <w:b/>
          <w:bCs/>
          <w:sz w:val="22"/>
          <w:szCs w:val="22"/>
        </w:rPr>
        <w:t xml:space="preserve"> 1.1: </w:t>
      </w:r>
    </w:p>
    <w:p w14:paraId="54665C99" w14:textId="77777777" w:rsidR="00704B79" w:rsidRDefault="00704B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4409E436" w14:textId="43467BDB" w:rsidR="00704B79" w:rsidRPr="00704B79" w:rsidRDefault="00704B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704B79">
        <w:rPr>
          <w:rFonts w:ascii="Lato Light" w:hAnsi="Lato Light" w:cs="Arial"/>
          <w:b/>
          <w:bCs/>
          <w:sz w:val="22"/>
          <w:szCs w:val="22"/>
          <w:u w:val="single"/>
        </w:rPr>
        <w:t>Jest:</w:t>
      </w:r>
    </w:p>
    <w:p w14:paraId="28F4C580" w14:textId="77777777" w:rsidR="00704B79" w:rsidRPr="00704B79" w:rsidRDefault="00704B79" w:rsidP="00704B79">
      <w:pPr>
        <w:widowControl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="Lato Light" w:eastAsiaTheme="minorHAnsi" w:hAnsi="Lato Light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704B79">
        <w:rPr>
          <w:rFonts w:ascii="Lato Light" w:eastAsiaTheme="minorHAnsi" w:hAnsi="Lato Light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 xml:space="preserve">Przedmiotowe środki dowodowe w odniesieniu do każdej z części </w:t>
      </w:r>
    </w:p>
    <w:p w14:paraId="51499AC3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0"/>
          <w:szCs w:val="20"/>
          <w:lang w:val="pl" w:eastAsia="pl-PL" w:bidi="ar-SA"/>
        </w:rPr>
      </w:pPr>
      <w:r w:rsidRPr="00704B79">
        <w:rPr>
          <w:rFonts w:ascii="Lato Light" w:eastAsia="Arial" w:hAnsi="Lato Light" w:cs="Arial"/>
          <w:kern w:val="0"/>
          <w:sz w:val="20"/>
          <w:szCs w:val="20"/>
          <w:lang w:val="pl" w:eastAsia="pl-PL" w:bidi="ar-SA"/>
        </w:rPr>
        <w:t xml:space="preserve">Zamawiający żąda  przedłożenia wraz z ofertą : </w:t>
      </w:r>
    </w:p>
    <w:p w14:paraId="0FC30DD3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 xml:space="preserve">a)certyfikaty  potwierdzające  zgodność  z europejską dyrektywą niskonapięciową 2014/35/UE. </w:t>
      </w:r>
    </w:p>
    <w:p w14:paraId="48F6091B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b)certyfikaty  potwierdzające zgodność z normą PN-EN 12193  dla klasy III oświetlenia obiektów sportowych.</w:t>
      </w:r>
    </w:p>
    <w:p w14:paraId="21C82627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c) karty techniczne/katalogowe  urządzeń zawierające dane pozwalające na potwierdzenie  cech wskazanych w opisie przedmiotu zamówienia w SWZ</w:t>
      </w:r>
    </w:p>
    <w:p w14:paraId="166C7BBD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Wszystkie ww. dokumenty powinny być sporządzone w języku polskim, a w przypadku dokumentów sporządzonych w innych językach, powinny zawierać tłumaczenie na język polski.</w:t>
      </w:r>
    </w:p>
    <w:p w14:paraId="5AD3C5C5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lang w:val="pl" w:eastAsia="pl-PL" w:bidi="ar-SA"/>
        </w:rPr>
        <w:t>Przedmiotowe środki dowodowe należy złożyć we właściwej formie wskazanej w §2 ust. 1 rozporządzenia Prezesa Rady Ministrów z 30.12.2020 r. w sprawie sposobu sporządzania                            i przekazywania informacji oraz wymagań technicznych dla dokumentów elektronicznych oraz środków komunikacji elektronicznej w postępowaniu o udzielenie zamówienia publicznego lub konkursie (Dz. U. poz. 2452),  czyli  przedmiotowe środki dowodowe co do zasady sporządza się w postaci elektronicznej, w formatach danych określonych w przepisach wydanych na podstawie art. 18 ustawy z 17.02.2005 r. o informatyzacji działalności podmiotów realizujących zadania publiczne (Dz. U. z 2021 r. poz. 2070), natomiast § 7 ust. 1ww.  rozporządzenia  wskazuje,  że</w:t>
      </w: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przedmiotowe środki dowodowe, przekazuje się w postaci elektronicznej i opatruje się kwalifikowanym podpisem elektronicznym, lub podpisem zaufanym lub podpisem osobistym.</w:t>
      </w:r>
    </w:p>
    <w:p w14:paraId="0956F4AE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</w:pP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Złożenie  przedmiotowego środka dowodowego nieopatrzonego właściwym podpisem uznaje się za niezłożenie takiego środka w ogóle.</w:t>
      </w:r>
    </w:p>
    <w:p w14:paraId="67F57014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04B79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Jeżeli Wykonawca nie złożył przedmiotowych środków dowodowych lub złożone przedmiotowe środki dowodowe są niekompletne, Zamawiający wzywa do ich złożenia lub uzupełnienia w </w:t>
      </w:r>
      <w:r w:rsidRPr="00704B79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lastRenderedPageBreak/>
        <w:t xml:space="preserve">wyznaczonym terminie, o ile przedmiotowy środek dowodowy nie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4DD9AA4C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04B79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Zamawiający może żądać od Wykonawców wyjaśnień dotyczących treści przedmiotowych środków dowodowych.</w:t>
      </w:r>
    </w:p>
    <w:p w14:paraId="62B0A76C" w14:textId="6297B64C" w:rsidR="00704B79" w:rsidRDefault="00704B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704B79">
        <w:rPr>
          <w:rFonts w:ascii="Lato Light" w:hAnsi="Lato Light" w:cs="Arial"/>
          <w:b/>
          <w:bCs/>
          <w:sz w:val="22"/>
          <w:szCs w:val="22"/>
          <w:u w:val="single"/>
        </w:rPr>
        <w:t xml:space="preserve">Zmienia się na: </w:t>
      </w:r>
    </w:p>
    <w:p w14:paraId="4156525D" w14:textId="77777777" w:rsidR="00704B79" w:rsidRPr="00704B79" w:rsidRDefault="00704B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</w:p>
    <w:p w14:paraId="418D4A84" w14:textId="77777777" w:rsidR="00704B79" w:rsidRDefault="00704B79" w:rsidP="00704B79">
      <w:pPr>
        <w:widowControl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="Lato Light" w:eastAsiaTheme="minorHAnsi" w:hAnsi="Lato Light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704B79">
        <w:rPr>
          <w:rFonts w:ascii="Lato Light" w:eastAsiaTheme="minorHAnsi" w:hAnsi="Lato Light" w:cs="Times New Roman"/>
          <w:b/>
          <w:bCs/>
          <w:kern w:val="2"/>
          <w:sz w:val="22"/>
          <w:szCs w:val="22"/>
          <w:lang w:eastAsia="en-US" w:bidi="ar-SA"/>
          <w14:ligatures w14:val="standardContextual"/>
        </w:rPr>
        <w:t xml:space="preserve">Przedmiotowe środki dowodowe w odniesieniu do każdej z części </w:t>
      </w:r>
    </w:p>
    <w:p w14:paraId="6B6EA118" w14:textId="683191E0" w:rsidR="00704B79" w:rsidRPr="00704B79" w:rsidRDefault="00704B79" w:rsidP="00704B79">
      <w:pPr>
        <w:widowControl/>
        <w:suppressAutoHyphens w:val="0"/>
        <w:spacing w:line="360" w:lineRule="auto"/>
        <w:contextualSpacing/>
        <w:jc w:val="both"/>
        <w:rPr>
          <w:rFonts w:ascii="Lato Light" w:eastAsiaTheme="minorHAnsi" w:hAnsi="Lato Light" w:cs="Times New Roman"/>
          <w:kern w:val="2"/>
          <w:sz w:val="20"/>
          <w:szCs w:val="20"/>
          <w:lang w:eastAsia="en-US" w:bidi="ar-SA"/>
          <w14:ligatures w14:val="standardContextual"/>
        </w:rPr>
      </w:pPr>
      <w:r w:rsidRPr="00704B79">
        <w:rPr>
          <w:rFonts w:ascii="Lato Light" w:eastAsiaTheme="minorHAnsi" w:hAnsi="Lato Light" w:cs="Times New Roman"/>
          <w:kern w:val="2"/>
          <w:sz w:val="20"/>
          <w:szCs w:val="20"/>
          <w:lang w:eastAsia="en-US" w:bidi="ar-SA"/>
          <w14:ligatures w14:val="standardContextual"/>
        </w:rPr>
        <w:t>a)</w:t>
      </w:r>
      <w:r w:rsidRPr="00704B79">
        <w:rPr>
          <w:rFonts w:ascii="Lato Light" w:eastAsiaTheme="minorHAnsi" w:hAnsi="Lato Light" w:cs="Times New Roman"/>
          <w:kern w:val="2"/>
          <w:sz w:val="20"/>
          <w:szCs w:val="20"/>
          <w:lang w:eastAsia="en-US" w:bidi="ar-SA"/>
          <w14:ligatures w14:val="standardContextual"/>
        </w:rPr>
        <w:t>Zamawiający wymaga przedłożenia stosownych obliczeń fotometrycznych na podstawie których zostaną dobrane i zamontowane oprawy spełniające wymagania definiowane normą PN-EN 12193 dla klasy III oświetlenia boisk sportowych.</w:t>
      </w:r>
    </w:p>
    <w:p w14:paraId="4E62ADDD" w14:textId="5218322A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b</w:t>
      </w: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) karty techniczne/katalogowe  urządzeń zawierające dane pozwalające na potwierdzenie  cech wskazanych w opisie przedmiotu zamówienia w SWZ</w:t>
      </w:r>
    </w:p>
    <w:p w14:paraId="3AB4DDB6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  <w:t>Wszystkie ww. dokumenty powinny być sporządzone w języku polskim, a w przypadku dokumentów sporządzonych w innych językach, powinny zawierać tłumaczenie na język polski.</w:t>
      </w:r>
    </w:p>
    <w:p w14:paraId="47AA7492" w14:textId="77777777" w:rsidR="00704B79" w:rsidRPr="00704B79" w:rsidRDefault="00704B79" w:rsidP="00704B79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0"/>
          <w:szCs w:val="20"/>
          <w:lang w:eastAsia="pl-PL" w:bidi="ar-SA"/>
        </w:rPr>
      </w:pP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lang w:val="pl" w:eastAsia="pl-PL" w:bidi="ar-SA"/>
        </w:rPr>
        <w:t>Przedmiotowe środki dowodowe należy złożyć we właściwej formie wskazanej w §2 ust. 1 rozporządzenia Prezesa Rady Ministrów z 30.12.2020 r. w sprawie sposobu sporządzania                            i przekazywania informacji oraz wymagań technicznych dla dokumentów elektronicznych oraz środków komunikacji elektronicznej w postępowaniu o udzielenie zamówienia publicznego lub konkursie (Dz. U. poz. 2452),  czyli  przedmiotowe środki dowodowe co do zasady sporządza się w postaci elektronicznej, w formatach danych określonych w przepisach wydanych na podstawie art. 18 ustawy z 17.02.2005 r. o informatyzacji działalności podmiotów realizujących zadania publiczne (Dz. U. z 2021 r. poz. 2070), natomiast § 7 ust. 1ww.  rozporządzenia  wskazuje,  że</w:t>
      </w: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przedmiotowe środki dowodowe, przekazuje się w postaci elektronicznej i opatruje się kwalifikowanym podpisem elektronicznym, lub podpisem zaufanym lub podpisem osobistym.</w:t>
      </w:r>
    </w:p>
    <w:p w14:paraId="7146DCA1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</w:pPr>
      <w:r w:rsidRPr="00704B79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Złożenie  przedmiotowego środka dowodowego nieopatrzonego właściwym podpisem uznaje się za niezłożenie takiego środka w ogóle.</w:t>
      </w:r>
    </w:p>
    <w:p w14:paraId="468AF34A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04B79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Jeżeli Wykonawca nie złożył przedmiotowych środków dowodowych lub złożone przedmiotowe środki dowodowe są niekompletne, Zamawiający wzywa do ich złożenia lub uzupełnienia w wyznaczonym terminie, o ile przedmiotowy środek dowodowy nie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5BA43FD0" w14:textId="77777777" w:rsidR="00704B79" w:rsidRPr="00704B79" w:rsidRDefault="00704B79" w:rsidP="00704B79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04B79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Zamawiający może żądać od Wykonawców wyjaśnień dotyczących treści przedmiotowych środków dowodowych.</w:t>
      </w:r>
    </w:p>
    <w:p w14:paraId="3A4402E7" w14:textId="53159A5D" w:rsidR="002D26C8" w:rsidRPr="002D26C8" w:rsidRDefault="00704B79" w:rsidP="002D26C8">
      <w:pPr>
        <w:jc w:val="both"/>
        <w:rPr>
          <w:rFonts w:ascii="Lato Light" w:hAnsi="Lato Light" w:cs="Arial"/>
          <w:sz w:val="22"/>
          <w:szCs w:val="22"/>
        </w:rPr>
      </w:pPr>
      <w:r w:rsidRPr="002D26C8">
        <w:rPr>
          <w:rFonts w:ascii="Lato Light" w:hAnsi="Lato Light" w:cs="Arial"/>
          <w:b/>
          <w:bCs/>
          <w:sz w:val="22"/>
          <w:szCs w:val="22"/>
        </w:rPr>
        <w:t>5.</w:t>
      </w:r>
      <w:r w:rsidRPr="002D26C8">
        <w:rPr>
          <w:rFonts w:ascii="Lato Light" w:hAnsi="Lato Light" w:cs="Arial"/>
          <w:sz w:val="22"/>
          <w:szCs w:val="22"/>
        </w:rPr>
        <w:t xml:space="preserve"> </w:t>
      </w:r>
      <w:r w:rsidR="002D26C8" w:rsidRPr="002D26C8">
        <w:rPr>
          <w:rFonts w:ascii="Lato Light" w:hAnsi="Lato Light" w:cs="Arial"/>
          <w:sz w:val="22"/>
          <w:szCs w:val="22"/>
        </w:rPr>
        <w:t xml:space="preserve">W cz. II SWZ, pkt 1.1, Zamawiający „żąda przedłożenia wraz z ofertą: (…) b)certyfikaty potwierdzające zgodność z normą PN-EN 12193 dla klasy III oświetlenia obiektów sportowych”. </w:t>
      </w:r>
      <w:r w:rsidR="002D26C8" w:rsidRPr="002D26C8">
        <w:rPr>
          <w:rFonts w:ascii="Lato Light" w:hAnsi="Lato Light" w:cs="Arial"/>
          <w:sz w:val="22"/>
          <w:szCs w:val="22"/>
        </w:rPr>
        <w:lastRenderedPageBreak/>
        <w:t xml:space="preserve">Czy Wykonawca słusznie interpretuje, że chodzi o złożenie obliczeń fotometrycznych wykonanych w </w:t>
      </w:r>
      <w:bookmarkStart w:id="1" w:name="_Hlk144294871"/>
      <w:r w:rsidR="002D26C8" w:rsidRPr="002D26C8">
        <w:rPr>
          <w:rFonts w:ascii="Lato Light" w:hAnsi="Lato Light" w:cs="Arial"/>
          <w:sz w:val="22"/>
          <w:szCs w:val="22"/>
        </w:rPr>
        <w:t>programie takim jak DIALUX, RELUX</w:t>
      </w:r>
      <w:bookmarkEnd w:id="1"/>
      <w:r w:rsidR="002D26C8" w:rsidRPr="002D26C8">
        <w:rPr>
          <w:rFonts w:ascii="Lato Light" w:hAnsi="Lato Light" w:cs="Arial"/>
          <w:sz w:val="22"/>
          <w:szCs w:val="22"/>
        </w:rPr>
        <w:t xml:space="preserve">? Dysponując danymi wsadowymi dobiera się oświetlenie w sposób gwarantujący spełnienie wspomnianej normy; nie ma natomiast certyfikatów, które potwierdzają taką zgodność, gdyż wykonanie oświetlenia obiektów sportowych zgodnie z zasadami sztuki zależy od wielu indywidualnych czynników danej inwestycji. W związku z powyższym Wykonawca zwraca się również o udostępnienie danych liczbowych, rzutów etc. etc., uzupełnienie brakujących załączników (dokumentacja, przedmiary bądź inne po weryfikacji przez Zamawiającego), które umożliwią wykonanie stosownych obliczeń i tym samym udowodnią spełnienie założeń normy PN-EN 12193 dla klasy III oświetlenia obiektów sportowych. </w:t>
      </w:r>
    </w:p>
    <w:p w14:paraId="495F2D99" w14:textId="5E3039D9" w:rsidR="00740421" w:rsidRPr="002D26C8" w:rsidRDefault="00740421" w:rsidP="002D26C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9744297" w14:textId="7870EABB" w:rsidR="00740421" w:rsidRDefault="002D26C8" w:rsidP="002D26C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D054E2">
        <w:rPr>
          <w:rFonts w:ascii="Lato Light" w:hAnsi="Lato Light" w:cs="Arial"/>
          <w:b/>
          <w:bCs/>
          <w:sz w:val="22"/>
          <w:szCs w:val="22"/>
        </w:rPr>
        <w:t>Odpowiedź</w:t>
      </w:r>
      <w:r>
        <w:rPr>
          <w:rFonts w:ascii="Lato Light" w:hAnsi="Lato Light" w:cs="Arial"/>
          <w:sz w:val="22"/>
          <w:szCs w:val="22"/>
        </w:rPr>
        <w:t xml:space="preserve">: zgodnie z treścią odpowiedzi w pkt 4, Zamawiający  dokonuje zmiany SWZ w zakresie wymaganych dokumentów przedmiotowych. Ponadto dokumentacja i przedmiary zostały zamieszczone na stronie prowadzonego postępowania.  </w:t>
      </w:r>
    </w:p>
    <w:p w14:paraId="61992DFD" w14:textId="77777777" w:rsidR="002D26C8" w:rsidRPr="002D26C8" w:rsidRDefault="002D26C8" w:rsidP="002D26C8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2589726" w14:textId="1D7C961B" w:rsidR="00107D79" w:rsidRPr="00107D79" w:rsidRDefault="002D26C8" w:rsidP="00107D7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0"/>
          <w:szCs w:val="20"/>
        </w:rPr>
      </w:pPr>
      <w:r>
        <w:rPr>
          <w:rFonts w:ascii="Lato Light" w:hAnsi="Lato Light" w:cs="Arial"/>
          <w:b/>
          <w:bCs/>
          <w:sz w:val="22"/>
          <w:szCs w:val="22"/>
        </w:rPr>
        <w:t>6.</w:t>
      </w:r>
      <w:r w:rsidR="00107D79" w:rsidRPr="00107D79">
        <w:t xml:space="preserve"> </w:t>
      </w:r>
      <w:r w:rsidR="00107D79" w:rsidRPr="00107D79">
        <w:rPr>
          <w:rFonts w:ascii="Lato Light" w:hAnsi="Lato Light" w:cs="Arial"/>
          <w:sz w:val="20"/>
          <w:szCs w:val="20"/>
        </w:rPr>
        <w:t>Dzień Dobry, czy w związku z uwzględnieniem w projekcie MOS schematu Rozdzielnicy Głównej (plik pdf"</w:t>
      </w:r>
      <w:r w:rsidR="00107D79">
        <w:rPr>
          <w:rFonts w:ascii="Lato Light" w:hAnsi="Lato Light" w:cs="Arial"/>
          <w:sz w:val="20"/>
          <w:szCs w:val="20"/>
        </w:rPr>
        <w:t xml:space="preserve"> </w:t>
      </w:r>
      <w:r w:rsidR="00107D79" w:rsidRPr="00107D79">
        <w:rPr>
          <w:rFonts w:ascii="Lato Light" w:hAnsi="Lato Light" w:cs="Arial"/>
          <w:sz w:val="20"/>
          <w:szCs w:val="20"/>
        </w:rPr>
        <w:t>dok. -MOS"), należy oprócz wymiany opraw oświetleniowych uwzględnić montaż nowej rozdzielnicy oraz</w:t>
      </w:r>
      <w:r w:rsidR="00107D79">
        <w:rPr>
          <w:rFonts w:ascii="Lato Light" w:hAnsi="Lato Light" w:cs="Arial"/>
          <w:sz w:val="20"/>
          <w:szCs w:val="20"/>
        </w:rPr>
        <w:t xml:space="preserve"> </w:t>
      </w:r>
      <w:r w:rsidR="00107D79" w:rsidRPr="00107D79">
        <w:rPr>
          <w:rFonts w:ascii="Lato Light" w:hAnsi="Lato Light" w:cs="Arial"/>
          <w:sz w:val="20"/>
          <w:szCs w:val="20"/>
        </w:rPr>
        <w:t>położenie nowego okablowania zgodnie ze schematem? To samo w kwestii SP1 i SP2 czy należy</w:t>
      </w:r>
    </w:p>
    <w:p w14:paraId="2BAB7987" w14:textId="77777777" w:rsidR="00107D79" w:rsidRPr="00107D79" w:rsidRDefault="00107D79" w:rsidP="00107D7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0"/>
          <w:szCs w:val="20"/>
        </w:rPr>
      </w:pPr>
      <w:r w:rsidRPr="00107D79">
        <w:rPr>
          <w:rFonts w:ascii="Lato Light" w:hAnsi="Lato Light" w:cs="Arial"/>
          <w:sz w:val="20"/>
          <w:szCs w:val="20"/>
        </w:rPr>
        <w:t>przewidzieć modernizacje rozdzielnic, wymianę kabla oraz prace związane z przebudową, czy sama</w:t>
      </w:r>
    </w:p>
    <w:p w14:paraId="36B66C6A" w14:textId="6C61F905" w:rsidR="00740421" w:rsidRPr="00107D79" w:rsidRDefault="00107D79" w:rsidP="00107D7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0"/>
          <w:szCs w:val="20"/>
        </w:rPr>
      </w:pPr>
      <w:r w:rsidRPr="00107D79">
        <w:rPr>
          <w:rFonts w:ascii="Lato Light" w:hAnsi="Lato Light" w:cs="Arial"/>
          <w:sz w:val="20"/>
          <w:szCs w:val="20"/>
        </w:rPr>
        <w:t>wymiana opraw oświetleniowych?</w:t>
      </w:r>
    </w:p>
    <w:p w14:paraId="2E1F114B" w14:textId="77777777" w:rsidR="00107D79" w:rsidRDefault="00107D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0"/>
          <w:szCs w:val="20"/>
        </w:rPr>
      </w:pPr>
    </w:p>
    <w:p w14:paraId="5AE6E327" w14:textId="71D89E0D" w:rsidR="00107D79" w:rsidRPr="00107D79" w:rsidRDefault="00107D79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0"/>
          <w:szCs w:val="20"/>
        </w:rPr>
      </w:pPr>
      <w:r w:rsidRPr="00D054E2">
        <w:rPr>
          <w:rFonts w:ascii="Lato Light" w:hAnsi="Lato Light" w:cs="Arial"/>
          <w:b/>
          <w:bCs/>
          <w:sz w:val="20"/>
          <w:szCs w:val="20"/>
        </w:rPr>
        <w:t>Odpowiedź:</w:t>
      </w:r>
      <w:r>
        <w:rPr>
          <w:rFonts w:ascii="Lato Light" w:hAnsi="Lato Light" w:cs="Arial"/>
          <w:sz w:val="20"/>
          <w:szCs w:val="20"/>
        </w:rPr>
        <w:t xml:space="preserve"> </w:t>
      </w:r>
      <w:r w:rsidR="00D054E2" w:rsidRPr="00D054E2">
        <w:rPr>
          <w:rFonts w:ascii="Lato Light" w:hAnsi="Lato Light" w:cs="Arial"/>
          <w:sz w:val="20"/>
          <w:szCs w:val="20"/>
        </w:rPr>
        <w:t xml:space="preserve">Zamawiający nie przewiduje montażu nowych rozdzielni oraz położenia nowego okablowania na  wszystkich istniejących obiektach, zakres zadania dotyczy tylko wymiany opraw. W przypadku rozdzielni zlokalizowanej przy obiektach sportowych zlokalizowanych terenie Miejskiego Ośrodka Sportu zgodnie </w:t>
      </w:r>
      <w:r w:rsidR="00D054E2">
        <w:rPr>
          <w:rFonts w:ascii="Lato Light" w:hAnsi="Lato Light" w:cs="Arial"/>
          <w:sz w:val="20"/>
          <w:szCs w:val="20"/>
        </w:rPr>
        <w:t xml:space="preserve">                   </w:t>
      </w:r>
      <w:r w:rsidR="00D054E2" w:rsidRPr="00D054E2">
        <w:rPr>
          <w:rFonts w:ascii="Lato Light" w:hAnsi="Lato Light" w:cs="Arial"/>
          <w:sz w:val="20"/>
          <w:szCs w:val="20"/>
        </w:rPr>
        <w:t>z przedmiarem należy dokonać jedynie podziału obwodów na fazach celem rozdzielenia załączenia poszczególnych obiektów. Istniejąca infrastruktura znajdująca się w tej rozdzielni w pełni to umożliwia i nie wymaga dokonania wymiany okablowania.</w:t>
      </w:r>
    </w:p>
    <w:p w14:paraId="195B80FB" w14:textId="77777777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ADF4E30" w14:textId="5741408B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  <w:r w:rsidRPr="00D054E2">
        <w:rPr>
          <w:rFonts w:ascii="Lato Light" w:hAnsi="Lato Light" w:cs="Arial"/>
          <w:b/>
          <w:bCs/>
          <w:sz w:val="20"/>
          <w:szCs w:val="20"/>
        </w:rPr>
        <w:t>7.</w:t>
      </w:r>
      <w:r w:rsidRPr="00D054E2">
        <w:rPr>
          <w:sz w:val="20"/>
          <w:szCs w:val="20"/>
        </w:rPr>
        <w:t xml:space="preserve"> </w:t>
      </w:r>
      <w:r w:rsidRPr="00D054E2">
        <w:rPr>
          <w:rFonts w:ascii="Lato Light" w:hAnsi="Lato Light" w:cs="Arial"/>
          <w:sz w:val="20"/>
          <w:szCs w:val="20"/>
        </w:rPr>
        <w:t>Dzień Dobry, zwracam się z uprzejmą prośbą o udostępnienie przedmiarów w rozszerzeniu .</w:t>
      </w:r>
      <w:proofErr w:type="spellStart"/>
      <w:r w:rsidRPr="00D054E2">
        <w:rPr>
          <w:rFonts w:ascii="Lato Light" w:hAnsi="Lato Light" w:cs="Arial"/>
          <w:sz w:val="20"/>
          <w:szCs w:val="20"/>
        </w:rPr>
        <w:t>ath</w:t>
      </w:r>
      <w:proofErr w:type="spellEnd"/>
      <w:r w:rsidRPr="00D054E2">
        <w:rPr>
          <w:rFonts w:ascii="Lato Light" w:hAnsi="Lato Light" w:cs="Arial"/>
          <w:sz w:val="20"/>
          <w:szCs w:val="20"/>
        </w:rPr>
        <w:t>.</w:t>
      </w:r>
    </w:p>
    <w:p w14:paraId="495F437F" w14:textId="77777777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DA6698C" w14:textId="61452E01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  <w:r w:rsidRPr="00D054E2">
        <w:rPr>
          <w:rFonts w:ascii="Lato Light" w:hAnsi="Lato Light" w:cs="Arial"/>
          <w:b/>
          <w:bCs/>
          <w:sz w:val="20"/>
          <w:szCs w:val="20"/>
        </w:rPr>
        <w:t xml:space="preserve">Odpowiedź: </w:t>
      </w:r>
      <w:r w:rsidRPr="00D054E2">
        <w:rPr>
          <w:rFonts w:ascii="Lato Light" w:hAnsi="Lato Light" w:cs="Arial"/>
          <w:sz w:val="20"/>
          <w:szCs w:val="20"/>
        </w:rPr>
        <w:t xml:space="preserve">przedmiary w </w:t>
      </w:r>
      <w:proofErr w:type="spellStart"/>
      <w:r w:rsidRPr="00D054E2">
        <w:rPr>
          <w:rFonts w:ascii="Lato Light" w:hAnsi="Lato Light" w:cs="Arial"/>
          <w:sz w:val="20"/>
          <w:szCs w:val="20"/>
        </w:rPr>
        <w:t>ath</w:t>
      </w:r>
      <w:proofErr w:type="spellEnd"/>
      <w:r w:rsidRPr="00D054E2">
        <w:rPr>
          <w:rFonts w:ascii="Lato Light" w:hAnsi="Lato Light" w:cs="Arial"/>
          <w:sz w:val="20"/>
          <w:szCs w:val="20"/>
        </w:rPr>
        <w:t>.</w:t>
      </w:r>
      <w:r>
        <w:rPr>
          <w:rFonts w:ascii="Lato Light" w:hAnsi="Lato Light" w:cs="Arial"/>
          <w:sz w:val="20"/>
          <w:szCs w:val="20"/>
        </w:rPr>
        <w:t xml:space="preserve"> </w:t>
      </w:r>
      <w:r w:rsidR="00933ED7">
        <w:rPr>
          <w:rFonts w:ascii="Lato Light" w:hAnsi="Lato Light" w:cs="Arial"/>
          <w:sz w:val="20"/>
          <w:szCs w:val="20"/>
        </w:rPr>
        <w:t>z</w:t>
      </w:r>
      <w:r>
        <w:rPr>
          <w:rFonts w:ascii="Lato Light" w:hAnsi="Lato Light" w:cs="Arial"/>
          <w:sz w:val="20"/>
          <w:szCs w:val="20"/>
        </w:rPr>
        <w:t xml:space="preserve">ostały zamieszczone na stronie </w:t>
      </w:r>
      <w:r w:rsidR="00933ED7">
        <w:rPr>
          <w:rFonts w:ascii="Lato Light" w:hAnsi="Lato Light" w:cs="Arial"/>
          <w:sz w:val="20"/>
          <w:szCs w:val="20"/>
        </w:rPr>
        <w:t>internetowej</w:t>
      </w:r>
      <w:r>
        <w:rPr>
          <w:rFonts w:ascii="Lato Light" w:hAnsi="Lato Light" w:cs="Arial"/>
          <w:sz w:val="20"/>
          <w:szCs w:val="20"/>
        </w:rPr>
        <w:t xml:space="preserve"> prowadzonego post</w:t>
      </w:r>
      <w:r w:rsidR="00933ED7">
        <w:rPr>
          <w:rFonts w:ascii="Lato Light" w:hAnsi="Lato Light" w:cs="Arial"/>
          <w:sz w:val="20"/>
          <w:szCs w:val="20"/>
        </w:rPr>
        <w:t xml:space="preserve">ępowania. </w:t>
      </w:r>
      <w:r>
        <w:rPr>
          <w:rFonts w:ascii="Lato Light" w:hAnsi="Lato Light" w:cs="Arial"/>
          <w:sz w:val="20"/>
          <w:szCs w:val="20"/>
        </w:rPr>
        <w:t xml:space="preserve"> </w:t>
      </w:r>
    </w:p>
    <w:p w14:paraId="216536F2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BC8304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234249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0607F69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B8760C0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17A7567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8C34D9B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A780CE3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A1177F5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20536C1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6718F3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8FC3F2E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BCA109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6115C6D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EE64FE7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D797F5E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A303602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2958A9" w14:textId="77777777" w:rsidR="00933ED7" w:rsidRPr="00D054E2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342BA49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9870114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BFF"/>
    <w:multiLevelType w:val="multilevel"/>
    <w:tmpl w:val="8D8CC3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5956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07D79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D26C8"/>
    <w:rsid w:val="002F1B37"/>
    <w:rsid w:val="00317AB2"/>
    <w:rsid w:val="00353566"/>
    <w:rsid w:val="0039333A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0A5D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04B79"/>
    <w:rsid w:val="00740421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33ED7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AF7AA4"/>
    <w:rsid w:val="00B415A6"/>
    <w:rsid w:val="00BB3EF9"/>
    <w:rsid w:val="00BE564E"/>
    <w:rsid w:val="00BE5E33"/>
    <w:rsid w:val="00C06FCE"/>
    <w:rsid w:val="00CB3F2B"/>
    <w:rsid w:val="00D054E2"/>
    <w:rsid w:val="00D7710A"/>
    <w:rsid w:val="00DB3209"/>
    <w:rsid w:val="00DE136B"/>
    <w:rsid w:val="00DE5C1E"/>
    <w:rsid w:val="00E020BA"/>
    <w:rsid w:val="00E023DC"/>
    <w:rsid w:val="00E22558"/>
    <w:rsid w:val="00E325F6"/>
    <w:rsid w:val="00E557B6"/>
    <w:rsid w:val="00E76B39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33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2023-08-30T12:42:00Z</cp:lastPrinted>
  <dcterms:created xsi:type="dcterms:W3CDTF">2023-08-30T12:59:00Z</dcterms:created>
  <dcterms:modified xsi:type="dcterms:W3CDTF">2023-08-30T12:59:00Z</dcterms:modified>
</cp:coreProperties>
</file>