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54A66B" w14:textId="00119F5C" w:rsidR="001413A9" w:rsidRP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DF755" w14:textId="77777777" w:rsidR="00A101A7" w:rsidRPr="00A101A7" w:rsidRDefault="00A101A7" w:rsidP="00A101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01A7">
        <w:rPr>
          <w:rFonts w:ascii="Times New Roman" w:eastAsia="Times New Roman" w:hAnsi="Times New Roman" w:cs="Times New Roman"/>
          <w:sz w:val="20"/>
          <w:szCs w:val="20"/>
          <w:lang w:eastAsia="pl-PL"/>
        </w:rPr>
        <w:t>Nr postępowania: WSSE.DEA OZPA 272.01.2023</w:t>
      </w:r>
    </w:p>
    <w:p w14:paraId="312B5235" w14:textId="49200FFD" w:rsidR="00A101A7" w:rsidRDefault="00A101A7" w:rsidP="00A101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101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</w:t>
      </w:r>
      <w:r w:rsidRPr="00A101A7">
        <w:rPr>
          <w:rFonts w:ascii="Times New Roman" w:eastAsia="Times New Roman" w:hAnsi="Times New Roman" w:cs="Times New Roman"/>
          <w:lang w:eastAsia="pl-PL"/>
        </w:rPr>
        <w:t>Załącznik nr 13 do SWZ</w:t>
      </w:r>
    </w:p>
    <w:p w14:paraId="6E1245A8" w14:textId="77777777" w:rsidR="00A101A7" w:rsidRPr="00A101A7" w:rsidRDefault="00A101A7" w:rsidP="00A101A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8AE7D6" w14:textId="6C3917B6" w:rsidR="00A101A7" w:rsidRDefault="00A101A7" w:rsidP="00045835">
      <w:pPr>
        <w:widowControl w:val="0"/>
        <w:spacing w:after="0" w:line="360" w:lineRule="auto"/>
        <w:ind w:left="1060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A101A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 w:bidi="pl-PL"/>
        </w:rPr>
        <w:t>WYMAGANE PARAMETRY ZABUDOWY HEREMTYCZNEJ LABORATORIÓW BSL 3</w:t>
      </w:r>
    </w:p>
    <w:p w14:paraId="654F922F" w14:textId="0F34D3F5" w:rsidR="00045835" w:rsidRPr="00A101A7" w:rsidRDefault="00045835" w:rsidP="00A101A7">
      <w:pPr>
        <w:widowControl w:val="0"/>
        <w:spacing w:after="616" w:line="220" w:lineRule="exact"/>
        <w:ind w:left="1060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(zgodnie z załącznikiem nr 5 do PFU)</w:t>
      </w:r>
    </w:p>
    <w:tbl>
      <w:tblPr>
        <w:tblpPr w:leftFromText="141" w:rightFromText="141" w:vertAnchor="text" w:horzAnchor="page" w:tblpX="1533" w:tblpY="706"/>
        <w:tblOverlap w:val="never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075"/>
        <w:gridCol w:w="1417"/>
        <w:gridCol w:w="3119"/>
      </w:tblGrid>
      <w:tr w:rsidR="00A101A7" w:rsidRPr="00A101A7" w14:paraId="66074F71" w14:textId="77777777" w:rsidTr="00A101A7">
        <w:trPr>
          <w:trHeight w:hRule="exact" w:val="15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712E4" w14:textId="77777777" w:rsidR="00A101A7" w:rsidRPr="00A101A7" w:rsidRDefault="00A101A7" w:rsidP="00A101A7">
            <w:pPr>
              <w:widowControl w:val="0"/>
              <w:spacing w:after="0" w:line="190" w:lineRule="exact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CA72C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WYMAGANE PARAMETRY I WARUNKI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5FDA8" w14:textId="77777777" w:rsidR="00A101A7" w:rsidRPr="00A101A7" w:rsidRDefault="00A101A7" w:rsidP="00A101A7">
            <w:pPr>
              <w:widowControl w:val="0"/>
              <w:spacing w:after="60" w:line="190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A101A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PARAMETR</w:t>
            </w:r>
          </w:p>
          <w:p w14:paraId="6DB0D21F" w14:textId="77777777" w:rsidR="00A101A7" w:rsidRPr="00A101A7" w:rsidRDefault="00A101A7" w:rsidP="00045835">
            <w:pPr>
              <w:widowControl w:val="0"/>
              <w:spacing w:before="60" w:after="0" w:line="190" w:lineRule="exact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E307" w14:textId="77777777" w:rsidR="00A101A7" w:rsidRPr="00A101A7" w:rsidRDefault="00A101A7" w:rsidP="00A101A7">
            <w:pPr>
              <w:widowControl w:val="0"/>
              <w:spacing w:after="0" w:line="23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Dokładny opis , oferowanego parametru i/lub oferowanego rozwiązania , producent</w:t>
            </w:r>
          </w:p>
        </w:tc>
      </w:tr>
      <w:tr w:rsidR="00A101A7" w:rsidRPr="00A101A7" w14:paraId="7B10C421" w14:textId="77777777" w:rsidTr="00A101A7">
        <w:trPr>
          <w:trHeight w:hRule="exact" w:val="1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FA254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34928" w14:textId="77777777" w:rsidR="00A101A7" w:rsidRPr="00A101A7" w:rsidRDefault="00A101A7" w:rsidP="00A101A7">
            <w:pPr>
              <w:widowControl w:val="0"/>
              <w:spacing w:after="0" w:line="23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zabudowa laboratorium w systemie panelowym stalowym prefabrykowanym - system zabudowy ma być odporny na dekontaminację H2O2 - wymagany certyfikat potwierdzający odporność materiału na absorpcje/desorpcje H2O2 wg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VDI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2083 część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A58CD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D7F13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3B7A432B" w14:textId="77777777" w:rsidTr="00A101A7">
        <w:trPr>
          <w:trHeight w:hRule="exact" w:val="256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12A16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870D2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zabudowa laboratorium w systemie panelowym stalowym - system zabudowy gazoszczelny - wymagany Certyfikat wydany przez jednostkę notyfikującą np. przez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TUV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potwierdzający spełnienie wymagań gazoszczelności zabudowy laboratorium BSL 3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VDI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2083 część 19 wg Tabeli 1 dla klasy 4. Dokument ma potwierdzać szczelność pomieszczenia wyposażonego w drzwi, przejścia instalacyjne (rury, przewody) oraz zabudowę ścian i sufitów w systemie panelowym.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D1887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2F6FE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70DEC419" w14:textId="77777777" w:rsidTr="00A101A7">
        <w:trPr>
          <w:trHeight w:hRule="exact" w:val="241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6F9ABE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9047DC" w14:textId="77777777" w:rsidR="00A101A7" w:rsidRPr="00A101A7" w:rsidRDefault="00A101A7" w:rsidP="00A101A7">
            <w:pPr>
              <w:widowControl w:val="0"/>
              <w:spacing w:after="0" w:line="23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system zabudowy ścian, sufitów, drzwi, przejść instalacyjnych - dopuszczalna utrata ciśnienia przy ciśnieniu początkowym w pomieszczeniu 500 Pa może wynieść maksymalnie 250 Pa w ciągu 20 minut.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(The </w:t>
            </w:r>
            <w:proofErr w:type="spellStart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>Goverment</w:t>
            </w:r>
            <w:proofErr w:type="spellEnd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 of Canada’s Biosafety Standard CBS, 2nd edition from 2015) -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wymagany dokument wydany przez notyfikowaną jednostkę np.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TUV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ma potwierdzać, że zastosowany system spełnia wymagania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19EC8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55304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178CDDCF" w14:textId="77777777" w:rsidTr="00A101A7">
        <w:trPr>
          <w:trHeight w:hRule="exact" w:val="15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F8D5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BFB2" w14:textId="77777777" w:rsidR="00A101A7" w:rsidRPr="00A101A7" w:rsidRDefault="00A101A7" w:rsidP="00A101A7">
            <w:pPr>
              <w:widowControl w:val="0"/>
              <w:spacing w:after="0" w:line="23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drzwi gazoszczelne wykonane ze stali nierdzewnej EN 1.4301 - wskaźnik wycieku przy </w:t>
            </w:r>
            <w:proofErr w:type="spellStart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nadciśneniu</w:t>
            </w:r>
            <w:proofErr w:type="spellEnd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 testowym min 500 Pa </w:t>
            </w:r>
            <w:proofErr w:type="spellStart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róny</w:t>
            </w:r>
            <w:proofErr w:type="spellEnd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 lub mniejszy niż 3,5 dm3/h - wymagany certyfikat wydany przez jednostkę notyfikującą np. przez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TUV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potwierdzający gazoszczelność drzwi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1F1F8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C9CEC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5C12784C" w14:textId="77777777" w:rsidTr="00A101A7">
        <w:trPr>
          <w:trHeight w:hRule="exact" w:val="20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5FA09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lastRenderedPageBreak/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5E8B6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Zabudowa systemowa laboratorium ma być odporna na krótkie skoki ciśnienia. Wykonawca zabudowy musi wykazać się dokumentem wydanym przez akredytowaną lub notyfikowaną jednostkę nap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TUV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potwierdzającym przeprowadzenie badania zabudowy (drzwi, ściany, sufity) na krótkotrwałe działanie podciśnienia minimum 1500 Pa.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D65DB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9774D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2B4765A8" w14:textId="77777777" w:rsidTr="00A101A7">
        <w:trPr>
          <w:trHeight w:hRule="exact" w:val="18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DE5B5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23264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 xml:space="preserve">Hermetyczność, przejść instalacyjnych, hermetyczność pomieszczeń (laboratorium, śluza osobowa, prysznic powietrzny oraz hermetyczność wszystkich zabudowanych elementów barierowych) w klasie BSL4. Zgodnie z </w:t>
            </w: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The </w:t>
            </w:r>
            <w:proofErr w:type="spellStart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>Goverment</w:t>
            </w:r>
            <w:proofErr w:type="spellEnd"/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val="en-US" w:eastAsia="pl-PL" w:bidi="en-US"/>
              </w:rPr>
              <w:t xml:space="preserve"> of Canada’s Biosafety Standard CBS, 2nd edition from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3CD71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AD9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12B0AFF5" w14:textId="77777777" w:rsidTr="00A101A7">
        <w:trPr>
          <w:trHeight w:hRule="exact" w:val="2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7F756" w14:textId="148A1E44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7CFF4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Gazoszczelne otwory wentylacyjne • Rury ze stali nierdzewnej (0 250 mm, długość ok. 400 mm)</w:t>
            </w:r>
          </w:p>
          <w:p w14:paraId="53B16E6C" w14:textId="77777777" w:rsidR="00A101A7" w:rsidRPr="00A101A7" w:rsidRDefault="00A101A7" w:rsidP="00A101A7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spacing w:after="0" w:line="226" w:lineRule="exact"/>
              <w:jc w:val="both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Spawane obwodowo tworzące kołnierz do podłączenia do wentylacji.</w:t>
            </w:r>
          </w:p>
          <w:p w14:paraId="58E61A92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• W panelu sufitowym znajdują się nity gwintowane, którego kołnierz jest przymocowany śrubami. Pomiędzy panelem a kołnierzem znajduje się</w:t>
            </w:r>
          </w:p>
          <w:p w14:paraId="0E963E1D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taśma PTFE.</w:t>
            </w:r>
          </w:p>
          <w:p w14:paraId="5D98971A" w14:textId="34D9A7AB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Materiał: rura ze stali nierdzewnej: 1.4301 (AISI304), grubość 2,0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999C3" w14:textId="1D020964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C9519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15C001AF" w14:textId="77777777" w:rsidTr="00A101A7">
        <w:trPr>
          <w:trHeight w:val="325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168E7" w14:textId="77777777" w:rsidR="00A101A7" w:rsidRDefault="00A101A7" w:rsidP="00630138">
            <w:pPr>
              <w:widowControl w:val="0"/>
              <w:spacing w:after="0" w:line="190" w:lineRule="exact"/>
              <w:ind w:left="20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</w:p>
          <w:p w14:paraId="7B378C0F" w14:textId="77777777" w:rsidR="00A101A7" w:rsidRDefault="00A101A7" w:rsidP="00630138">
            <w:pPr>
              <w:widowControl w:val="0"/>
              <w:spacing w:after="0" w:line="190" w:lineRule="exact"/>
              <w:ind w:left="20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</w:p>
          <w:p w14:paraId="20C8A1EF" w14:textId="6E923CE8" w:rsidR="00A101A7" w:rsidRPr="00A101A7" w:rsidRDefault="00A101A7" w:rsidP="00630138">
            <w:pPr>
              <w:widowControl w:val="0"/>
              <w:spacing w:after="0" w:line="190" w:lineRule="exact"/>
              <w:ind w:left="20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918F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Konstrukcja modułów</w:t>
            </w:r>
          </w:p>
          <w:p w14:paraId="48FFEDAB" w14:textId="77777777" w:rsidR="00A101A7" w:rsidRPr="00A101A7" w:rsidRDefault="00A101A7" w:rsidP="00A101A7">
            <w:pPr>
              <w:widowControl w:val="0"/>
              <w:spacing w:after="0" w:line="226" w:lineRule="exact"/>
              <w:jc w:val="both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• główna konstrukcja nośna - stalowa rama spawana + słupki narożne i</w:t>
            </w:r>
          </w:p>
          <w:p w14:paraId="1D4DA758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słupy pośrednie</w:t>
            </w:r>
          </w:p>
          <w:p w14:paraId="2DE58E3A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• konstrukcja podłogi: rama złożona z belek głównych obwodowych oraz</w:t>
            </w:r>
          </w:p>
          <w:p w14:paraId="5A8E1764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Calibri" w:eastAsia="Calibri" w:hAnsi="Calibri" w:cs="Calibri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belek poprzecznych</w:t>
            </w:r>
          </w:p>
          <w:p w14:paraId="4BF91BC0" w14:textId="18244CBE" w:rsidR="00A101A7" w:rsidRPr="00A101A7" w:rsidRDefault="00A101A7" w:rsidP="00E76AAA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• konstrukcja dachu: rama obwodowa i poprzeczne stalowe belki/ dźwigary; wymiary i rozstaw elementów według projektu konstrukcji opracowanego przez dostawcę systemu • konstrukcja spawana zgodnie z wymogami normy EN 1090-2:2008+A1.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6AFE" w14:textId="78C74E11" w:rsidR="00A101A7" w:rsidRPr="00A101A7" w:rsidRDefault="00A101A7" w:rsidP="00BD3432">
            <w:pPr>
              <w:widowControl w:val="0"/>
              <w:spacing w:after="0" w:line="190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A101A7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76EBC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A101A7" w:rsidRPr="00A101A7" w14:paraId="166624BF" w14:textId="77777777" w:rsidTr="00A101A7">
        <w:trPr>
          <w:trHeight w:hRule="exact" w:val="12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375D7" w14:textId="77777777" w:rsidR="00A101A7" w:rsidRPr="00A101A7" w:rsidRDefault="00A101A7" w:rsidP="00A101A7">
            <w:pPr>
              <w:widowControl w:val="0"/>
              <w:spacing w:after="0" w:line="190" w:lineRule="exact"/>
              <w:ind w:left="200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CAE71" w14:textId="77777777" w:rsidR="00A101A7" w:rsidRPr="00A101A7" w:rsidRDefault="00A101A7" w:rsidP="00A101A7">
            <w:pPr>
              <w:widowControl w:val="0"/>
              <w:spacing w:after="0" w:line="226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5D1020" w14:textId="77777777" w:rsidR="00A101A7" w:rsidRPr="00A101A7" w:rsidRDefault="00A101A7" w:rsidP="00A101A7">
            <w:pPr>
              <w:widowControl w:val="0"/>
              <w:spacing w:after="0" w:line="190" w:lineRule="exact"/>
              <w:jc w:val="center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064C1" w14:textId="77777777" w:rsidR="00A101A7" w:rsidRPr="00A101A7" w:rsidRDefault="00A101A7" w:rsidP="00A101A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588E6450" w14:textId="77777777" w:rsidR="00A101A7" w:rsidRPr="00A101A7" w:rsidRDefault="00A101A7" w:rsidP="00A101A7">
      <w:pPr>
        <w:framePr w:w="10195" w:wrap="notBeside" w:vAnchor="text" w:hAnchor="text" w:xAlign="center" w:y="1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pl-PL" w:bidi="pl-PL"/>
        </w:rPr>
      </w:pPr>
    </w:p>
    <w:p w14:paraId="088DD5F2" w14:textId="6B99BFFF" w:rsidR="00343BC7" w:rsidRDefault="00343BC7"/>
    <w:sectPr w:rsidR="00343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7407" w14:textId="77777777" w:rsidR="001E13CA" w:rsidRDefault="001E13CA" w:rsidP="00517A6D">
      <w:pPr>
        <w:spacing w:after="0" w:line="240" w:lineRule="auto"/>
      </w:pPr>
      <w:r>
        <w:separator/>
      </w:r>
    </w:p>
  </w:endnote>
  <w:endnote w:type="continuationSeparator" w:id="0">
    <w:p w14:paraId="69F418D0" w14:textId="77777777" w:rsidR="001E13CA" w:rsidRDefault="001E13CA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BD43" w14:textId="77777777" w:rsidR="001E13CA" w:rsidRDefault="001E13CA" w:rsidP="00517A6D">
      <w:pPr>
        <w:spacing w:after="0" w:line="240" w:lineRule="auto"/>
      </w:pPr>
      <w:r>
        <w:separator/>
      </w:r>
    </w:p>
  </w:footnote>
  <w:footnote w:type="continuationSeparator" w:id="0">
    <w:p w14:paraId="113516D0" w14:textId="77777777" w:rsidR="001E13CA" w:rsidRDefault="001E13CA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91FE0"/>
    <w:multiLevelType w:val="multilevel"/>
    <w:tmpl w:val="F9BA0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9653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45835"/>
    <w:rsid w:val="001413A9"/>
    <w:rsid w:val="001E13CA"/>
    <w:rsid w:val="00343BC7"/>
    <w:rsid w:val="00364CE4"/>
    <w:rsid w:val="003B17EC"/>
    <w:rsid w:val="00406FDF"/>
    <w:rsid w:val="00517A6D"/>
    <w:rsid w:val="007F7ECD"/>
    <w:rsid w:val="00837EA0"/>
    <w:rsid w:val="00A101A7"/>
    <w:rsid w:val="00EC3369"/>
    <w:rsid w:val="00ED2627"/>
    <w:rsid w:val="00FB3620"/>
    <w:rsid w:val="00FC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Tomasz Mizak</cp:lastModifiedBy>
  <cp:revision>5</cp:revision>
  <cp:lastPrinted>2023-01-13T12:57:00Z</cp:lastPrinted>
  <dcterms:created xsi:type="dcterms:W3CDTF">2023-01-13T11:50:00Z</dcterms:created>
  <dcterms:modified xsi:type="dcterms:W3CDTF">2023-01-25T09:38:00Z</dcterms:modified>
</cp:coreProperties>
</file>